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Nova Financial Solutions</w:t>
      </w:r>
    </w:p>
    <w:p>
      <w:pPr>
        <w:jc w:val="center"/>
      </w:pPr>
      <w:r>
        <w:rPr>
          <w:color w:val="3C3C3C"/>
          <w:sz w:val="32"/>
        </w:rPr>
        <w:t>Financial News and Price-Move Analysis Report</w:t>
      </w:r>
    </w:p>
    <w:p>
      <w:pPr>
        <w:jc w:val="center"/>
      </w:pPr>
      <w:r>
        <w:rPr>
          <w:sz w:val="21"/>
        </w:rPr>
        <w:t>Tasks 1 and 2 | Prepared for the financial news sentiment challenge</w:t>
      </w:r>
    </w:p>
    <w:p/>
    <w:p>
      <w:pPr>
        <w:pStyle w:val="Heading1"/>
      </w:pPr>
      <w:r>
        <w:t>Executive Summary</w:t>
      </w:r>
    </w:p>
    <w:p>
      <w:r>
        <w:t>This report summarizes the first two stages of a financial intelligence pipeline for Nova Financial Solutions. Task 1 establishes exploratory analysis for financial-news headlines, publishers, publication timing, and recurring topics. Task 2 extends the workflow into quantitative market analysis by loading historical OHLCV price data, cleaning it, computing technical indicators, and visualizing price behavior.</w:t>
      </w:r>
    </w:p>
    <w:p>
      <w:r>
        <w:t>The repository now contains reproducible notebooks, tested helper modules, CI configuration, and clean Git branches. The analysis is ready to run once the raw FNSPID news dataset and historical stock-price CSV files are placed in data/raw/.</w:t>
      </w:r>
    </w:p>
    <w:p>
      <w:pPr>
        <w:pStyle w:val="Heading1"/>
      </w:pPr>
      <w:r>
        <w:t>Repository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Area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Task 1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EDA notebook, helper modules, CI, and tests are in place.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Task 2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Price-data loader, indicators, metrics, notebook, and tests are in place.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Raw data</w:t>
            </w:r>
          </w:p>
        </w:tc>
        <w:tc>
          <w:tcPr>
            <w:tcW w:type="dxa" w:w="1584"/>
            <w:vAlign w:val="center"/>
            <w:shd w:fill="F2F5F7"/>
          </w:tcPr>
          <w:p>
            <w:pPr>
              <w:jc w:val="left"/>
            </w:pPr>
            <w:r/>
            <w:r>
              <w:rPr>
                <w:b/>
                <w:sz w:val="19"/>
              </w:rPr>
              <w:t>Pending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Run notebooks after adding news and stock-price CSV files to data/raw/.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Validation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Passed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Unit test suite passed locally with 7 tests.</w:t>
            </w:r>
          </w:p>
        </w:tc>
      </w:tr>
    </w:tbl>
    <w:p>
      <w:pPr>
        <w:pStyle w:val="Heading1"/>
      </w:pPr>
      <w:r>
        <w:t>Business Objective</w:t>
      </w:r>
    </w:p>
    <w:p>
      <w:pPr>
        <w:spacing w:after="120" w:line="259" w:lineRule="auto"/>
      </w:pPr>
      <w:r>
        <w:t>Nova Financial Solutions wants to improve forecasting accuracy by connecting market narratives to price action. The core analytical question is whether financial-news sentiment and publishing patterns can help explain or anticipate stock-price movement.</w:t>
      </w:r>
    </w:p>
    <w:p>
      <w:pPr>
        <w:spacing w:after="120" w:line="259" w:lineRule="auto"/>
      </w:pPr>
      <w:r>
        <w:t>The current project builds the foundation for that analysis by preparing news EDA, keyword discovery, publisher analysis, stock-price cleaning, technical indicators, and risk-return metrics.</w:t>
      </w:r>
    </w:p>
    <w:p>
      <w:pPr>
        <w:pStyle w:val="Heading1"/>
      </w:pPr>
      <w:r>
        <w:t>Task 1: Exploratory Data Analysis</w:t>
      </w:r>
    </w:p>
    <w:p>
      <w:pPr>
        <w:pStyle w:val="ListBullet"/>
        <w:spacing w:after="40"/>
      </w:pPr>
      <w:r>
        <w:t>The news loader expects headline, url, publisher, date, and stock fields.</w:t>
      </w:r>
    </w:p>
    <w:p>
      <w:pPr>
        <w:pStyle w:val="ListBullet"/>
        <w:spacing w:after="40"/>
      </w:pPr>
      <w:r>
        <w:t>Publication timestamps are parsed as UTC-aware dates, and ticker symbols are normalized.</w:t>
      </w:r>
    </w:p>
    <w:p>
      <w:pPr>
        <w:pStyle w:val="ListBullet"/>
        <w:spacing w:after="40"/>
      </w:pPr>
      <w:r>
        <w:t>The notebook computes headline character and word counts, article counts by publisher, article counts by ticker, and publication date ranges.</w:t>
      </w:r>
    </w:p>
    <w:p>
      <w:pPr>
        <w:pStyle w:val="ListBullet"/>
        <w:spacing w:after="40"/>
      </w:pPr>
      <w:r>
        <w:t>TF-IDF is used to identify high-signal headline terms and phrases.</w:t>
      </w:r>
    </w:p>
    <w:p>
      <w:pPr>
        <w:pStyle w:val="ListBullet"/>
        <w:spacing w:after="40"/>
      </w:pPr>
      <w:r>
        <w:t>LDA topic modeling provides an initial view of recurring themes such as earnings, ratings, FDA events, M&amp;A, or guidance updates.</w:t>
      </w:r>
    </w:p>
    <w:p>
      <w:pPr>
        <w:pStyle w:val="ListBullet"/>
        <w:spacing w:after="40"/>
      </w:pPr>
      <w:r>
        <w:t>Publication volume is analyzed by calendar date and UTC hour to identify spikes and timing patterns.</w:t>
      </w:r>
    </w:p>
    <w:p>
      <w:pPr>
        <w:pStyle w:val="ListBullet"/>
        <w:spacing w:after="40"/>
      </w:pPr>
      <w:r>
        <w:t>Publisher email domains are extracted when available to understand organizational contribution patterns.</w:t>
      </w:r>
    </w:p>
    <w:p>
      <w:pPr>
        <w:pStyle w:val="Heading1"/>
      </w:pPr>
      <w:r>
        <w:t>Task 2: Quantitative Price Analysis</w:t>
      </w:r>
    </w:p>
    <w:p>
      <w:pPr>
        <w:pStyle w:val="ListBullet"/>
        <w:spacing w:after="40"/>
      </w:pPr>
      <w:r>
        <w:t>The price loader expects Date, Open, High, Low, Close, and Volume; Adj Close and Stock are recommended.</w:t>
      </w:r>
    </w:p>
    <w:p>
      <w:pPr>
        <w:pStyle w:val="ListBullet"/>
        <w:spacing w:after="40"/>
      </w:pPr>
      <w:r>
        <w:t>OHLCV fields are converted to numeric values, dates are parsed, and adjusted close is used for return calculations when available.</w:t>
      </w:r>
    </w:p>
    <w:p>
      <w:pPr>
        <w:pStyle w:val="ListBullet"/>
        <w:spacing w:after="40"/>
      </w:pPr>
      <w:r>
        <w:t>Missing numeric values are forward/backward filled within each ticker, then unusable rows are removed.</w:t>
      </w:r>
    </w:p>
    <w:p>
      <w:pPr>
        <w:pStyle w:val="ListBullet"/>
        <w:spacing w:after="40"/>
      </w:pPr>
      <w:r>
        <w:t>The pipeline computes SMA, EMA, RSI, MACD, MACD signal, MACD histogram, and daily adjusted-close return.</w:t>
      </w:r>
    </w:p>
    <w:p>
      <w:pPr>
        <w:pStyle w:val="ListBullet"/>
        <w:spacing w:after="40"/>
      </w:pPr>
      <w:r>
        <w:t>TA-Lib is used when installed, with pandas fallbacks to keep the notebook executable in environments without TA-Lib binaries.</w:t>
      </w:r>
    </w:p>
    <w:p>
      <w:pPr>
        <w:pStyle w:val="ListBullet"/>
        <w:spacing w:after="40"/>
      </w:pPr>
      <w:r>
        <w:t>PyNance availability is recorded, while stable metrics are computed for cumulative return, annualized volatility, maximum drawdown, and Sharpe ratio.</w:t>
      </w:r>
    </w:p>
    <w:p>
      <w:pPr>
        <w:pStyle w:val="ListBullet"/>
        <w:spacing w:after="40"/>
      </w:pPr>
      <w:r>
        <w:t>The notebook saves price-with-moving-average, RSI, and MACD visualizations to reports/figures/ when executed.</w:t>
      </w:r>
    </w:p>
    <w:p>
      <w:pPr>
        <w:pStyle w:val="Heading1"/>
      </w:pPr>
      <w:r>
        <w:t>Data Quality Considerations</w:t>
      </w:r>
    </w:p>
    <w:p>
      <w:pPr>
        <w:spacing w:after="120" w:line="259" w:lineRule="auto"/>
      </w:pPr>
      <w:r>
        <w:t>The raw FNSPID and historical price datasets are not included in the repository, so this report does not claim dataset-specific numeric findings.</w:t>
      </w:r>
    </w:p>
    <w:p>
      <w:pPr>
        <w:spacing w:after="120" w:line="259" w:lineRule="auto"/>
      </w:pPr>
      <w:r>
        <w:t>Before interpreting results, confirm ticker alignment, remove duplicate ticker-date rows, verify adjusted-close quality, and map news timestamps to the correct trading sessions.</w:t>
      </w:r>
    </w:p>
    <w:p>
      <w:pPr>
        <w:spacing w:after="120" w:line="259" w:lineRule="auto"/>
      </w:pPr>
      <w:r>
        <w:t>Publisher concentration and topic mix should be checked before treating aggregate sentiment as a single predictive signal.</w:t>
      </w:r>
    </w:p>
    <w:p>
      <w:pPr>
        <w:pStyle w:val="Heading1"/>
      </w:pPr>
      <w:r>
        <w:t>Strategic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Recommendation</w:t>
            </w:r>
          </w:p>
        </w:tc>
        <w:tc>
          <w:tcPr>
            <w:tcW w:type="dxa" w:w="7056"/>
            <w:vAlign w:val="center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Rationale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/>
                <w:sz w:val="19"/>
              </w:rPr>
              <w:t>Use adjusted close returns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Adjusted prices account for splits and dividends, making them more reliable for historical return analysis.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/>
                <w:sz w:val="19"/>
              </w:rPr>
              <w:t>Align news to trading sessions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After-hours headlines should generally be mapped to the next trading session when measuring price impact.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/>
                <w:sz w:val="19"/>
              </w:rPr>
              <w:t>Segment sentiment by topic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Earnings, analyst ratings, FDA events, and M&amp;A headlines may have different return relationships.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/>
                <w:sz w:val="19"/>
              </w:rPr>
              <w:t>Control for publisher concentration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Evaluate whether sentiment patterns reflect market narratives or repeated editorial style.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/>
                <w:sz w:val="19"/>
              </w:rPr>
              <w:t>Combine sentiment with indicators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Signals may be stronger when positive sentiment aligns with improving momentum indicators.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/>
                <w:sz w:val="19"/>
              </w:rPr>
              <w:t>Measure multiple event windows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Compare same-day, next-day, and multi-day returns after publication.</w:t>
            </w:r>
          </w:p>
        </w:tc>
      </w:tr>
    </w:tbl>
    <w:p>
      <w:pPr>
        <w:pStyle w:val="Heading1"/>
      </w:pPr>
      <w:r>
        <w:t>Limitations</w:t>
      </w:r>
    </w:p>
    <w:p>
      <w:pPr>
        <w:spacing w:after="120" w:line="259" w:lineRule="auto"/>
      </w:pPr>
      <w:r>
        <w:t>The current work creates the analytical foundation but does not yet produce final investment conclusions because raw data is not present in the workspace.</w:t>
      </w:r>
    </w:p>
    <w:p>
      <w:pPr>
        <w:spacing w:after="120" w:line="259" w:lineRule="auto"/>
      </w:pPr>
      <w:r>
        <w:t>Technical indicators are descriptive tools, not standalone forecasts. Sentiment-return correlations should be tested out of sample before being used in an investment strategy.</w:t>
      </w:r>
    </w:p>
    <w:p>
      <w:pPr>
        <w:pStyle w:val="Heading1"/>
      </w:pPr>
      <w:r>
        <w:t>Next Steps</w:t>
      </w:r>
    </w:p>
    <w:p>
      <w:pPr>
        <w:pStyle w:val="ListBullet"/>
        <w:spacing w:after="40"/>
      </w:pPr>
      <w:r>
        <w:t>Add the FNSPID news CSV to data/raw/.</w:t>
      </w:r>
    </w:p>
    <w:p>
      <w:pPr>
        <w:pStyle w:val="ListBullet"/>
        <w:spacing w:after="40"/>
      </w:pPr>
      <w:r>
        <w:t>Add historical stock-price CSV data to data/raw/.</w:t>
      </w:r>
    </w:p>
    <w:p>
      <w:pPr>
        <w:pStyle w:val="ListBullet"/>
        <w:spacing w:after="40"/>
      </w:pPr>
      <w:r>
        <w:t>Run notebooks/task_1_eda.ipynb.</w:t>
      </w:r>
    </w:p>
    <w:p>
      <w:pPr>
        <w:pStyle w:val="ListBullet"/>
        <w:spacing w:after="40"/>
      </w:pPr>
      <w:r>
        <w:t>Run notebooks/task_2_quantitative_analysis.ipynb.</w:t>
      </w:r>
    </w:p>
    <w:p>
      <w:pPr>
        <w:pStyle w:val="ListBullet"/>
        <w:spacing w:after="40"/>
      </w:pPr>
      <w:r>
        <w:t>Review generated figures in reports/figures/.</w:t>
      </w:r>
    </w:p>
    <w:p>
      <w:pPr>
        <w:pStyle w:val="ListBullet"/>
        <w:spacing w:after="40"/>
      </w:pPr>
      <w:r>
        <w:t>Proceed to sentiment scoring and correlation analysis in Task 3.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Nova Financial Solutions | Financial News and Price-Move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B2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