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Lens 1 worksheet: material-and-provenance map</w:t>
      </w:r>
    </w:p>
    <w:p>
      <w:pPr>
        <w:pStyle w:val="Subtitle"/>
      </w:pPr>
      <w:r>
        <w:t xml:space="preserve">Stochastic Parrots and Beyond · Lens 1 worksheet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Which environmental and data choices are hidden by a model’s apparent performance?</w:t>
      </w:r>
    </w:p>
    <w:p>
      <w:pPr>
        <w:pStyle w:val="BodyText"/>
      </w:pPr>
      <w:r>
        <w:rPr>
          <w:b/>
          <w:bCs/>
        </w:rPr>
        <w:t xml:space="preserve">Task (15 minutes, groups of three or four):</w:t>
      </w:r>
      <w:r>
        <w:t xml:space="preserve"> </w:t>
      </w:r>
      <w:r>
        <w:t xml:space="preserve">Choose your group’s research use, or use the prepared BLOOM case. Select</w:t>
      </w:r>
      <w:r>
        <w:t xml:space="preserve"> </w:t>
      </w:r>
      <w:r>
        <w:rPr>
          <w:b/>
          <w:bCs/>
        </w:rPr>
        <w:t xml:space="preserve">2–3 stages</w:t>
      </w:r>
      <w:r>
        <w:t xml:space="preserve"> </w:t>
      </w:r>
      <w:r>
        <w:t xml:space="preserve">(3 min). Record</w:t>
      </w:r>
      <w:r>
        <w:t xml:space="preserve"> </w:t>
      </w:r>
      <w:r>
        <w:rPr>
          <w:b/>
          <w:bCs/>
        </w:rPr>
        <w:t xml:space="preserve">Known, Unknown, Avoidable</w:t>
      </w:r>
      <w:r>
        <w:t xml:space="preserve">, with sources (8 min). Mark the largest unknown and one avoidable cost (2 min). Prepare:</w:t>
      </w:r>
      <w:r>
        <w:t xml:space="preserve"> </w:t>
      </w:r>
      <w:r>
        <w:t xml:space="preserve">“The choice that the performance of this system hides most is …”</w:t>
      </w:r>
      <w:r>
        <w:t xml:space="preserve"> </w:t>
      </w:r>
      <w:r>
        <w:t xml:space="preserve">(2 min). Write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for missing evidence. Mark other stages</w:t>
      </w:r>
      <w:r>
        <w:t xml:space="preserve"> </w:t>
      </w:r>
      <w:r>
        <w:rPr>
          <w:b/>
          <w:bCs/>
        </w:rPr>
        <w:t xml:space="preserve">Not examined</w:t>
      </w:r>
      <w:r>
        <w:t xml:space="preserve">. Label suggested changes</w:t>
      </w:r>
      <w:r>
        <w:t xml:space="preserve"> </w:t>
      </w:r>
      <w:r>
        <w:rPr>
          <w:b/>
          <w:bCs/>
        </w:rPr>
        <w:t xml:space="preserve">PROPOSED</w:t>
      </w:r>
      <w:r>
        <w:t xml:space="preserve">. See the</w:t>
      </w:r>
      <w:r>
        <w:t xml:space="preserve"> </w:t>
      </w:r>
      <w:hyperlink r:id="rId9">
        <w:r>
          <w:rPr>
            <w:rStyle w:val="Hyperlink"/>
          </w:rPr>
          <w:t xml:space="preserve">Lens 1 page</w:t>
        </w:r>
      </w:hyperlink>
      <w:r>
        <w:t xml:space="preserve">.</w:t>
      </w:r>
    </w:p>
    <w:p>
      <w:pPr>
        <w:pStyle w:val="BodyText"/>
      </w:pPr>
      <w:r>
        <w:t xml:space="preserve">System: ______________________________________________</w:t>
      </w:r>
    </w:p>
    <w:p>
      <w:pPr>
        <w:pStyle w:val="TableCaption"/>
      </w:pPr>
      <w:r>
        <w:t xml:space="preserve">Material-and-provenance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aterial-and-provenance map"/>
      </w:tblPr>
      <w:tblGrid>
        <w:gridCol w:w="1504"/>
        <w:gridCol w:w="2138"/>
        <w:gridCol w:w="2138"/>
        <w:gridCol w:w="21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Known (with source)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Avoidable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Collection and filtering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Hardware and location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Deployment and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Your own use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br w:type="page"/>
      </w:r>
    </w:p>
    <w:p>
      <w:pPr>
        <w:pStyle w:val="TableCaption"/>
      </w:pPr>
      <w:r>
        <w:t xml:space="preserve">Findings for the plenary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dings for the plenary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largest unknown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One avoidable cost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Sentence for the plenary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1" w:name="transfer-to-the-shared-fields"/>
    <w:p>
      <w:pPr>
        <w:pStyle w:val="Heading2"/>
      </w:pPr>
      <w:r>
        <w:t xml:space="preserve">Transfer to the shared fields</w:t>
      </w:r>
    </w:p>
    <w:p>
      <w:pPr>
        <w:pStyle w:val="FirstParagraph"/>
      </w:pPr>
      <w:r>
        <w:t xml:space="preserve">Transfer your main finding to the shared fields during the research-use clinic. This step is outside the 15-minute activity.</w:t>
      </w:r>
    </w:p>
    <w:p>
      <w:pPr>
        <w:pStyle w:val="TableCaption"/>
      </w:pPr>
      <w:r>
        <w:t xml:space="preserve">The twelve shared worksheet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twelve shared worksheet fields"/>
      </w:tblPr>
      <w:tblGrid>
        <w:gridCol w:w="2217"/>
        <w:gridCol w:w="57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use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System or vendor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People affected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Risk or benefit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Severity and uncertainty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Existing mitigation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Possible alternative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Disclosure requirement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Institutional 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 action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Original handout,</w:t>
      </w:r>
      <w:r>
        <w:t xml:space="preserve"> </w:t>
      </w:r>
      <w:hyperlink r:id="rId10">
        <w:r>
          <w:rPr>
            <w:rStyle w:val="Hyperlink"/>
          </w:rPr>
          <w:t xml:space="preserve">CC BY 4.0</w:t>
        </w:r>
      </w:hyperlink>
      <w:r>
        <w:t xml:space="preserve"> </w:t>
      </w:r>
      <w:r>
        <w:t xml:space="preserve">· Stochastic Parrots and Beyond, Laura Wagner and Moritz Mähr.</w:t>
      </w:r>
    </w:p>
    <w:bookmarkEnd w:id="11"/>
    <w:sectPr>
      <w:footnotePr>
        <w:numRestart w:val="eachSect"/>
      </w:footnotePr>
      <w:pgSz w:h="11906" w:orient="landscape" w:w="16838"/>
      <w:pgMar w:bottom="850" w:footer="425" w:gutter="0" w:header="425" w:left="907" w:right="907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trHeight w:hRule="atLeast" w:val="510"/>
    </w:tr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lenses/01-scale.qmd" TargetMode="External" /><Relationship Type="http://schemas.openxmlformats.org/officeDocument/2006/relationships/hyperlink" Id="rId10" Target="https://creativecommons.org/licenses/by/4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lenses/01-scale.qmd" TargetMode="External" /><Relationship Type="http://schemas.openxmlformats.org/officeDocument/2006/relationships/hyperlink" Id="rId10" Target="https://creativecommons.org/licenses/by/4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Lens 1 worksheet: material-and-provenance map</dc:title>
  <dc:creator/>
  <dc:description>Select two or three stages from data sources to use. Note what is known, unknown, and avoidable.</dc:description>
  <dc:language>en-US</dc:language>
  <cp:keywords/>
  <dcterms:created xsi:type="dcterms:W3CDTF">2026-10-21T09:02:35Z</dcterms:created>
  <dcterms:modified xsi:type="dcterms:W3CDTF">2026-10-21T09:02:35Z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-format">
    <vt:lpwstr>D MMMM YYYY</vt:lpwstr>
  </property>
  <property fmtid="{D5CDD505-2E9C-101B-9397-08002B2CF9AE}" pid="5" name="date-modified">
    <vt:lpwstr>21 October 2026</vt:lpwstr>
  </property>
  <property fmtid="{D5CDD505-2E9C-101B-9397-08002B2CF9AE}" pid="6" name="editions">
    <vt:lpwstr/>
  </property>
  <property fmtid="{D5CDD505-2E9C-101B-9397-08002B2CF9AE}" pid="7" name="editor">
    <vt:lpwstr>visual</vt:lpwstr>
  </property>
  <property fmtid="{D5CDD505-2E9C-101B-9397-08002B2CF9AE}" pid="8" name="featured_edition">
    <vt:lpwstr>hs2026</vt:lpwstr>
  </property>
  <property fmtid="{D5CDD505-2E9C-101B-9397-08002B2CF9AE}" pid="9" name="fontsize">
    <vt:lpwstr>10.5pt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link-citations">
    <vt:lpwstr>False</vt:lpwstr>
  </property>
  <property fmtid="{D5CDD505-2E9C-101B-9397-08002B2CF9AE}" pid="16" name="mainfont">
    <vt:lpwstr>IBM Plex Sans</vt:lpwstr>
  </property>
  <property fmtid="{D5CDD505-2E9C-101B-9397-08002B2CF9AE}" pid="17" name="margin">
    <vt:lpwstr/>
  </property>
  <property fmtid="{D5CDD505-2E9C-101B-9397-08002B2CF9AE}" pid="18" name="papersize">
    <vt:lpwstr>a4</vt:lpwstr>
  </property>
  <property fmtid="{D5CDD505-2E9C-101B-9397-08002B2CF9AE}" pid="19" name="subtitle">
    <vt:lpwstr>Stochastic Parrots and Beyond · Lens 1 worksheet</vt:lpwstr>
  </property>
  <property fmtid="{D5CDD505-2E9C-101B-9397-08002B2CF9AE}" pid="20" name="suppress-bibliography">
    <vt:lpwstr>True</vt:lpwstr>
  </property>
  <property fmtid="{D5CDD505-2E9C-101B-9397-08002B2CF9AE}" pid="21" name="toc-title">
    <vt:lpwstr>Table of contents</vt:lpwstr>
  </property>
</Properties>
</file>