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Lens 3 worksheet: lifecycle risk matrix</w:t>
      </w:r>
    </w:p>
    <w:p>
      <w:pPr>
        <w:pStyle w:val="Subtitle"/>
      </w:pPr>
      <w:r>
        <w:t xml:space="preserve">Stochastic Parrots and Beyond · Lens 3 worksheet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Who does the work, carries the risk, or has no recourse?</w:t>
      </w:r>
    </w:p>
    <w:p>
      <w:pPr>
        <w:pStyle w:val="BodyText"/>
      </w:pPr>
      <w:r>
        <w:rPr>
          <w:b/>
          <w:bCs/>
        </w:rPr>
        <w:t xml:space="preserve">Task (15 minutes, groups of three or four):</w:t>
      </w:r>
      <w:r>
        <w:t xml:space="preserve"> </w:t>
      </w:r>
      <w:r>
        <w:t xml:space="preserve">Choose your group’s research use, or use ChatGPT and the prepared Kenya case. Select</w:t>
      </w:r>
      <w:r>
        <w:t xml:space="preserve"> </w:t>
      </w:r>
      <w:r>
        <w:rPr>
          <w:b/>
          <w:bCs/>
        </w:rPr>
        <w:t xml:space="preserve">2–3 stages</w:t>
      </w:r>
      <w:r>
        <w:t xml:space="preserve"> </w:t>
      </w:r>
      <w:r>
        <w:t xml:space="preserve">(3 min). Record</w:t>
      </w:r>
      <w:r>
        <w:t xml:space="preserve"> </w:t>
      </w:r>
      <w:r>
        <w:rPr>
          <w:b/>
          <w:bCs/>
        </w:rPr>
        <w:t xml:space="preserve">who works, who carries the risk, and who has recourse</w:t>
      </w:r>
      <w:r>
        <w:t xml:space="preserve">, with sources (7 min). Mark the highest risk and your greatest influence among those stages (2 min). Write one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intervention (3 min). Write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for missing evidence. Mark other stages</w:t>
      </w:r>
      <w:r>
        <w:t xml:space="preserve"> </w:t>
      </w:r>
      <w:r>
        <w:rPr>
          <w:b/>
          <w:bCs/>
        </w:rPr>
        <w:t xml:space="preserve">Not examined</w:t>
      </w:r>
      <w:r>
        <w:t xml:space="preserve">. See the</w:t>
      </w:r>
      <w:r>
        <w:t xml:space="preserve"> </w:t>
      </w:r>
      <w:hyperlink r:id="rId9">
        <w:r>
          <w:rPr>
            <w:rStyle w:val="Hyperlink"/>
          </w:rPr>
          <w:t xml:space="preserve">Lens 3 page</w:t>
        </w:r>
      </w:hyperlink>
      <w:r>
        <w:t xml:space="preserve">.</w:t>
      </w:r>
    </w:p>
    <w:p>
      <w:pPr>
        <w:pStyle w:val="BodyText"/>
      </w:pPr>
      <w:r>
        <w:t xml:space="preserve">System: ______________________________________________</w:t>
      </w:r>
    </w:p>
    <w:p>
      <w:pPr>
        <w:pStyle w:val="TableCaption"/>
      </w:pPr>
      <w:r>
        <w:t xml:space="preserve">Lifecycle risk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Lifecycle risk matrix"/>
      </w:tblPr>
      <w:tblGrid>
        <w:gridCol w:w="1267"/>
        <w:gridCol w:w="1108"/>
        <w:gridCol w:w="1108"/>
        <w:gridCol w:w="1108"/>
        <w:gridCol w:w="1108"/>
        <w:gridCol w:w="1108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does the work?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Who carries the risk?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Who has recourse?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Possible intervention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p>
      <w:pPr>
        <w:pStyle w:val="TableCaption"/>
      </w:pPr>
      <w:r>
        <w:t xml:space="preserve">Findings for the plenary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dings for the plenary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stage of highest risk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The stage where you have most influence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One intervention at that stage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1" w:name="transfer-to-the-shared-fields"/>
    <w:p>
      <w:pPr>
        <w:pStyle w:val="Heading2"/>
      </w:pPr>
      <w:r>
        <w:t xml:space="preserve">Transfer to the shared fields</w:t>
      </w:r>
    </w:p>
    <w:p>
      <w:pPr>
        <w:pStyle w:val="FirstParagraph"/>
      </w:pPr>
      <w:r>
        <w:t xml:space="preserve">Transfer your main finding to the shared fields during the research-use clinic. This step is outside the 15-minute activity.</w:t>
      </w:r>
    </w:p>
    <w:p>
      <w:pPr>
        <w:pStyle w:val="TableCaption"/>
      </w:pPr>
      <w:r>
        <w:t xml:space="preserve">The twelve shared worksheet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twelve shared worksheet fields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use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 or vendor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People affected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Risk or benefit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Severity and uncertainty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Existing mitigation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Possible alternative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Disclosure requirement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Institutional owner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Next action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Original handout,</w:t>
      </w:r>
      <w:r>
        <w:t xml:space="preserve"> </w:t>
      </w:r>
      <w:hyperlink r:id="rId10">
        <w:r>
          <w:rPr>
            <w:rStyle w:val="Hyperlink"/>
          </w:rPr>
          <w:t xml:space="preserve">CC BY 4.0</w:t>
        </w:r>
      </w:hyperlink>
      <w:r>
        <w:t xml:space="preserve"> </w:t>
      </w:r>
      <w:r>
        <w:t xml:space="preserve">· Stochastic Parrots and Beyond, Laura Wagner and Moritz Mähr.</w:t>
      </w:r>
    </w:p>
    <w:bookmarkEnd w:id="11"/>
    <w:sectPr>
      <w:footnotePr>
        <w:numRestart w:val="eachSect"/>
      </w:footnotePr>
      <w:pgSz w:h="11906" w:orient="landscape" w:w="16838"/>
      <w:pgMar w:bottom="850" w:footer="425" w:gutter="0" w:header="425" w:left="907" w:right="907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trHeight w:hRule="atLeast" w:val="510"/>
    </w:tr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lenses/03-lifecycle-labor.qmd" TargetMode="External" /><Relationship Type="http://schemas.openxmlformats.org/officeDocument/2006/relationships/hyperlink" Id="rId10" Target="https://creativecommons.org/licenses/by/4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lenses/03-lifecycle-labor.qmd" TargetMode="External" /><Relationship Type="http://schemas.openxmlformats.org/officeDocument/2006/relationships/hyperlink" Id="rId10" Target="https://creativecommons.org/licenses/by/4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Lens 3 worksheet: lifecycle risk matrix</dc:title>
  <dc:creator/>
  <dc:description>Select two or three lifecycle stages. Note who works, who carries the risk, and who has recourse.</dc:description>
  <dc:language>en-US</dc:language>
  <cp:keywords/>
  <dcterms:created xsi:type="dcterms:W3CDTF">2026-10-21T09:02:37Z</dcterms:created>
  <dcterms:modified xsi:type="dcterms:W3CDTF">2026-10-21T09:02:37Z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-format">
    <vt:lpwstr>D MMMM YYYY</vt:lpwstr>
  </property>
  <property fmtid="{D5CDD505-2E9C-101B-9397-08002B2CF9AE}" pid="5" name="date-modified">
    <vt:lpwstr>21 October 2026</vt:lpwstr>
  </property>
  <property fmtid="{D5CDD505-2E9C-101B-9397-08002B2CF9AE}" pid="6" name="editions">
    <vt:lpwstr/>
  </property>
  <property fmtid="{D5CDD505-2E9C-101B-9397-08002B2CF9AE}" pid="7" name="editor">
    <vt:lpwstr>visual</vt:lpwstr>
  </property>
  <property fmtid="{D5CDD505-2E9C-101B-9397-08002B2CF9AE}" pid="8" name="featured_edition">
    <vt:lpwstr>hs2026</vt:lpwstr>
  </property>
  <property fmtid="{D5CDD505-2E9C-101B-9397-08002B2CF9AE}" pid="9" name="fontsize">
    <vt:lpwstr>10.5pt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link-citations">
    <vt:lpwstr>False</vt:lpwstr>
  </property>
  <property fmtid="{D5CDD505-2E9C-101B-9397-08002B2CF9AE}" pid="16" name="mainfont">
    <vt:lpwstr>IBM Plex Sans</vt:lpwstr>
  </property>
  <property fmtid="{D5CDD505-2E9C-101B-9397-08002B2CF9AE}" pid="17" name="margin">
    <vt:lpwstr/>
  </property>
  <property fmtid="{D5CDD505-2E9C-101B-9397-08002B2CF9AE}" pid="18" name="papersize">
    <vt:lpwstr>a4</vt:lpwstr>
  </property>
  <property fmtid="{D5CDD505-2E9C-101B-9397-08002B2CF9AE}" pid="19" name="subtitle">
    <vt:lpwstr>Stochastic Parrots and Beyond · Lens 3 worksheet</vt:lpwstr>
  </property>
  <property fmtid="{D5CDD505-2E9C-101B-9397-08002B2CF9AE}" pid="20" name="suppress-bibliography">
    <vt:lpwstr>True</vt:lpwstr>
  </property>
  <property fmtid="{D5CDD505-2E9C-101B-9397-08002B2CF9AE}" pid="21" name="toc-title">
    <vt:lpwstr>Table of contents</vt:lpwstr>
  </property>
</Properties>
</file>