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auto" w:line="360"/>
        <w:rPr>
          <w:rFonts w:cs="Guttman Keren"/>
          <w:sz w:val="28"/>
          <w:szCs w:val="28"/>
        </w:rPr>
      </w:pPr>
      <w:r>
        <w:rPr>
          <w:rFonts w:cs="Guttman Keren"/>
          <w:i/>
          <w:iCs/>
          <w:sz w:val="28"/>
          <w:szCs w:val="28"/>
        </w:rPr>
        <w:t>Hosea</w:t>
      </w:r>
      <w:r>
        <w:rPr>
          <w:rFonts w:cs="Guttman Keren"/>
          <w:sz w:val="28"/>
          <w:szCs w:val="28"/>
        </w:rPr>
        <w:t xml:space="preserve"> 2</w:t>
      </w:r>
    </w:p>
    <w:p>
      <w:pPr>
        <w:pStyle w:val="Normal"/>
        <w:bidi w:val="0"/>
        <w:spacing w:lineRule="auto" w:line="36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</w:t>
      </w:r>
      <w:r>
        <w:rPr>
          <w:rFonts w:cs="Times New Roman"/>
          <w:b/>
          <w:bCs/>
          <w:sz w:val="28"/>
          <w:szCs w:val="28"/>
        </w:rPr>
        <w:t>–2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]*</w:t>
      </w:r>
      <w:r>
        <w:rPr>
          <w:sz w:val="28"/>
          <w:szCs w:val="28"/>
        </w:rPr>
        <w:t xml:space="preserve"> 1</w:t>
      </w:r>
      <w:r>
        <w:rPr>
          <w:sz w:val="28"/>
          <w:szCs w:val="28"/>
          <w:vertAlign w:val="subscript"/>
        </w:rPr>
        <w:t>10</w:t>
      </w:r>
      <w:r>
        <w:rPr>
          <w:rFonts w:cs="Times New Roman"/>
          <w:sz w:val="28"/>
          <w:szCs w:val="28"/>
          <w:vertAlign w:val="subscript"/>
        </w:rPr>
        <w:t>–</w:t>
      </w:r>
      <w:r>
        <w:rPr>
          <w:sz w:val="28"/>
          <w:szCs w:val="28"/>
          <w:vertAlign w:val="subscript"/>
        </w:rPr>
        <w:t>11</w:t>
      </w:r>
    </w:p>
    <w:p>
      <w:pPr>
        <w:pStyle w:val="Normal"/>
        <w:bidi w:val="0"/>
        <w:spacing w:lineRule="auto" w:line="360"/>
        <w:jc w:val="left"/>
        <w:rPr/>
      </w:pPr>
      <w:r>
        <w:rPr>
          <w:b/>
          <w:bCs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ימד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verb/nom</w:t>
      </w:r>
    </w:p>
    <w:p>
      <w:pPr>
        <w:pStyle w:val="Normal"/>
        <w:bidi w:val="0"/>
        <w:spacing w:lineRule="auto" w:line="36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ולא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יספר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</w:t>
      </w:r>
      <w:r>
        <w:rPr>
          <w:rFonts w:cs="Guttman Keren"/>
          <w:sz w:val="28"/>
          <w:sz w:val="28"/>
          <w:szCs w:val="28"/>
          <w:rtl w:val="true"/>
        </w:rPr>
        <w:t>ֵ</w:t>
      </w:r>
      <w:r>
        <w:rPr>
          <w:rFonts w:cs="Guttman Keren"/>
          <w:sz w:val="28"/>
          <w:sz w:val="28"/>
          <w:szCs w:val="28"/>
          <w:rtl w:val="true"/>
        </w:rPr>
        <w:t>א</w:t>
      </w:r>
      <w:r>
        <w:rPr>
          <w:rFonts w:cs="Guttman Keren"/>
          <w:sz w:val="28"/>
          <w:sz w:val="28"/>
          <w:szCs w:val="28"/>
          <w:rtl w:val="true"/>
        </w:rPr>
        <w:t>ָ</w:t>
      </w:r>
      <w:r>
        <w:rPr>
          <w:rFonts w:cs="Guttman Keren"/>
          <w:sz w:val="28"/>
          <w:sz w:val="28"/>
          <w:szCs w:val="28"/>
          <w:rtl w:val="true"/>
        </w:rPr>
        <w:t>מ</w:t>
      </w:r>
      <w:r>
        <w:rPr>
          <w:rFonts w:cs="Guttman Keren"/>
          <w:sz w:val="28"/>
          <w:sz w:val="28"/>
          <w:szCs w:val="28"/>
          <w:rtl w:val="true"/>
        </w:rPr>
        <w:t>ֵ</w:t>
      </w:r>
      <w:r>
        <w:rPr>
          <w:rFonts w:cs="Guttman Keren"/>
          <w:sz w:val="28"/>
          <w:sz w:val="28"/>
          <w:szCs w:val="28"/>
          <w:rtl w:val="true"/>
        </w:rPr>
        <w:t>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להם</w:t>
      </w:r>
      <w:r>
        <w:rPr>
          <w:rFonts w:cs="Guttman Keren"/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 xml:space="preserve">diath |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pr </w:t>
      </w:r>
      <w:r>
        <w:rPr>
          <w:rFonts w:cs="Times New Roman" w:ascii="GFS Porson" w:hAnsi="GFS Porson"/>
          <w:sz w:val="28"/>
          <w:szCs w:val="28"/>
          <w:lang w:val="el-GR"/>
        </w:rPr>
        <w:t>ἐκεῖ</w:t>
      </w:r>
      <w:r>
        <w:rPr>
          <w:rStyle w:val="FootnoteCharacters"/>
          <w:rStyle w:val="FootnoteAnchor"/>
          <w:sz w:val="28"/>
          <w:szCs w:val="28"/>
        </w:rPr>
        <w:footnoteReference w:id="2"/>
      </w:r>
      <w:r>
        <w:rPr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3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לַאֲחֵיכם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num</w:t>
      </w:r>
      <w:r>
        <w:rPr>
          <w:rStyle w:val="FootnoteCharacters"/>
          <w:rStyle w:val="FootnoteAnchor"/>
          <w:sz w:val="28"/>
          <w:szCs w:val="28"/>
        </w:rPr>
        <w:footnoteReference w:id="3"/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ולאחותיכם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]*</w:t>
      </w:r>
      <w:r>
        <w:rPr>
          <w:sz w:val="28"/>
          <w:szCs w:val="28"/>
        </w:rPr>
        <w:t xml:space="preserve"> num</w:t>
      </w:r>
      <w:r>
        <w:rPr>
          <w:rStyle w:val="FootnoteCharacters"/>
          <w:rStyle w:val="FootnoteAnchor"/>
          <w:sz w:val="28"/>
          <w:szCs w:val="28"/>
        </w:rPr>
        <w:footnoteReference w:id="4"/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תסר</w:t>
      </w:r>
      <w:r>
        <w:rPr>
          <w:rFonts w:cs="Guttman Keren"/>
          <w:sz w:val="28"/>
          <w:szCs w:val="28"/>
          <w:rtl w:val="true"/>
        </w:rPr>
        <w:t>)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*[</w:t>
      </w:r>
      <w:r>
        <w:rPr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תסר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מפניה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ἐξαρῶ</w:t>
      </w:r>
      <w:r>
        <w:rPr>
          <w:rFonts w:cs="Times New Roman" w:ascii="GFS Porson" w:hAnsi="GFS Porson"/>
          <w:sz w:val="28"/>
          <w:szCs w:val="28"/>
        </w:rPr>
        <w:t xml:space="preserve"> … </w:t>
      </w:r>
      <w:r>
        <w:rPr>
          <w:rFonts w:cs="Times New Roman" w:ascii="GFS Porson" w:hAnsi="GFS Porson"/>
          <w:sz w:val="28"/>
          <w:szCs w:val="28"/>
          <w:lang w:val="el-GR"/>
        </w:rPr>
        <w:t>ἐκ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προσώπου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μου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פן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ὅπως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ἂν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"/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יום</w:t>
      </w:r>
      <w:r>
        <w:rPr>
          <w:rFonts w:cs="Guttman Keren"/>
          <w:sz w:val="28"/>
          <w:szCs w:val="28"/>
          <w:rtl w:val="true"/>
        </w:rPr>
        <w:t>)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καθὼς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ἐν</w:t>
      </w:r>
      <w:r>
        <w:rPr>
          <w:rStyle w:val="FootnoteCharacters"/>
          <w:rStyle w:val="FootnoteAnchor"/>
          <w:sz w:val="28"/>
          <w:szCs w:val="28"/>
        </w:rPr>
        <w:footnoteReference w:id="7"/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ושמתיה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ושתה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sz w:val="28"/>
          <w:szCs w:val="28"/>
        </w:rPr>
        <w:t xml:space="preserve"> condens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מדבר</w:t>
      </w:r>
      <w:r>
        <w:rPr>
          <w:rFonts w:cs="Guttman Keren"/>
          <w:sz w:val="28"/>
          <w:szCs w:val="28"/>
          <w:rtl w:val="true"/>
        </w:rPr>
        <w:t xml:space="preserve">) ... 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ארץ</w:t>
      </w:r>
      <w:r>
        <w:rPr>
          <w:rFonts w:cs="Guttman Keren"/>
          <w:sz w:val="28"/>
          <w:szCs w:val="28"/>
          <w:rtl w:val="true"/>
        </w:rPr>
        <w:t>)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pre</w:t>
      </w:r>
      <w:r>
        <w:rPr>
          <w:rFonts w:cs="Times New Roman"/>
          <w:sz w:val="28"/>
          <w:szCs w:val="28"/>
        </w:rPr>
        <w:t>p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7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נתני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μοι</w:t>
      </w:r>
      <w:r>
        <w:rPr>
          <w:rStyle w:val="FootnoteCharacters"/>
          <w:rStyle w:val="FootnoteAnchor"/>
          <w:sz w:val="28"/>
          <w:szCs w:val="28"/>
        </w:rPr>
        <w:footnoteReference w:id="8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שמני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&amp;</w:t>
      </w:r>
      <w:r>
        <w:rPr>
          <w:sz w:val="28"/>
          <w:szCs w:val="28"/>
        </w:rPr>
        <w:t xml:space="preserve"> |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pr 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τὸν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οἶνόν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μου</w:t>
      </w:r>
      <w:r>
        <w:rPr>
          <w:rStyle w:val="FootnoteCharacters"/>
          <w:rStyle w:val="FootnoteAnchor"/>
          <w:sz w:val="28"/>
          <w:szCs w:val="28"/>
        </w:rPr>
        <w:footnoteReference w:id="9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T-</w:t>
      </w:r>
      <w:r>
        <w:rPr>
          <w:rFonts w:cs="Times New Roman"/>
          <w:sz w:val="28"/>
          <w:szCs w:val="28"/>
        </w:rPr>
        <w:t xml:space="preserve"> &gt; pron</w:t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שקויָי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πάντα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ὅσα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μοι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καθήκει</w:t>
      </w:r>
      <w:r>
        <w:rPr>
          <w:rStyle w:val="FootnoteCharacters"/>
          <w:rStyle w:val="FootnoteAnchor"/>
          <w:sz w:val="28"/>
          <w:szCs w:val="28"/>
        </w:rPr>
        <w:footnoteReference w:id="10"/>
      </w:r>
      <w:r>
        <w:rPr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8</w:t>
      </w:r>
    </w:p>
    <w:p>
      <w:pPr>
        <w:pStyle w:val="Normal"/>
        <w:bidi w:val="0"/>
        <w:spacing w:lineRule="auto" w:line="360"/>
        <w:jc w:val="left"/>
        <w:rPr/>
      </w:pPr>
      <w:r>
        <w:rPr>
          <w:rFonts w:cs="Times New Roman"/>
          <w:b/>
          <w:bCs/>
          <w:sz w:val="28"/>
          <w:szCs w:val="28"/>
        </w:rPr>
        <w:t>8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דרכך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][</w:t>
      </w:r>
      <w:r>
        <w:rPr>
          <w:sz w:val="28"/>
          <w:szCs w:val="28"/>
        </w:rPr>
        <w:t xml:space="preserve"> pron</w:t>
      </w:r>
      <w:r>
        <w:rPr>
          <w:rStyle w:val="FootnoteCharacters"/>
          <w:rStyle w:val="FootnoteAnchor"/>
          <w:sz w:val="28"/>
          <w:szCs w:val="28"/>
        </w:rPr>
        <w:footnoteReference w:id="11"/>
      </w:r>
      <w:r>
        <w:rPr>
          <w:sz w:val="28"/>
          <w:szCs w:val="28"/>
        </w:rPr>
        <w:t xml:space="preserve"> | </w:t>
      </w:r>
      <w:r>
        <w:rPr>
          <w:rFonts w:cs="HUBPSigla" w:ascii="HUBPSigla" w:hAnsi="HUBPSigla"/>
          <w:sz w:val="28"/>
          <w:szCs w:val="28"/>
        </w:rPr>
        <w:t>*h[T</w:t>
      </w:r>
      <w:r>
        <w:rPr>
          <w:sz w:val="28"/>
          <w:szCs w:val="28"/>
        </w:rPr>
        <w:t xml:space="preserve"> num</w:t>
      </w:r>
    </w:p>
    <w:p>
      <w:pPr>
        <w:pStyle w:val="Normal"/>
        <w:bidi w:val="0"/>
        <w:spacing w:lineRule="auto" w:line="360"/>
        <w:jc w:val="left"/>
        <w:rPr>
          <w:i/>
          <w:i/>
          <w:iCs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גדרה</w:t>
      </w:r>
      <w:r>
        <w:rPr>
          <w:rFonts w:cs="Guttman Keren"/>
          <w:sz w:val="28"/>
          <w:sz w:val="28"/>
          <w:szCs w:val="28"/>
          <w:rtl w:val="true"/>
        </w:rPr>
        <w:t>ּ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τὰς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ὁδοὺς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αὐτῆς</w:t>
      </w:r>
      <w:r>
        <w:rPr>
          <w:rStyle w:val="FootnoteCharacters"/>
          <w:rStyle w:val="FootnoteAnchor"/>
          <w:sz w:val="28"/>
          <w:szCs w:val="28"/>
        </w:rPr>
        <w:footnoteReference w:id="12"/>
      </w:r>
      <w:r>
        <w:rPr>
          <w:rFonts w:cs="Times New Roman"/>
          <w:sz w:val="28"/>
          <w:szCs w:val="28"/>
        </w:rPr>
        <w:t xml:space="preserve"> =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]hT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&gt; pron</w:t>
      </w:r>
    </w:p>
    <w:p>
      <w:pPr>
        <w:pStyle w:val="Normal"/>
        <w:bidi w:val="0"/>
        <w:spacing w:lineRule="auto" w:line="360"/>
        <w:jc w:val="left"/>
        <w:rPr>
          <w:i/>
          <w:i/>
          <w:iCs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ונתיבותיה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][</w:t>
      </w:r>
      <w:r>
        <w:rPr>
          <w:sz w:val="28"/>
          <w:szCs w:val="28"/>
        </w:rPr>
        <w:t xml:space="preserve"> num </w:t>
      </w:r>
      <w:r>
        <w:rPr>
          <w:rFonts w:cs="Times New Roman"/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[Th</w:t>
      </w:r>
      <w:r>
        <w:rPr>
          <w:sz w:val="28"/>
          <w:szCs w:val="28"/>
        </w:rPr>
        <w:t xml:space="preserve"> &gt; pron </w:t>
      </w:r>
    </w:p>
    <w:p>
      <w:pPr>
        <w:pStyle w:val="Normal"/>
        <w:bidi w:val="0"/>
        <w:spacing w:lineRule="auto" w:line="36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תמצא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][</w:t>
      </w:r>
      <w:r>
        <w:rPr>
          <w:sz w:val="28"/>
          <w:szCs w:val="28"/>
        </w:rPr>
        <w:t xml:space="preserve"> + pron</w:t>
      </w:r>
      <w:r>
        <w:rPr>
          <w:rStyle w:val="FootnoteCharacters"/>
          <w:rStyle w:val="FootnoteAnchor"/>
          <w:sz w:val="28"/>
          <w:szCs w:val="28"/>
        </w:rPr>
        <w:footnoteReference w:id="13"/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אלכה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ואשובה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rFonts w:cs="David"/>
          <w:sz w:val="28"/>
          <w:szCs w:val="28"/>
        </w:rPr>
        <w:t xml:space="preserve"> ~</w:t>
      </w:r>
      <w:r>
        <w:rPr>
          <w:rStyle w:val="FootnoteCharacters"/>
          <w:rStyle w:val="FootnoteAnchor"/>
          <w:sz w:val="28"/>
          <w:szCs w:val="28"/>
        </w:rPr>
        <w:footnoteReference w:id="14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וכסף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+ </w:t>
      </w:r>
      <w:bookmarkStart w:id="0" w:name="_Ref119469393"/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χρυσίον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5"/>
      </w:r>
      <w:bookmarkEnd w:id="0"/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 w:ascii="HUBPSigla" w:hAnsi="HUBPSigla"/>
          <w:sz w:val="28"/>
          <w:szCs w:val="28"/>
          <w:vertAlign w:val="subscript"/>
        </w:rPr>
        <w:t>v</w:t>
      </w:r>
      <w:r>
        <w:rPr>
          <w:rFonts w:cs="Guttman Keren"/>
          <w:sz w:val="28"/>
          <w:sz w:val="28"/>
          <w:szCs w:val="28"/>
          <w:rtl w:val="true"/>
        </w:rPr>
        <w:t>וזהב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>αὐτὴ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δὲ</w:t>
      </w:r>
      <w:r>
        <w:rPr>
          <w:rFonts w:cs="Times New Roman" w:ascii="HUBPSigla" w:hAnsi="HUBPSigla"/>
          <w:sz w:val="28"/>
          <w:szCs w:val="28"/>
        </w:rPr>
        <w:t>,</w:t>
      </w:r>
      <w:bookmarkStart w:id="1" w:name="_Ref235950525"/>
      <w:r>
        <w:rPr>
          <w:rFonts w:cs="Times New Roman" w:ascii="GFS Porson" w:hAnsi="GFS Porson"/>
          <w:sz w:val="28"/>
          <w:szCs w:val="28"/>
          <w:lang w:val="el-GR"/>
        </w:rPr>
        <w:t>ἀργυρᾶ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χρυσᾶ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6"/>
      </w:r>
      <w:bookmarkEnd w:id="1"/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עשו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pers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7"/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|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pr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ܘܡܢܗ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18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ל</w:t>
      </w:r>
      <w:r>
        <w:rPr>
          <w:rFonts w:cs="Guttman Keren"/>
          <w:sz w:val="28"/>
          <w:szCs w:val="28"/>
          <w:rtl w:val="true"/>
          <w:lang w:val="el-GR"/>
        </w:rPr>
        <w:t>(</w:t>
      </w:r>
      <w:r>
        <w:rPr>
          <w:rFonts w:cs="Guttman Keren"/>
          <w:sz w:val="28"/>
          <w:sz w:val="28"/>
          <w:szCs w:val="28"/>
          <w:rtl w:val="true"/>
          <w:lang w:val="el-GR"/>
        </w:rPr>
        <w:t>בעל</w:t>
      </w:r>
      <w:r>
        <w:rPr>
          <w:rFonts w:cs="Guttman Keren"/>
          <w:sz w:val="28"/>
          <w:szCs w:val="28"/>
          <w:rtl w:val="true"/>
          <w:lang w:val="el-GR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τῇ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9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11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ותירושי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τὸ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ἔλαιόν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μου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0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לכסות</w:t>
      </w:r>
      <w:r>
        <w:rPr>
          <w:sz w:val="28"/>
          <w:szCs w:val="28"/>
        </w:rPr>
        <w:t>]</w:t>
      </w:r>
      <w:r>
        <w:rPr>
          <w:rStyle w:val="FootnoteCharacters"/>
          <w:rStyle w:val="FootnoteAnchor"/>
          <w:sz w:val="28"/>
          <w:szCs w:val="28"/>
        </w:rPr>
        <w:footnoteReference w:id="21"/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τοῦ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μὴ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καλύπτειν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2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quae operiebant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3"/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12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נבלתה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τὴν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ἀσχημοσύνην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αὐτῆς</w:t>
      </w:r>
      <w:r>
        <w:rPr>
          <w:rStyle w:val="FootnoteCharacters"/>
          <w:rStyle w:val="FootnoteAnchor"/>
          <w:sz w:val="28"/>
          <w:szCs w:val="28"/>
        </w:rPr>
        <w:footnoteReference w:id="24"/>
      </w:r>
      <w:r>
        <w:rPr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[T</w:t>
      </w:r>
      <w:r>
        <w:rPr>
          <w:rFonts w:cs="Times New Roman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מידי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~</w:t>
      </w:r>
      <w:r>
        <w:rPr>
          <w:sz w:val="28"/>
          <w:szCs w:val="28"/>
        </w:rPr>
        <w:t xml:space="preserve"> pron</w:t>
      </w:r>
      <w:r>
        <w:rPr>
          <w:rStyle w:val="FootnoteCharacters"/>
          <w:rStyle w:val="FootnoteAnchor"/>
          <w:sz w:val="28"/>
          <w:szCs w:val="28"/>
        </w:rPr>
        <w:footnoteReference w:id="25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13 </w:t>
      </w:r>
      <w:r>
        <w:rPr>
          <w:rFonts w:cs="Guttman Keren"/>
          <w:sz w:val="28"/>
          <w:szCs w:val="28"/>
          <w:lang w:val="el-GR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הִשְׁבַּתִּי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ἀποστρέψω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6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חגה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מועדה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][T</w:t>
      </w:r>
      <w:r>
        <w:rPr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num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7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חגה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שבתה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*-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מועדה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num</w:t>
      </w:r>
      <w:r>
        <w:rPr>
          <w:sz w:val="28"/>
          <w:szCs w:val="28"/>
          <w:highlight w:val="lightGray"/>
          <w:vertAlign w:val="subscript"/>
        </w:rPr>
        <w:t>II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14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  <w:lang w:val="el-GR"/>
        </w:rPr>
        <w:t>לי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sz w:val="28"/>
          <w:szCs w:val="28"/>
        </w:rPr>
        <w:t xml:space="preserve"> reduct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ושמתים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ואכלתם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8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ליער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rFonts w:cs="Times New Roman" w:ascii="GFS Porson" w:hAnsi="GFS Porson"/>
          <w:sz w:val="28"/>
          <w:szCs w:val="28"/>
          <w:lang w:val="el-GR"/>
        </w:rPr>
        <w:t xml:space="preserve"> εἰς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μαρτύριον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9"/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השדה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τὰ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πετεινὰ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τοῦ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οὐρανοῦ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τὰ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ἑρπετὰ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τῆς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γῆς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0"/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15 </w:t>
      </w:r>
      <w:r>
        <w:rPr>
          <w:rFonts w:cs="Guttman Keren"/>
          <w:sz w:val="28"/>
          <w:sz w:val="28"/>
          <w:szCs w:val="28"/>
          <w:rtl w:val="true"/>
        </w:rPr>
        <w:t>אשר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להם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</w:t>
      </w:r>
      <w:bookmarkStart w:id="2" w:name="_Ref235952957"/>
      <w:r>
        <w:rPr>
          <w:rFonts w:cs="Times New Roman" w:ascii="GFS Porson" w:hAnsi="GFS Porson"/>
          <w:sz w:val="28"/>
          <w:szCs w:val="28"/>
          <w:lang w:val="el-GR"/>
        </w:rPr>
        <w:t>ἐν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αἷς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</w:rPr>
        <w:t>…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αὐτοῖς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1"/>
      </w:r>
      <w:bookmarkEnd w:id="2"/>
      <w:r>
        <w:rPr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]h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להם</w:t>
      </w:r>
      <w:r>
        <w:rPr>
          <w:rFonts w:cs="Times New Roman"/>
          <w:sz w:val="28"/>
          <w:szCs w:val="28"/>
          <w:rtl w:val="true"/>
        </w:rPr>
        <w:t xml:space="preserve">] </w:t>
      </w:r>
      <w:r>
        <w:rPr>
          <w:rFonts w:cs="HUBPSigla" w:ascii="HUBPSigla" w:hAnsi="HUBPSigla"/>
          <w:sz w:val="28"/>
          <w:szCs w:val="28"/>
          <w:rtl w:val="true"/>
        </w:rPr>
        <w:t>[</w:t>
      </w:r>
      <w:r>
        <w:rPr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ܒܗܘܢ</w:t>
      </w:r>
      <w:bookmarkStart w:id="3" w:name="_Ref235952941"/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32"/>
      </w:r>
      <w:bookmarkEnd w:id="3"/>
    </w:p>
    <w:p>
      <w:pPr>
        <w:pStyle w:val="Normal"/>
        <w:bidi w:val="0"/>
        <w:spacing w:lineRule="auto" w:line="360"/>
        <w:jc w:val="left"/>
        <w:rPr>
          <w:rFonts w:ascii="HUBPSigla" w:hAnsi="HUBPSigla"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תעד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>+ pron</w:t>
      </w:r>
      <w:r>
        <w:rPr>
          <w:rStyle w:val="FootnoteCharacters"/>
          <w:rStyle w:val="FootnoteAnchor"/>
          <w:sz w:val="28"/>
          <w:szCs w:val="28"/>
        </w:rPr>
        <w:footnoteReference w:id="33"/>
      </w:r>
      <w:r>
        <w:rPr>
          <w:sz w:val="28"/>
          <w:szCs w:val="28"/>
        </w:rPr>
        <w:t xml:space="preserve"> |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ܫܩܠܬ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34"/>
      </w:r>
    </w:p>
    <w:p>
      <w:pPr>
        <w:pStyle w:val="Normal"/>
        <w:bidi w:val="0"/>
        <w:spacing w:lineRule="auto" w:line="360"/>
        <w:jc w:val="left"/>
        <w:rPr/>
      </w:pPr>
      <w:r>
        <w:rPr>
          <w:rFonts w:cs="Guttman Keren"/>
          <w:sz w:val="28"/>
          <w:sz w:val="28"/>
          <w:szCs w:val="28"/>
          <w:rtl w:val="true"/>
          <w:lang w:val="el-GR"/>
        </w:rPr>
        <w:t>נזמה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וחליתה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][T</w:t>
      </w:r>
      <w:r>
        <w:rPr>
          <w:rFonts w:cs="Times New Roman"/>
          <w:sz w:val="28"/>
          <w:szCs w:val="28"/>
        </w:rPr>
        <w:t xml:space="preserve"> num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16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והלכתיה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המדבר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τάξω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αὐτὴν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ὡς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ἔρημον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5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17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כְּרָמיה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i/>
          <w:iCs/>
          <w:sz w:val="28"/>
          <w:szCs w:val="28"/>
        </w:rPr>
        <w:t>vinitores eius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6"/>
      </w:r>
      <w:r>
        <w:rPr>
          <w:rFonts w:cs="Guttman Keren"/>
          <w:i/>
          <w:iCs/>
          <w:sz w:val="28"/>
          <w:szCs w:val="28"/>
        </w:rPr>
        <w:t xml:space="preserve"> = </w:t>
      </w:r>
      <w:r>
        <w:rPr>
          <w:rFonts w:cs="Guttman Keren" w:ascii="HUBPSigla" w:hAnsi="HUBPSigla"/>
          <w:sz w:val="28"/>
          <w:szCs w:val="28"/>
        </w:rPr>
        <w:t>~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  <w:lang w:bidi="ar-SY"/>
        </w:rPr>
      </w:pPr>
      <w:r>
        <w:rPr>
          <w:rFonts w:cs="Guttman Keren"/>
          <w:sz w:val="28"/>
          <w:sz w:val="28"/>
          <w:szCs w:val="28"/>
          <w:rtl w:val="true"/>
        </w:rPr>
        <w:t>לְפֶתַח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διανοῖξαι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7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*[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תקוה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bookmarkStart w:id="4" w:name="_Ref111456726"/>
      <w:r>
        <w:rPr>
          <w:rFonts w:cs="Times New Roman" w:ascii="GFS Porson" w:hAnsi="GFS Porson"/>
          <w:sz w:val="28"/>
          <w:szCs w:val="28"/>
          <w:lang w:val="el-GR"/>
        </w:rPr>
        <w:t>σύνεσιν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αὐτῆς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8"/>
      </w:r>
      <w:bookmarkEnd w:id="4"/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Style w:val="FootnoteCharacters"/>
          <w:rStyle w:val="FootnoteAnchor"/>
          <w:rFonts w:cs="Times New Roman"/>
          <w:sz w:val="28"/>
          <w:szCs w:val="28"/>
          <w:rtl w:val="true"/>
          <w:lang w:val="el-GR"/>
        </w:rPr>
        <w:footnoteReference w:id="39"/>
      </w:r>
      <w:r>
        <w:rPr>
          <w:rFonts w:cs="Estrangelo Edessa"/>
          <w:sz w:val="28"/>
          <w:sz w:val="28"/>
          <w:szCs w:val="28"/>
          <w:rtl w:val="true"/>
          <w:lang w:bidi="syr-TR"/>
        </w:rPr>
        <w:t>ܣܘܟܠܗܿ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וכיום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]*</w:t>
      </w:r>
      <w:r>
        <w:rPr>
          <w:sz w:val="28"/>
          <w:szCs w:val="28"/>
        </w:rPr>
        <w:t xml:space="preserve"> num</w:t>
      </w:r>
      <w:r>
        <w:rPr>
          <w:rStyle w:val="FootnoteCharacters"/>
          <w:rStyle w:val="FootnoteAnchor"/>
          <w:sz w:val="28"/>
          <w:szCs w:val="28"/>
        </w:rPr>
        <w:footnoteReference w:id="40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עלותה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τῆς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ἐξόδου</w:t>
      </w:r>
      <w:r>
        <w:rPr>
          <w:rStyle w:val="FootnoteCharacters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αὐτῆς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1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18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תקראי</w:t>
      </w:r>
      <w:r>
        <w:rPr>
          <w:rFonts w:cs="Guttman Keren"/>
          <w:sz w:val="28"/>
          <w:szCs w:val="28"/>
          <w:vertAlign w:val="superscript"/>
        </w:rPr>
        <w:t>1</w:t>
      </w:r>
      <w:r>
        <w:rPr>
          <w:rFonts w:cs="Guttman Keren"/>
          <w:sz w:val="28"/>
          <w:szCs w:val="28"/>
          <w:vertAlign w:val="superscript"/>
          <w:rtl w:val="true"/>
        </w:rPr>
        <w:t xml:space="preserve">, </w:t>
      </w:r>
      <w:r>
        <w:rPr>
          <w:rFonts w:cs="Guttman Keren"/>
          <w:sz w:val="28"/>
          <w:szCs w:val="28"/>
          <w:vertAlign w:val="superscript"/>
        </w:rPr>
        <w:t>2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]*[</w:t>
      </w:r>
      <w:r>
        <w:rPr>
          <w:sz w:val="28"/>
          <w:szCs w:val="28"/>
        </w:rPr>
        <w:t xml:space="preserve"> pers</w:t>
      </w:r>
      <w:r>
        <w:rPr>
          <w:rStyle w:val="FootnoteCharacters"/>
          <w:rStyle w:val="FootnoteAnchor"/>
          <w:sz w:val="28"/>
          <w:szCs w:val="28"/>
        </w:rPr>
        <w:footnoteReference w:id="42"/>
      </w:r>
      <w:r>
        <w:rPr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| </w:t>
      </w:r>
      <w:r>
        <w:rPr>
          <w:rFonts w:cs="HUBPSigla" w:ascii="HUBPSigla" w:hAnsi="HUBPSigla"/>
          <w:sz w:val="28"/>
          <w:szCs w:val="28"/>
        </w:rPr>
        <w:t>]*[</w:t>
      </w:r>
      <w:r>
        <w:rPr>
          <w:sz w:val="28"/>
          <w:szCs w:val="28"/>
        </w:rPr>
        <w:t xml:space="preserve"> + pron</w:t>
      </w:r>
      <w:r>
        <w:rPr>
          <w:rFonts w:cs="Times New Roman"/>
          <w:sz w:val="28"/>
          <w:szCs w:val="28"/>
          <w:highlight w:val="lightGray"/>
          <w:vertAlign w:val="subscript"/>
        </w:rPr>
        <w:t>II III</w:t>
      </w:r>
      <w:bookmarkStart w:id="5" w:name="_Ref259011732"/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3"/>
      </w:r>
      <w:bookmarkEnd w:id="5"/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בעלי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Βααλιμ</w:t>
      </w:r>
      <w:r>
        <w:rPr>
          <w:rStyle w:val="FootnoteCharacters"/>
          <w:rStyle w:val="FootnoteAnchor"/>
          <w:sz w:val="28"/>
          <w:szCs w:val="28"/>
        </w:rPr>
        <w:footnoteReference w:id="44"/>
      </w:r>
      <w:r>
        <w:rPr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*h</w:t>
      </w:r>
    </w:p>
    <w:p>
      <w:pPr>
        <w:pStyle w:val="Normal"/>
        <w:bidi w:val="0"/>
        <w:spacing w:lineRule="auto" w:line="360"/>
        <w:jc w:val="left"/>
        <w:rPr>
          <w:rFonts w:cs="David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והסרת</w:t>
      </w:r>
      <w:r>
        <w:rPr>
          <w:rFonts w:cs="Guttman Keren"/>
          <w:sz w:val="28"/>
          <w:sz w:val="28"/>
          <w:szCs w:val="28"/>
          <w:rtl w:val="true"/>
          <w:lang w:val="el-GR"/>
        </w:rPr>
        <w:t>י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ܘܐܘܒܕ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45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שמות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]h*h[T</w:t>
      </w:r>
      <w:r>
        <w:rPr>
          <w:rFonts w:cs="Times New Roman"/>
          <w:sz w:val="28"/>
          <w:szCs w:val="28"/>
        </w:rPr>
        <w:t xml:space="preserve"> num</w:t>
      </w:r>
      <w:r>
        <w:rPr>
          <w:rStyle w:val="FootnoteCharacters"/>
          <w:rStyle w:val="FootnoteAnchor"/>
          <w:sz w:val="28"/>
          <w:szCs w:val="28"/>
        </w:rPr>
        <w:footnoteReference w:id="46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מפיה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7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יִזָּכרו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בשמם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μνησθῶσιν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</w:rPr>
        <w:t>…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τὰ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ὀνόματα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αὐτῶν</w:t>
      </w:r>
      <w:r>
        <w:rPr>
          <w:rStyle w:val="FootnoteCharacters"/>
          <w:rStyle w:val="FootnoteAnchor"/>
          <w:sz w:val="28"/>
          <w:szCs w:val="28"/>
        </w:rPr>
        <w:footnoteReference w:id="48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*[</w:t>
      </w:r>
    </w:p>
    <w:p>
      <w:pPr>
        <w:pStyle w:val="Normal"/>
        <w:bidi w:val="0"/>
        <w:spacing w:lineRule="auto" w:line="360"/>
        <w:jc w:val="left"/>
        <w:rPr/>
      </w:pPr>
      <w:r>
        <w:rPr>
          <w:rFonts w:cs="Times New Roman"/>
          <w:b/>
          <w:bCs/>
          <w:sz w:val="28"/>
          <w:szCs w:val="28"/>
        </w:rPr>
        <w:t>20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ועם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רמש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]-*</w:t>
      </w:r>
      <w:r>
        <w:rPr>
          <w:sz w:val="28"/>
          <w:szCs w:val="28"/>
        </w:rPr>
        <w:t xml:space="preserve"> r</w:t>
      </w:r>
      <w:r>
        <w:rPr>
          <w:rFonts w:cs="Times New Roman"/>
          <w:sz w:val="28"/>
          <w:szCs w:val="28"/>
        </w:rPr>
        <w:t>ep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ומלחמה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אשבור</w:t>
      </w:r>
      <w:r>
        <w:rPr>
          <w:rFonts w:cs="Times New Roman"/>
          <w:sz w:val="28"/>
          <w:szCs w:val="28"/>
          <w:rtl w:val="true"/>
        </w:rPr>
        <w:t xml:space="preserve">] </w:t>
      </w:r>
      <w:r>
        <w:rPr>
          <w:rFonts w:cs="HUBPSigla" w:ascii="HUBPSigla" w:hAnsi="HUBPSigla"/>
          <w:sz w:val="28"/>
          <w:szCs w:val="28"/>
          <w:rtl w:val="true"/>
        </w:rPr>
        <w:t>[</w:t>
      </w:r>
      <w:r>
        <w:rPr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ܐܒܛܠ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49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>
        <w:rPr>
          <w:rFonts w:cs="HUBPSigla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auto" w:line="360"/>
        <w:jc w:val="left"/>
        <w:rPr>
          <w:rFonts w:ascii="HUBPSigla" w:hAnsi="HUBPSigla"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השכבתי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ם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κατοικιῶ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0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[T</w:t>
      </w:r>
    </w:p>
    <w:p>
      <w:pPr>
        <w:pStyle w:val="Normal"/>
        <w:bidi w:val="0"/>
        <w:spacing w:lineRule="auto" w:line="36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  <w:lang w:val="el-GR"/>
        </w:rPr>
        <w:t>(</w:t>
      </w:r>
      <w:r>
        <w:rPr>
          <w:rFonts w:cs="Guttman Keren"/>
          <w:sz w:val="28"/>
          <w:sz w:val="28"/>
          <w:szCs w:val="28"/>
          <w:rtl w:val="true"/>
          <w:lang w:val="el-GR"/>
        </w:rPr>
        <w:t>והשכבתי</w:t>
      </w:r>
      <w:r>
        <w:rPr>
          <w:rFonts w:cs="Guttman Keren"/>
          <w:sz w:val="28"/>
          <w:szCs w:val="28"/>
          <w:lang w:val="el-GR"/>
        </w:rPr>
        <w:t>)</w:t>
      </w:r>
      <w:r>
        <w:rPr>
          <w:rFonts w:cs="Guttman Keren"/>
          <w:sz w:val="28"/>
          <w:sz w:val="28"/>
          <w:szCs w:val="28"/>
          <w:rtl w:val="true"/>
          <w:lang w:val="el-GR"/>
        </w:rPr>
        <w:t>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1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21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ב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צדק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 w:val="28"/>
          <w:szCs w:val="28"/>
          <w:rtl w:val="true"/>
        </w:rPr>
        <w:t>ב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משפט</w:t>
      </w:r>
      <w:r>
        <w:rPr>
          <w:rFonts w:cs="Estrangelo Edessa"/>
          <w:sz w:val="28"/>
          <w:szCs w:val="28"/>
          <w:rtl w:val="true"/>
          <w:lang w:bidi="syr-TR"/>
        </w:rPr>
        <w:t>)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*-</w:t>
      </w:r>
      <w:r>
        <w:rPr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reduct</w:t>
      </w:r>
    </w:p>
    <w:p>
      <w:pPr>
        <w:pStyle w:val="Normal"/>
        <w:bidi w:val="0"/>
        <w:spacing w:lineRule="auto" w:line="360"/>
        <w:jc w:val="left"/>
        <w:rPr/>
      </w:pPr>
      <w:r>
        <w:rPr>
          <w:rFonts w:cs="Guttman Keren"/>
          <w:sz w:val="28"/>
          <w:sz w:val="28"/>
          <w:szCs w:val="28"/>
          <w:rtl w:val="true"/>
          <w:lang w:val="el-GR"/>
        </w:rPr>
        <w:t>וב</w:t>
      </w:r>
      <w:r>
        <w:rPr>
          <w:rFonts w:cs="Guttman Keren"/>
          <w:sz w:val="28"/>
          <w:szCs w:val="28"/>
          <w:rtl w:val="true"/>
          <w:lang w:val="el-GR"/>
        </w:rPr>
        <w:t>(</w:t>
      </w:r>
      <w:r>
        <w:rPr>
          <w:rFonts w:cs="Guttman Keren"/>
          <w:sz w:val="28"/>
          <w:sz w:val="28"/>
          <w:szCs w:val="28"/>
          <w:rtl w:val="true"/>
          <w:lang w:val="el-GR"/>
        </w:rPr>
        <w:t>חסד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ו</w:t>
      </w:r>
      <w:r>
        <w:rPr>
          <w:rFonts w:cs="Guttman Keren"/>
          <w:sz w:val="28"/>
          <w:szCs w:val="28"/>
          <w:rtl w:val="true"/>
          <w:lang w:val="el-GR"/>
        </w:rPr>
        <w:t>)</w:t>
      </w:r>
      <w:r>
        <w:rPr>
          <w:rFonts w:cs="Guttman Keren"/>
          <w:sz w:val="28"/>
          <w:sz w:val="28"/>
          <w:szCs w:val="28"/>
          <w:rtl w:val="true"/>
          <w:lang w:val="el-GR"/>
        </w:rPr>
        <w:t>ב</w:t>
      </w:r>
      <w:r>
        <w:rPr>
          <w:rFonts w:cs="Guttman Keren"/>
          <w:sz w:val="28"/>
          <w:szCs w:val="28"/>
          <w:rtl w:val="true"/>
          <w:lang w:val="el-GR" w:bidi="ar-SY"/>
        </w:rPr>
        <w:t>(</w:t>
      </w:r>
      <w:r>
        <w:rPr>
          <w:rFonts w:cs="Guttman Keren"/>
          <w:sz w:val="28"/>
          <w:sz w:val="28"/>
          <w:szCs w:val="28"/>
          <w:rtl w:val="true"/>
          <w:lang w:val="el-GR"/>
        </w:rPr>
        <w:t>רחמים</w:t>
      </w:r>
      <w:r>
        <w:rPr>
          <w:rFonts w:cs="Guttman Keren"/>
          <w:sz w:val="28"/>
          <w:szCs w:val="28"/>
          <w:rtl w:val="true"/>
          <w:lang w:val="el-GR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]h*-</w:t>
      </w:r>
      <w:r>
        <w:rPr>
          <w:rFonts w:cs="Times New Roman"/>
          <w:sz w:val="28"/>
          <w:szCs w:val="28"/>
        </w:rPr>
        <w:t xml:space="preserve"> reduct</w:t>
      </w:r>
    </w:p>
    <w:p>
      <w:pPr>
        <w:pStyle w:val="Normal"/>
        <w:bidi w:val="0"/>
        <w:spacing w:lineRule="auto" w:line="360"/>
        <w:jc w:val="left"/>
        <w:rPr>
          <w:rFonts w:ascii="HUBPSigla" w:hAnsi="HUBPSigla" w:cs="HUBPSigla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22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י</w:t>
      </w:r>
      <w:r>
        <w:rPr>
          <w:rFonts w:cs="Guttman Keren"/>
          <w:sz w:val="28"/>
          <w:sz w:val="28"/>
          <w:szCs w:val="28"/>
          <w:rtl w:val="true"/>
        </w:rPr>
        <w:t>הוה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quia ego Dominus</w:t>
      </w:r>
      <w:r>
        <w:rPr>
          <w:rFonts w:cs="Times New Roman"/>
          <w:sz w:val="28"/>
          <w:szCs w:val="28"/>
          <w:highlight w:val="lightGray"/>
          <w:vertAlign w:val="subscript"/>
        </w:rPr>
        <w:t>II III IV</w:t>
      </w:r>
      <w:r>
        <w:rPr>
          <w:rStyle w:val="FootnoteCharacters"/>
          <w:rStyle w:val="FootnoteAnchor"/>
          <w:sz w:val="28"/>
          <w:szCs w:val="28"/>
        </w:rPr>
        <w:footnoteReference w:id="52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23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אענה</w:t>
      </w:r>
      <w:r>
        <w:rPr>
          <w:rFonts w:cs="Guttman Keren"/>
          <w:sz w:val="28"/>
          <w:szCs w:val="28"/>
          <w:vertAlign w:val="superscript"/>
        </w:rPr>
        <w:t>1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][</w:t>
      </w:r>
      <w:r>
        <w:rPr>
          <w:sz w:val="28"/>
          <w:szCs w:val="28"/>
        </w:rPr>
        <w:t xml:space="preserve"> &gt;</w:t>
      </w:r>
      <w:r>
        <w:rPr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sz w:val="28"/>
          <w:szCs w:val="28"/>
        </w:rPr>
        <w:footnoteReference w:id="53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והם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Style w:val="FootnoteCharacters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ὁ</w:t>
      </w:r>
      <w:r>
        <w:rPr>
          <w:rStyle w:val="FootnoteCharacters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οὐρανός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4"/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25 </w:t>
      </w:r>
      <w:r>
        <w:rPr>
          <w:rFonts w:cs="Guttman Keren"/>
          <w:sz w:val="28"/>
          <w:sz w:val="28"/>
          <w:szCs w:val="28"/>
          <w:rtl w:val="true"/>
        </w:rPr>
        <w:t>אתה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יאמר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+ pron</w:t>
      </w:r>
      <w:bookmarkStart w:id="6" w:name="_Ref259011409"/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5"/>
      </w:r>
      <w:bookmarkEnd w:id="6"/>
    </w:p>
    <w:p>
      <w:pPr>
        <w:pStyle w:val="Normal"/>
        <w:bidi w:val="0"/>
        <w:spacing w:lineRule="auto" w:line="36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אלהי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κύριος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ὁ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θεός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μου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εἶ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σύ</w:t>
      </w:r>
      <w:r>
        <w:rPr>
          <w:rStyle w:val="FootnoteCharacters"/>
          <w:rStyle w:val="FootnoteAnchor"/>
          <w:sz w:val="28"/>
          <w:szCs w:val="28"/>
        </w:rPr>
        <w:footnoteReference w:id="56"/>
      </w:r>
      <w:r>
        <w:rPr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</w:t>
      </w:r>
    </w:p>
    <w:sectPr>
      <w:headerReference w:type="default" r:id="rId2"/>
      <w:footerReference w:type="default" r:id="rId3"/>
      <w:footnotePr>
        <w:numFmt w:val="decimal"/>
        <w:numRestart w:val="eachSect"/>
      </w:footnotePr>
      <w:type w:val="nextPage"/>
      <w:pgSz w:w="11906" w:h="16838"/>
      <w:pgMar w:left="1800" w:right="1800" w:gutter="0" w:header="72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HUBPSigla">
    <w:charset w:val="00"/>
    <w:family w:val="auto"/>
    <w:pitch w:val="variable"/>
  </w:font>
  <w:font w:name="GFS Porson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>
        <w:rtl w:val="true"/>
      </w:rPr>
    </w:r>
    <w:r>
      <mc:AlternateContent>
        <mc:Choice Requires="wps">
          <w:drawing>
            <wp:anchor behindDoc="0" distT="0" distB="0" distL="0" distR="0" simplePos="0" locked="0" layoutInCell="0" allowOverlap="1" relativeHeight="6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lef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t>5</w: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04.4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jc w:val="lef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tl w:val="true"/>
                        <w:rStyle w:val="PageNumber"/>
                      </w:rPr>
                      <w:instrText xml:space="preserve"> PAGE </w:instrText>
                    </w:r>
                    <w:r>
                      <w:rPr>
                        <w:rtl w:val="true"/>
                        <w:rStyle w:val="PageNumber"/>
                      </w:rPr>
                      <w:fldChar w:fldCharType="separate"/>
                    </w:r>
                    <w:r>
                      <w:rPr>
                        <w:rtl w:val="true"/>
                        <w:rStyle w:val="PageNumber"/>
                      </w:rPr>
                      <w:t>5</w:t>
                    </w:r>
                    <w:r>
                      <w:rPr>
                        <w:rtl w:val="true"/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there”, for </w:t>
      </w:r>
      <w:r>
        <w:rPr>
          <w:rFonts w:cs="Guttman Keren"/>
          <w:sz w:val="24"/>
          <w:sz w:val="24"/>
          <w:szCs w:val="24"/>
          <w:rtl w:val="true"/>
        </w:rPr>
        <w:t>במקום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אשר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שם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cf e.g. Num 9</w:t>
      </w:r>
      <w:r>
        <w:rPr>
          <w:sz w:val="24"/>
          <w:szCs w:val="24"/>
          <w:vertAlign w:val="subscript"/>
        </w:rPr>
        <w:t>17</w:t>
      </w:r>
      <w:r>
        <w:rPr>
          <w:sz w:val="24"/>
          <w:szCs w:val="24"/>
        </w:rPr>
        <w:t xml:space="preserve"> 2Sam 15</w:t>
      </w:r>
      <w:r>
        <w:rPr>
          <w:sz w:val="24"/>
          <w:szCs w:val="24"/>
          <w:vertAlign w:val="subscript"/>
        </w:rPr>
        <w:t>21</w:t>
      </w:r>
      <w:r>
        <w:rPr>
          <w:sz w:val="24"/>
          <w:szCs w:val="24"/>
        </w:rPr>
        <w:t xml:space="preserve"> Jer 22</w:t>
      </w:r>
      <w:r>
        <w:rPr>
          <w:sz w:val="24"/>
          <w:szCs w:val="24"/>
          <w:vertAlign w:val="subscript"/>
        </w:rPr>
        <w:t>12</w:t>
      </w:r>
      <w:r>
        <w:rPr>
          <w:sz w:val="24"/>
          <w:szCs w:val="24"/>
        </w:rPr>
        <w:t xml:space="preserve">,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sz w:val="24"/>
          <w:szCs w:val="24"/>
        </w:rPr>
        <w:t xml:space="preserve"> 1Kgs 21[20]</w:t>
      </w:r>
      <w:r>
        <w:rPr>
          <w:sz w:val="24"/>
          <w:szCs w:val="24"/>
          <w:vertAlign w:val="subscript"/>
        </w:rPr>
        <w:t>19</w:t>
      </w:r>
      <w:r>
        <w:rPr>
          <w:sz w:val="24"/>
          <w:szCs w:val="24"/>
        </w:rPr>
        <w:t xml:space="preserve">,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Ezek 21</w:t>
      </w:r>
      <w:r>
        <w:rPr>
          <w:rFonts w:cs="Times New Roman"/>
          <w:sz w:val="24"/>
          <w:szCs w:val="24"/>
          <w:vertAlign w:val="subscript"/>
        </w:rPr>
        <w:t>35</w:t>
      </w:r>
    </w:p>
  </w:footnote>
  <w:footnote w:id="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cf 1</w:t>
      </w:r>
      <w:r>
        <w:rPr>
          <w:rFonts w:cs="Times New Roman"/>
          <w:sz w:val="24"/>
          <w:szCs w:val="24"/>
          <w:vertAlign w:val="subscript"/>
        </w:rPr>
        <w:t>8–9</w:t>
      </w:r>
    </w:p>
  </w:footnote>
  <w:footnote w:id="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cf 1</w:t>
      </w:r>
      <w:r>
        <w:rPr>
          <w:rFonts w:cs="Times New Roman"/>
          <w:sz w:val="24"/>
          <w:szCs w:val="24"/>
          <w:vertAlign w:val="subscript"/>
        </w:rPr>
        <w:t>6</w:t>
      </w:r>
    </w:p>
  </w:footnote>
  <w:footnote w:id="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I shall put away … out of my sight”, for 1sg cf vv</w:t>
      </w:r>
      <w:r>
        <w:rPr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sz w:val="24"/>
          <w:szCs w:val="24"/>
          <w:vertAlign w:val="subscript"/>
        </w:rPr>
        <w:t>6, 19</w:t>
      </w:r>
      <w:r>
        <w:rPr>
          <w:sz w:val="24"/>
          <w:szCs w:val="24"/>
        </w:rPr>
        <w:t xml:space="preserve"> Ezek 16</w:t>
      </w:r>
      <w:r>
        <w:rPr>
          <w:sz w:val="24"/>
          <w:szCs w:val="24"/>
          <w:vertAlign w:val="subscript"/>
        </w:rPr>
        <w:t>37</w:t>
      </w:r>
      <w:r>
        <w:rPr>
          <w:sz w:val="24"/>
          <w:szCs w:val="24"/>
        </w:rPr>
        <w:t xml:space="preserve">; (a) pers, parall; (b)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אסר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Estrangelo Edessa"/>
          <w:sz w:val="24"/>
          <w:szCs w:val="24"/>
          <w:lang w:bidi="syr-TR"/>
        </w:rPr>
        <w:t>p</w:t>
      </w:r>
      <w:r>
        <w:rPr>
          <w:rFonts w:cs="Guttman Keren"/>
          <w:sz w:val="24"/>
          <w:szCs w:val="24"/>
        </w:rPr>
        <w:t xml:space="preserve">aleo-Heb </w:t>
      </w:r>
      <w:r>
        <w:rPr>
          <w:rFonts w:cs="Guttman Keren"/>
          <w:sz w:val="24"/>
          <w:sz w:val="24"/>
          <w:szCs w:val="24"/>
          <w:rtl w:val="true"/>
        </w:rPr>
        <w:t>א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ת</w:t>
      </w:r>
      <w:r>
        <w:rPr>
          <w:rFonts w:cs="Guttman Keren"/>
          <w:sz w:val="24"/>
          <w:szCs w:val="24"/>
        </w:rPr>
        <w:t xml:space="preserve">, see </w:t>
      </w:r>
      <w:r>
        <w:rPr>
          <w:rFonts w:cs="Guttman Keren"/>
          <w:color w:val="FF9900"/>
          <w:sz w:val="24"/>
          <w:szCs w:val="24"/>
        </w:rPr>
        <w:t xml:space="preserve">Talmon, </w:t>
      </w:r>
      <w:r>
        <w:rPr>
          <w:rFonts w:cs="Guttman Keren"/>
          <w:i/>
          <w:iCs/>
          <w:color w:val="FF9900"/>
          <w:sz w:val="24"/>
          <w:szCs w:val="24"/>
        </w:rPr>
        <w:t>Text and Canon</w:t>
      </w:r>
      <w:r>
        <w:rPr>
          <w:rFonts w:cs="Guttman Keren"/>
          <w:color w:val="FF9900"/>
          <w:sz w:val="24"/>
          <w:szCs w:val="24"/>
        </w:rPr>
        <w:t>, 145</w:t>
      </w:r>
      <w:r>
        <w:rPr>
          <w:rFonts w:cs="Guttman Keren"/>
          <w:sz w:val="24"/>
          <w:szCs w:val="24"/>
        </w:rPr>
        <w:t>); cf app Amos 4</w:t>
      </w:r>
      <w:r>
        <w:rPr>
          <w:rFonts w:cs="Guttman Keren"/>
          <w:sz w:val="24"/>
          <w:szCs w:val="24"/>
          <w:vertAlign w:val="subscript"/>
        </w:rPr>
        <w:t>7</w:t>
      </w:r>
    </w:p>
  </w:footnote>
  <w:footnote w:id="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in order that”; </w:t>
      </w:r>
      <w:r>
        <w:rPr>
          <w:rFonts w:cs="Times New Roman" w:ascii="HUBPSigla" w:hAnsi="HUBPSigla"/>
          <w:sz w:val="24"/>
          <w:szCs w:val="24"/>
        </w:rPr>
        <w:t>;</w:t>
      </w:r>
      <w:r>
        <w:rPr>
          <w:sz w:val="24"/>
          <w:szCs w:val="24"/>
        </w:rPr>
        <w:t xml:space="preserve"> change of pers prec (for continuation of warning see </w:t>
      </w:r>
      <w:r>
        <w:rPr>
          <w:i/>
          <w:iCs/>
          <w:sz w:val="24"/>
          <w:szCs w:val="24"/>
        </w:rPr>
        <w:t>BdA</w:t>
      </w:r>
      <w:r>
        <w:rPr>
          <w:sz w:val="24"/>
          <w:szCs w:val="24"/>
        </w:rPr>
        <w:t>, 70); cf app</w:t>
      </w:r>
      <w:r>
        <w:rPr>
          <w:rFonts w:cs="Times New Roman"/>
          <w:sz w:val="24"/>
          <w:szCs w:val="24"/>
        </w:rPr>
        <w:t xml:space="preserve"> 7</w:t>
      </w:r>
      <w:r>
        <w:rPr>
          <w:rFonts w:cs="Times New Roman"/>
          <w:sz w:val="24"/>
          <w:szCs w:val="24"/>
          <w:vertAlign w:val="subscript"/>
        </w:rPr>
        <w:t>2</w:t>
      </w:r>
    </w:p>
  </w:footnote>
  <w:footnote w:id="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>as in”, similarly app 9</w:t>
      </w:r>
      <w:r>
        <w:rPr>
          <w:rFonts w:cs="Times New Roman"/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</w:rPr>
        <w:t xml:space="preserve"> 12</w:t>
      </w:r>
      <w:r>
        <w:rPr>
          <w:rFonts w:cs="Times New Roman"/>
          <w:sz w:val="24"/>
          <w:szCs w:val="24"/>
          <w:vertAlign w:val="subscript"/>
        </w:rPr>
        <w:t>10</w:t>
      </w:r>
    </w:p>
  </w:footnote>
  <w:footnote w:id="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to me”, cf v</w:t>
      </w:r>
      <w:r>
        <w:rPr>
          <w:sz w:val="24"/>
          <w:szCs w:val="24"/>
          <w:vertAlign w:val="subscript"/>
        </w:rPr>
        <w:t>14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נתנו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לי</w:t>
      </w:r>
      <w:r>
        <w:rPr>
          <w:rFonts w:cs="Guttman Keren"/>
          <w:sz w:val="24"/>
          <w:szCs w:val="24"/>
        </w:rPr>
        <w:t>, cf seq</w:t>
      </w:r>
    </w:p>
  </w:footnote>
  <w:footnote w:id="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and my wine”, cf vv</w:t>
      </w:r>
      <w:r>
        <w:rPr>
          <w:sz w:val="24"/>
          <w:szCs w:val="24"/>
          <w:vertAlign w:val="subscript"/>
        </w:rPr>
        <w:t>10</w:t>
      </w:r>
      <w:r>
        <w:rPr>
          <w:rFonts w:cs="Times New Roman"/>
          <w:sz w:val="24"/>
          <w:szCs w:val="24"/>
          <w:vertAlign w:val="subscript"/>
        </w:rPr>
        <w:t>,</w:t>
      </w:r>
      <w:r>
        <w:rPr>
          <w:sz w:val="24"/>
          <w:szCs w:val="24"/>
          <w:vertAlign w:val="subscript"/>
        </w:rPr>
        <w:t>11,24</w:t>
      </w:r>
    </w:p>
  </w:footnote>
  <w:footnote w:id="1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>all that is due to me”; cf Prov 3</w:t>
      </w:r>
      <w:r>
        <w:rPr>
          <w:rFonts w:cs="Times New Roman"/>
          <w:sz w:val="24"/>
          <w:szCs w:val="24"/>
          <w:vertAlign w:val="subscript"/>
        </w:rPr>
        <w:t>8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שקוי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</w:rPr>
        <w:t>ἐπιμέλεια</w:t>
      </w:r>
      <w:r>
        <w:rPr>
          <w:rFonts w:cs="Times New Roman"/>
          <w:sz w:val="24"/>
          <w:szCs w:val="24"/>
        </w:rPr>
        <w:t xml:space="preserve"> “care, attention”</w:t>
      </w:r>
      <w:r>
        <w:rPr>
          <w:sz w:val="24"/>
          <w:szCs w:val="24"/>
        </w:rPr>
        <w:t>; p reflects legal exeg, cf Exod 21</w:t>
      </w:r>
      <w:r>
        <w:rPr>
          <w:sz w:val="24"/>
          <w:szCs w:val="24"/>
          <w:vertAlign w:val="subscript"/>
        </w:rPr>
        <w:t>10–11</w:t>
      </w:r>
      <w:r>
        <w:rPr>
          <w:sz w:val="24"/>
          <w:szCs w:val="24"/>
        </w:rPr>
        <w:t xml:space="preserve">; 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sz w:val="24"/>
          <w:szCs w:val="24"/>
        </w:rPr>
        <w:t xml:space="preserve"> </w:t>
      </w:r>
      <w:r>
        <w:rPr>
          <w:smallCaps/>
          <w:sz w:val="24"/>
          <w:sz w:val="24"/>
          <w:szCs w:val="24"/>
          <w:rtl w:val="true"/>
          <w:lang w:val="el-GR"/>
        </w:rPr>
        <w:t>פרנוסי</w:t>
      </w:r>
      <w:r>
        <w:rPr>
          <w:rFonts w:cs="Times New Roman"/>
          <w:smallCaps/>
          <w:sz w:val="24"/>
          <w:sz w:val="24"/>
          <w:szCs w:val="24"/>
        </w:rPr>
        <w:t xml:space="preserve"> </w:t>
      </w:r>
      <w:r>
        <w:rPr>
          <w:smallCaps/>
          <w:sz w:val="24"/>
          <w:sz w:val="24"/>
          <w:szCs w:val="24"/>
        </w:rPr>
        <w:t>“</w:t>
      </w:r>
      <w:r>
        <w:rPr>
          <w:sz w:val="24"/>
          <w:szCs w:val="24"/>
        </w:rPr>
        <w:t>my provisions</w:t>
      </w:r>
      <w:r>
        <w:rPr>
          <w:smallCaps/>
          <w:sz w:val="24"/>
          <w:szCs w:val="24"/>
        </w:rPr>
        <w:t xml:space="preserve">”; </w:t>
      </w:r>
      <w:r>
        <w:rPr>
          <w:rFonts w:cs="Times New Roman"/>
          <w:sz w:val="24"/>
          <w:szCs w:val="24"/>
        </w:rPr>
        <w:t xml:space="preserve">for etym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שׁק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cf b. Ketubbot 65a </w:t>
      </w:r>
      <w:r>
        <w:rPr>
          <w:rFonts w:cs="Guttman Keren"/>
          <w:sz w:val="24"/>
          <w:sz w:val="24"/>
          <w:szCs w:val="24"/>
          <w:rtl w:val="true"/>
          <w:lang w:val="el-GR"/>
        </w:rPr>
        <w:t>דברים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שהאשה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משתוקקת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עליהן</w:t>
      </w:r>
    </w:p>
  </w:footnote>
  <w:footnote w:id="11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3sg, parall</w:t>
      </w:r>
    </w:p>
  </w:footnote>
  <w:footnote w:id="1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sz w:val="24"/>
          <w:szCs w:val="24"/>
        </w:rPr>
        <w:t>her ways”, cf Lam 3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 xml:space="preserve">; </w:t>
      </w:r>
      <w:r>
        <w:rPr>
          <w:rFonts w:cs="Guttman Keren"/>
          <w:sz w:val="24"/>
          <w:szCs w:val="24"/>
        </w:rPr>
        <w:t xml:space="preserve">cf app prec; </w:t>
      </w:r>
      <w:r>
        <w:rPr>
          <w:sz w:val="24"/>
          <w:szCs w:val="24"/>
        </w:rPr>
        <w:t xml:space="preserve">parall </w:t>
      </w:r>
      <w:r>
        <w:rPr>
          <w:rFonts w:cs="Guttman Keren"/>
          <w:sz w:val="24"/>
          <w:sz w:val="24"/>
          <w:szCs w:val="24"/>
          <w:rtl w:val="true"/>
          <w:lang w:val="el-GR"/>
        </w:rPr>
        <w:t>נתיבותיה</w:t>
      </w:r>
    </w:p>
  </w:footnote>
  <w:footnote w:id="1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3pl, </w:t>
      </w:r>
      <w:r>
        <w:rPr>
          <w:sz w:val="24"/>
          <w:szCs w:val="24"/>
        </w:rPr>
        <w:t xml:space="preserve">parall </w:t>
      </w:r>
    </w:p>
  </w:footnote>
  <w:footnote w:id="1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usus in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sz w:val="24"/>
          <w:szCs w:val="24"/>
        </w:rPr>
        <w:t>, cf app 5</w:t>
      </w:r>
      <w:r>
        <w:rPr>
          <w:sz w:val="24"/>
          <w:szCs w:val="24"/>
          <w:vertAlign w:val="subscript"/>
        </w:rPr>
        <w:t>15</w:t>
      </w:r>
      <w:r>
        <w:rPr>
          <w:sz w:val="24"/>
          <w:szCs w:val="24"/>
        </w:rPr>
        <w:t xml:space="preserve"> 6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, Deut 20</w:t>
      </w:r>
      <w:r>
        <w:rPr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et al</w:t>
      </w:r>
    </w:p>
  </w:footnote>
  <w:footnote w:id="1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and gold”, common collocation,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; similarly app 13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Zeph 1</w:t>
      </w:r>
      <w:r>
        <w:rPr>
          <w:sz w:val="24"/>
          <w:szCs w:val="24"/>
          <w:vertAlign w:val="subscript"/>
        </w:rPr>
        <w:t>11</w:t>
      </w:r>
      <w:r>
        <w:rPr>
          <w:sz w:val="24"/>
          <w:szCs w:val="24"/>
        </w:rPr>
        <w:t>, cf also GenR</w:t>
      </w:r>
      <w:r>
        <w:rPr>
          <w:sz w:val="24"/>
          <w:szCs w:val="24"/>
          <w:vertAlign w:val="subscript"/>
        </w:rPr>
        <w:t>ms</w:t>
      </w:r>
      <w:r>
        <w:rPr>
          <w:sz w:val="24"/>
          <w:szCs w:val="24"/>
        </w:rPr>
        <w:t xml:space="preserve"> 28:7 (266)</w:t>
      </w:r>
    </w:p>
  </w:footnote>
  <w:footnote w:id="1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but she (made)</w:t>
      </w:r>
      <w:r>
        <w:rPr>
          <w:rFonts w:cs="Times New Roman"/>
          <w:sz w:val="24"/>
          <w:szCs w:val="24"/>
        </w:rPr>
        <w:t xml:space="preserve"> silver and gold (things)</w:t>
      </w:r>
      <w:r>
        <w:rPr>
          <w:sz w:val="24"/>
          <w:szCs w:val="24"/>
        </w:rPr>
        <w:t>”; struct (cf 8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), parall init;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1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3sg,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</w:p>
  </w:footnote>
  <w:footnote w:id="1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>and from it”;</w:t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;</w:t>
      </w:r>
      <w:r>
        <w:rPr>
          <w:sz w:val="24"/>
          <w:szCs w:val="24"/>
        </w:rPr>
        <w:t xml:space="preserve"> syntact diffic in </w:t>
      </w:r>
      <w:r>
        <w:rPr>
          <w:rFonts w:cs="HUBPSigla" w:ascii="HUBPSigla" w:hAnsi="HUBPSigla"/>
          <w:sz w:val="24"/>
          <w:szCs w:val="24"/>
        </w:rPr>
        <w:t>x</w:t>
      </w:r>
      <w:r>
        <w:rPr>
          <w:sz w:val="24"/>
          <w:szCs w:val="24"/>
        </w:rPr>
        <w:t xml:space="preserve"> </w:t>
      </w:r>
    </w:p>
  </w:footnote>
  <w:footnote w:id="1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לבעל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taken as indirect object; </w:t>
      </w:r>
      <w:r>
        <w:rPr>
          <w:rFonts w:cs="Times New Roman"/>
          <w:sz w:val="24"/>
          <w:szCs w:val="24"/>
        </w:rPr>
        <w:t xml:space="preserve">direct object in </w:t>
      </w:r>
      <w:r>
        <w:rPr>
          <w:rFonts w:cs="Guttman Keren" w:ascii="HUBPSigla" w:hAnsi="HUBPSigla"/>
          <w:sz w:val="24"/>
          <w:szCs w:val="24"/>
        </w:rPr>
        <w:t>*-[</w:t>
      </w:r>
      <w:r>
        <w:rPr>
          <w:rFonts w:cs="David" w:ascii="HUBPSigla" w:hAnsi="HUBPSigla"/>
          <w:sz w:val="24"/>
          <w:szCs w:val="24"/>
        </w:rPr>
        <w:t>T</w:t>
      </w:r>
      <w:r>
        <w:rPr>
          <w:sz w:val="24"/>
          <w:szCs w:val="24"/>
        </w:rPr>
        <w:t xml:space="preserve"> (cf 8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)</w:t>
      </w:r>
    </w:p>
  </w:footnote>
  <w:footnote w:id="2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and my oil”, cf vv</w:t>
      </w:r>
      <w:r>
        <w:rPr>
          <w:sz w:val="24"/>
          <w:szCs w:val="24"/>
          <w:vertAlign w:val="subscript"/>
        </w:rPr>
        <w:t>7,10</w:t>
      </w:r>
    </w:p>
  </w:footnote>
  <w:footnote w:id="21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syntact diffic</w:t>
      </w:r>
    </w:p>
  </w:footnote>
  <w:footnote w:id="2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so that not to cover”, understood as final clause; cf app 4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Jer 7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; p </w:t>
      </w:r>
      <w:r>
        <w:rPr>
          <w:rFonts w:cs="Guttman Keren"/>
          <w:sz w:val="24"/>
          <w:sz w:val="24"/>
          <w:szCs w:val="24"/>
          <w:rtl w:val="true"/>
          <w:lang w:val="el-GR"/>
        </w:rPr>
        <w:t>מִ</w:t>
      </w:r>
      <w:r>
        <w:rPr>
          <w:rFonts w:cs="Guttman Keren"/>
          <w:sz w:val="24"/>
          <w:sz w:val="24"/>
          <w:szCs w:val="24"/>
          <w:rtl w:val="true"/>
        </w:rPr>
        <w:t>לְּ</w:t>
      </w:r>
      <w:r>
        <w:rPr>
          <w:rFonts w:cs="Guttman Keren"/>
          <w:sz w:val="24"/>
          <w:sz w:val="24"/>
          <w:szCs w:val="24"/>
          <w:rtl w:val="true"/>
          <w:lang w:val="el-GR"/>
        </w:rPr>
        <w:t>כַסות</w:t>
      </w:r>
      <w:r>
        <w:rPr>
          <w:rFonts w:cs="Guttman Keren"/>
          <w:sz w:val="24"/>
          <w:szCs w:val="24"/>
          <w:highlight w:val="lightGray"/>
          <w:vertAlign w:val="subscript"/>
        </w:rPr>
        <w:t>II</w:t>
      </w:r>
    </w:p>
  </w:footnote>
  <w:footnote w:id="2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which covered”, understood as attributive clause; cf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 xml:space="preserve">pr </w:t>
      </w:r>
      <w:r>
        <w:rPr>
          <w:rFonts w:cs="Estrangelo Edessa"/>
          <w:sz w:val="24"/>
          <w:sz w:val="24"/>
          <w:szCs w:val="24"/>
          <w:rtl w:val="true"/>
          <w:lang w:val="el-GR" w:bidi="syr-TR"/>
        </w:rPr>
        <w:t>ܕܝܗܒܬ</w:t>
      </w:r>
      <w:r>
        <w:rPr>
          <w:rFonts w:cs="Times New Roman"/>
          <w:sz w:val="24"/>
          <w:sz w:val="24"/>
          <w:szCs w:val="24"/>
          <w:rtl w:val="true"/>
          <w:lang w:val="el-GR" w:bidi="syr-TR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val="el-GR" w:bidi="syr-TR"/>
        </w:rPr>
        <w:t>ܠܗܿ</w:t>
      </w:r>
      <w:r>
        <w:rPr>
          <w:rFonts w:cs="Times New Roman"/>
          <w:sz w:val="24"/>
          <w:sz w:val="24"/>
          <w:szCs w:val="24"/>
          <w:lang w:bidi="syr-TR"/>
        </w:rPr>
        <w:t xml:space="preserve"> </w:t>
      </w:r>
      <w:r>
        <w:rPr>
          <w:rFonts w:cs="David"/>
          <w:sz w:val="24"/>
          <w:szCs w:val="24"/>
        </w:rPr>
        <w:t xml:space="preserve">= </w:t>
      </w:r>
      <w:r>
        <w:rPr>
          <w:rFonts w:cs="David" w:ascii="HUBPSigla" w:hAnsi="HUBPSigla"/>
          <w:sz w:val="24"/>
          <w:szCs w:val="24"/>
        </w:rPr>
        <w:t>T</w:t>
      </w:r>
      <w:r>
        <w:rPr>
          <w:rFonts w:cs="David"/>
          <w:sz w:val="24"/>
          <w:szCs w:val="24"/>
        </w:rPr>
        <w:t xml:space="preserve"> “which I gave to her” (ex v</w:t>
      </w:r>
      <w:r>
        <w:rPr>
          <w:rFonts w:cs="David"/>
          <w:sz w:val="24"/>
          <w:szCs w:val="24"/>
          <w:vertAlign w:val="subscript"/>
        </w:rPr>
        <w:t>10</w:t>
      </w:r>
      <w:r>
        <w:rPr>
          <w:rFonts w:cs="David"/>
          <w:sz w:val="24"/>
          <w:szCs w:val="24"/>
        </w:rPr>
        <w:t>)</w:t>
      </w:r>
    </w:p>
  </w:footnote>
  <w:footnote w:id="2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her pudenda”, </w:t>
      </w:r>
      <w:r>
        <w:rPr>
          <w:rFonts w:cs="HUBPSigla" w:ascii="HUBPSigla" w:hAnsi="HUBPSigla"/>
          <w:sz w:val="24"/>
          <w:szCs w:val="24"/>
        </w:rPr>
        <w:t>x</w:t>
      </w:r>
      <w:r>
        <w:rPr>
          <w:sz w:val="24"/>
          <w:szCs w:val="24"/>
        </w:rPr>
        <w:t xml:space="preserve"> hapax;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sz w:val="24"/>
          <w:szCs w:val="24"/>
        </w:rPr>
        <w:t xml:space="preserve"> v</w:t>
      </w:r>
      <w:r>
        <w:rPr>
          <w:sz w:val="24"/>
          <w:szCs w:val="24"/>
          <w:vertAlign w:val="subscript"/>
        </w:rPr>
        <w:t>11</w:t>
      </w:r>
    </w:p>
  </w:footnote>
  <w:footnote w:id="2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3sgf</w:t>
      </w:r>
    </w:p>
  </w:footnote>
  <w:footnote w:id="2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</w:rPr>
        <w:t>הֲשִׁבֹתִי</w:t>
      </w:r>
      <w:r>
        <w:rPr>
          <w:rFonts w:cs="Guttman Keren"/>
          <w:sz w:val="24"/>
          <w:szCs w:val="24"/>
        </w:rPr>
        <w:t>, cf app 1</w:t>
      </w:r>
      <w:r>
        <w:rPr>
          <w:rFonts w:cs="Guttman Keren"/>
          <w:sz w:val="24"/>
          <w:szCs w:val="24"/>
          <w:vertAlign w:val="subscript"/>
        </w:rPr>
        <w:t>4</w:t>
      </w:r>
    </w:p>
  </w:footnote>
  <w:footnote w:id="2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>formula, cf Ezek 45</w:t>
      </w:r>
      <w:r>
        <w:rPr>
          <w:sz w:val="24"/>
          <w:szCs w:val="24"/>
          <w:vertAlign w:val="subscript"/>
          <w:lang w:val="fr-FR"/>
        </w:rPr>
        <w:t>17</w:t>
      </w:r>
      <w:r>
        <w:rPr>
          <w:sz w:val="24"/>
          <w:szCs w:val="24"/>
          <w:lang w:val="fr-FR"/>
        </w:rPr>
        <w:t xml:space="preserve"> Neh 10</w:t>
      </w:r>
      <w:r>
        <w:rPr>
          <w:sz w:val="24"/>
          <w:szCs w:val="24"/>
          <w:vertAlign w:val="subscript"/>
          <w:lang w:val="fr-FR"/>
        </w:rPr>
        <w:t>34</w:t>
      </w:r>
      <w:r>
        <w:rPr>
          <w:sz w:val="24"/>
          <w:szCs w:val="24"/>
          <w:lang w:val="fr-FR"/>
        </w:rPr>
        <w:t xml:space="preserve"> 1Chr 23</w:t>
      </w:r>
      <w:r>
        <w:rPr>
          <w:sz w:val="24"/>
          <w:szCs w:val="24"/>
          <w:vertAlign w:val="subscript"/>
          <w:lang w:val="fr-FR"/>
        </w:rPr>
        <w:t>31</w:t>
      </w:r>
      <w:r>
        <w:rPr>
          <w:sz w:val="24"/>
          <w:szCs w:val="24"/>
          <w:lang w:val="fr-FR"/>
        </w:rPr>
        <w:t xml:space="preserve"> et al</w:t>
      </w:r>
    </w:p>
  </w:footnote>
  <w:footnote w:id="2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>3sgf, parall init</w:t>
      </w:r>
      <w:r>
        <w:rPr>
          <w:sz w:val="24"/>
          <w:szCs w:val="24"/>
        </w:rPr>
        <w:t xml:space="preserve"> </w:t>
      </w:r>
    </w:p>
  </w:footnote>
  <w:footnote w:id="2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fr-F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לעֵד</w:t>
      </w:r>
      <w:r>
        <w:rPr>
          <w:rFonts w:cs="Times New Roman"/>
          <w:sz w:val="24"/>
          <w:sz w:val="24"/>
          <w:szCs w:val="24"/>
          <w:rtl w:val="true"/>
          <w:lang w:val="fr-FR"/>
        </w:rPr>
        <w:t xml:space="preserve"> </w:t>
      </w:r>
      <w:r>
        <w:rPr>
          <w:rFonts w:cs="Guttman Keren"/>
          <w:sz w:val="24"/>
          <w:szCs w:val="24"/>
          <w:rtl w:val="true"/>
          <w:lang w:val="fr-FR"/>
        </w:rPr>
        <w:t>(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Guttman Keren"/>
          <w:sz w:val="24"/>
          <w:szCs w:val="24"/>
          <w:rtl w:val="true"/>
          <w:lang w:val="fr-FR"/>
        </w:rPr>
        <w:t>)</w:t>
      </w:r>
      <w:r>
        <w:rPr>
          <w:rFonts w:cs="Guttman Keren"/>
          <w:sz w:val="24"/>
          <w:szCs w:val="24"/>
          <w:lang w:val="fr-FR"/>
        </w:rPr>
        <w:t>, cf Hier 23</w:t>
      </w:r>
      <w:r>
        <w:rPr>
          <w:rFonts w:cs="Guttman Keren"/>
          <w:sz w:val="24"/>
          <w:szCs w:val="24"/>
          <w:vertAlign w:val="subscript"/>
          <w:lang w:val="fr-FR"/>
        </w:rPr>
        <w:t>210−214</w:t>
      </w:r>
    </w:p>
  </w:footnote>
  <w:footnote w:id="3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fr-FR"/>
        </w:rPr>
        <w:t xml:space="preserve"> “</w:t>
      </w:r>
      <w:r>
        <w:rPr>
          <w:sz w:val="24"/>
          <w:szCs w:val="24"/>
          <w:lang w:val="fr-FR"/>
        </w:rPr>
        <w:t>and the birds of heaven and the reptiles of earth”, ex v</w:t>
      </w:r>
      <w:r>
        <w:rPr>
          <w:sz w:val="24"/>
          <w:szCs w:val="24"/>
          <w:vertAlign w:val="subscript"/>
          <w:lang w:val="fr-FR"/>
        </w:rPr>
        <w:t>20</w:t>
      </w:r>
      <w:r>
        <w:rPr>
          <w:sz w:val="24"/>
          <w:szCs w:val="24"/>
          <w:lang w:val="fr-FR"/>
        </w:rPr>
        <w:t>; cf app 4</w:t>
      </w:r>
      <w:r>
        <w:rPr>
          <w:sz w:val="24"/>
          <w:szCs w:val="24"/>
          <w:vertAlign w:val="subscript"/>
          <w:lang w:val="fr-FR"/>
        </w:rPr>
        <w:t>3</w:t>
      </w:r>
    </w:p>
  </w:footnote>
  <w:footnote w:id="31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dupl </w:t>
      </w:r>
      <w:r>
        <w:rPr>
          <w:rFonts w:cs="Guttman Keren"/>
          <w:sz w:val="24"/>
          <w:sz w:val="24"/>
          <w:szCs w:val="24"/>
          <w:rtl w:val="true"/>
        </w:rPr>
        <w:t>ב</w:t>
      </w:r>
      <w:r>
        <w:rPr>
          <w:rFonts w:cs="Guttman Keren"/>
          <w:sz w:val="24"/>
          <w:sz w:val="24"/>
          <w:szCs w:val="24"/>
          <w:rtl w:val="true"/>
        </w:rPr>
        <w:t>הם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ל</w:t>
      </w:r>
      <w:r>
        <w:rPr>
          <w:rFonts w:cs="Guttman Keren"/>
          <w:sz w:val="24"/>
          <w:sz w:val="24"/>
          <w:szCs w:val="24"/>
          <w:rtl w:val="true"/>
        </w:rPr>
        <w:t>הם</w:t>
      </w:r>
      <w:r>
        <w:rPr>
          <w:rFonts w:cs="Guttman Keren"/>
          <w:sz w:val="24"/>
          <w:szCs w:val="24"/>
        </w:rPr>
        <w:t>, 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</w:p>
  </w:footnote>
  <w:footnote w:id="3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בהם</w:t>
      </w:r>
      <w:r>
        <w:rPr>
          <w:sz w:val="24"/>
          <w:szCs w:val="24"/>
        </w:rPr>
        <w:t>,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3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</w:t>
      </w:r>
    </w:p>
  </w:footnote>
  <w:footnote w:id="3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she took off” (cf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Gen 41</w:t>
      </w:r>
      <w:r>
        <w:rPr>
          <w:sz w:val="24"/>
          <w:szCs w:val="24"/>
          <w:vertAlign w:val="subscript"/>
        </w:rPr>
        <w:t>42</w:t>
      </w:r>
      <w:r>
        <w:rPr>
          <w:sz w:val="24"/>
          <w:szCs w:val="24"/>
        </w:rPr>
        <w:t xml:space="preserve"> Esth 3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8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),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עדה</w:t>
      </w:r>
      <w:r>
        <w:rPr>
          <w:rFonts w:cs="Guttman Keren" w:ascii="HUBPSigla" w:hAnsi="HUBPSigla"/>
          <w:sz w:val="24"/>
          <w:szCs w:val="24"/>
          <w:vertAlign w:val="subscript"/>
        </w:rPr>
        <w:t>1</w:t>
      </w:r>
      <w:r>
        <w:rPr>
          <w:rFonts w:cs="Times New Roman"/>
          <w:sz w:val="24"/>
          <w:szCs w:val="24"/>
        </w:rPr>
        <w:t>,</w:t>
      </w:r>
      <w:r>
        <w:rPr>
          <w:sz w:val="24"/>
          <w:szCs w:val="24"/>
        </w:rPr>
        <w:t xml:space="preserve"> cf also </w:t>
      </w:r>
      <w:r>
        <w:rPr>
          <w:rFonts w:cs="HUBPSigla" w:ascii="HUBPSigla" w:hAnsi="HUBPSigla"/>
          <w:sz w:val="24"/>
          <w:szCs w:val="24"/>
        </w:rPr>
        <w:t>[T</w:t>
      </w:r>
      <w:r>
        <w:rPr>
          <w:sz w:val="24"/>
          <w:szCs w:val="24"/>
        </w:rPr>
        <w:t xml:space="preserve"> Prov 25</w:t>
      </w:r>
      <w:r>
        <w:rPr>
          <w:sz w:val="24"/>
          <w:szCs w:val="24"/>
          <w:vertAlign w:val="subscript"/>
        </w:rPr>
        <w:t>20</w:t>
      </w:r>
    </w:p>
  </w:footnote>
  <w:footnote w:id="3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and I shall make her like the wilderness”, cf v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; </w:t>
      </w:r>
      <w:r>
        <w:rPr>
          <w:rFonts w:cs="HUBPSigla" w:ascii="HUBPSigla" w:hAnsi="HUBPSigla"/>
          <w:sz w:val="24"/>
          <w:szCs w:val="24"/>
        </w:rPr>
        <w:t>]-</w:t>
      </w:r>
      <w:r>
        <w:rPr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κατάξω</w:t>
      </w:r>
      <w:r>
        <w:rPr>
          <w:sz w:val="24"/>
          <w:szCs w:val="24"/>
        </w:rPr>
        <w:t xml:space="preserve"> (apt), but all evid </w:t>
      </w:r>
      <w:r>
        <w:rPr>
          <w:rFonts w:cs="HUBPSigla" w:ascii="HUBPSigla" w:hAnsi="HUBPSigla"/>
          <w:sz w:val="24"/>
          <w:szCs w:val="24"/>
        </w:rPr>
        <w:t>]h</w:t>
      </w:r>
      <w:r>
        <w:rPr>
          <w:sz w:val="24"/>
          <w:szCs w:val="24"/>
        </w:rPr>
        <w:t xml:space="preserve">; </w:t>
      </w:r>
      <w:r>
        <w:rPr>
          <w:rFonts w:cs="HUBPSigla" w:ascii="HUBPSigla" w:hAnsi="HUBPSigla"/>
          <w:sz w:val="24"/>
          <w:szCs w:val="24"/>
        </w:rPr>
        <w:t>]-</w:t>
      </w:r>
      <w:r>
        <w:rPr>
          <w:sz w:val="24"/>
          <w:szCs w:val="24"/>
        </w:rPr>
        <w:t xml:space="preserve"> </w:t>
      </w:r>
      <w:r>
        <w:rPr>
          <w:rFonts w:cs="GFS Porson" w:ascii="GFS Porson" w:hAnsi="GFS Porson"/>
          <w:sz w:val="24"/>
          <w:szCs w:val="24"/>
        </w:rPr>
        <w:t>εἰς</w:t>
      </w:r>
      <w:r>
        <w:rPr>
          <w:sz w:val="24"/>
          <w:szCs w:val="24"/>
        </w:rPr>
        <w:t xml:space="preserve"> (=</w:t>
      </w:r>
      <w:r>
        <w:rPr>
          <w:rFonts w:cs="HUBPSigla" w:ascii="HUBPSigla" w:hAnsi="HUBPSigla"/>
          <w:sz w:val="24"/>
          <w:szCs w:val="24"/>
        </w:rPr>
        <w:t>*[</w:t>
      </w:r>
      <w:r>
        <w:rPr>
          <w:sz w:val="24"/>
          <w:szCs w:val="24"/>
        </w:rPr>
        <w:t xml:space="preserve">), but main evid </w:t>
      </w:r>
      <w:r>
        <w:rPr>
          <w:rFonts w:cs="HUBPSigla" w:ascii="HUBPSigla" w:hAnsi="HUBPSigla"/>
          <w:sz w:val="24"/>
          <w:szCs w:val="24"/>
        </w:rPr>
        <w:t>]h</w:t>
      </w:r>
      <w:r>
        <w:rPr>
          <w:sz w:val="24"/>
          <w:szCs w:val="24"/>
        </w:rPr>
        <w:t xml:space="preserve">; see </w:t>
      </w:r>
      <w:r>
        <w:rPr>
          <w:color w:val="FF9900"/>
          <w:sz w:val="24"/>
          <w:szCs w:val="24"/>
        </w:rPr>
        <w:t>Ziegler, “Einleitung”, 121</w:t>
      </w:r>
    </w:p>
  </w:footnote>
  <w:footnote w:id="3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</w:rPr>
        <w:t>כֹּ</w:t>
      </w:r>
      <w:r>
        <w:rPr>
          <w:rFonts w:cs="Guttman Keren"/>
          <w:sz w:val="24"/>
          <w:sz w:val="24"/>
          <w:szCs w:val="24"/>
          <w:rtl w:val="true"/>
        </w:rPr>
        <w:t>רְמיה</w:t>
      </w:r>
      <w:r>
        <w:rPr>
          <w:rFonts w:cs="Guttman Keren"/>
          <w:sz w:val="24"/>
          <w:szCs w:val="24"/>
        </w:rPr>
        <w:t>, contrast app Joel 1</w:t>
      </w:r>
      <w:r>
        <w:rPr>
          <w:rFonts w:cs="Guttman Keren"/>
          <w:sz w:val="24"/>
          <w:szCs w:val="24"/>
          <w:vertAlign w:val="subscript"/>
        </w:rPr>
        <w:t>11</w:t>
      </w:r>
      <w:r>
        <w:rPr>
          <w:rFonts w:cs="Guttman Keren"/>
          <w:sz w:val="24"/>
          <w:szCs w:val="24"/>
        </w:rPr>
        <w:t xml:space="preserve">; cf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Guttman Keren"/>
          <w:sz w:val="24"/>
          <w:szCs w:val="24"/>
        </w:rPr>
        <w:t xml:space="preserve"> </w:t>
      </w:r>
      <w:r>
        <w:rPr>
          <w:smallCaps/>
          <w:sz w:val="24"/>
          <w:sz w:val="24"/>
          <w:szCs w:val="24"/>
          <w:rtl w:val="true"/>
          <w:lang w:val="el-GR"/>
        </w:rPr>
        <w:t>פרנסהא</w:t>
      </w:r>
      <w:r>
        <w:rPr>
          <w:rFonts w:cs="Times New Roman"/>
          <w:sz w:val="24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>her administrator”</w:t>
      </w:r>
    </w:p>
  </w:footnote>
  <w:footnote w:id="3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voc </w:t>
      </w:r>
      <w:r>
        <w:rPr>
          <w:rFonts w:cs="Guttman Keren"/>
          <w:sz w:val="24"/>
          <w:sz w:val="24"/>
          <w:szCs w:val="24"/>
          <w:rtl w:val="true"/>
          <w:lang w:val="el-GR"/>
        </w:rPr>
        <w:t>לִפְתֹּחַ</w:t>
      </w:r>
    </w:p>
  </w:footnote>
  <w:footnote w:id="3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 xml:space="preserve">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קוה</w:t>
      </w:r>
      <w:r>
        <w:rPr>
          <w:rFonts w:cs="Guttman Keren"/>
          <w:sz w:val="24"/>
          <w:szCs w:val="24"/>
          <w:vertAlign w:val="subscript"/>
          <w:lang w:val="el-GR"/>
        </w:rPr>
        <w:t>2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“to collect (water)” (not “understanding”, as e.g. Hier 25</w:t>
      </w:r>
      <w:r>
        <w:rPr>
          <w:rFonts w:cs="Times New Roman"/>
          <w:sz w:val="24"/>
          <w:szCs w:val="24"/>
          <w:vertAlign w:val="subscript"/>
        </w:rPr>
        <w:t>295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i/>
          <w:iCs/>
          <w:sz w:val="24"/>
          <w:szCs w:val="24"/>
        </w:rPr>
        <w:t>intellegentiam eius</w:t>
      </w:r>
      <w:r>
        <w:rPr>
          <w:rFonts w:cs="Times New Roman"/>
          <w:sz w:val="24"/>
          <w:szCs w:val="24"/>
        </w:rPr>
        <w:t xml:space="preserve"> and </w:t>
      </w:r>
      <w:r>
        <w:rPr>
          <w:rFonts w:cs="Times New Roman"/>
          <w:i/>
          <w:iCs/>
          <w:color w:val="FF9900"/>
          <w:sz w:val="24"/>
          <w:szCs w:val="24"/>
        </w:rPr>
        <w:t>BdA</w:t>
      </w:r>
      <w:r>
        <w:rPr>
          <w:rFonts w:cs="Times New Roman"/>
          <w:color w:val="FF9900"/>
          <w:sz w:val="24"/>
          <w:szCs w:val="24"/>
        </w:rPr>
        <w:t>, 75</w:t>
      </w:r>
      <w:r>
        <w:rPr>
          <w:rFonts w:cs="Times New Roman"/>
          <w:sz w:val="24"/>
          <w:szCs w:val="24"/>
        </w:rPr>
        <w:t xml:space="preserve">), see </w:t>
      </w:r>
      <w:r>
        <w:rPr>
          <w:rFonts w:cs="Times New Roman"/>
          <w:color w:val="FF9900"/>
          <w:sz w:val="24"/>
          <w:szCs w:val="24"/>
        </w:rPr>
        <w:t xml:space="preserve">Vollers, </w:t>
      </w:r>
      <w:r>
        <w:rPr>
          <w:rFonts w:cs="Times New Roman"/>
          <w:i/>
          <w:iCs/>
          <w:color w:val="FF9900"/>
          <w:sz w:val="24"/>
          <w:szCs w:val="24"/>
        </w:rPr>
        <w:t>ZAW</w:t>
      </w:r>
      <w:r>
        <w:rPr>
          <w:rFonts w:cs="Times New Roman"/>
          <w:color w:val="FF9900"/>
          <w:sz w:val="24"/>
          <w:szCs w:val="24"/>
        </w:rPr>
        <w:t xml:space="preserve"> 3 (1883), 244</w:t>
      </w:r>
      <w:r>
        <w:rPr>
          <w:rFonts w:cs="Times New Roman"/>
          <w:sz w:val="24"/>
          <w:szCs w:val="24"/>
        </w:rPr>
        <w:t>; similarly app Zech 9</w:t>
      </w:r>
      <w:r>
        <w:rPr>
          <w:rFonts w:cs="Times New Roman"/>
          <w:sz w:val="24"/>
          <w:szCs w:val="24"/>
          <w:vertAlign w:val="subscript"/>
        </w:rPr>
        <w:t>12</w:t>
      </w:r>
    </w:p>
  </w:footnote>
  <w:footnote w:id="3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>her understanding”:</w:t>
      </w:r>
      <w:r>
        <w:rPr>
          <w:sz w:val="24"/>
          <w:szCs w:val="24"/>
        </w:rPr>
        <w:t xml:space="preserve"> (a) </w:t>
      </w:r>
      <w:r>
        <w:rPr>
          <w:rFonts w:cs="Times New Roman"/>
          <w:sz w:val="24"/>
          <w:szCs w:val="24"/>
        </w:rPr>
        <w:t xml:space="preserve">misinterpretation of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(cf Gelston,</w:t>
      </w:r>
      <w:r>
        <w:rPr>
          <w:i/>
          <w:iCs/>
          <w:sz w:val="24"/>
          <w:szCs w:val="24"/>
        </w:rPr>
        <w:t xml:space="preserve"> Peshi</w:t>
      </w:r>
      <w:r>
        <w:rPr>
          <w:rFonts w:cs="Times New Roman"/>
          <w:i/>
          <w:iCs/>
          <w:sz w:val="24"/>
          <w:szCs w:val="24"/>
        </w:rPr>
        <w:t>ṭ</w:t>
      </w:r>
      <w:r>
        <w:rPr>
          <w:i/>
          <w:iCs/>
          <w:sz w:val="24"/>
          <w:szCs w:val="24"/>
        </w:rPr>
        <w:t>ta</w:t>
      </w:r>
      <w:r>
        <w:rPr>
          <w:sz w:val="24"/>
          <w:szCs w:val="24"/>
        </w:rPr>
        <w:t>,</w:t>
      </w:r>
      <w:r>
        <w:rPr>
          <w:rFonts w:cs="Times New Roman"/>
          <w:sz w:val="24"/>
          <w:szCs w:val="24"/>
        </w:rPr>
        <w:t xml:space="preserve"> 162), 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 xml:space="preserve">; (b) inner-Syr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val="el-GR" w:bidi="syr-TR"/>
        </w:rPr>
        <w:t>ܣܘܟܝܗܿ</w:t>
      </w:r>
      <w:r>
        <w:rPr>
          <w:rFonts w:cs="Times New Roman"/>
          <w:sz w:val="24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>her hope” (=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 xml:space="preserve">), cf </w:t>
      </w:r>
      <w:r>
        <w:rPr>
          <w:rFonts w:cs="Times New Roman" w:ascii="HUBPSigla" w:hAnsi="HUBPSigla"/>
          <w:sz w:val="24"/>
          <w:szCs w:val="24"/>
        </w:rPr>
        <w:t>9</w:t>
      </w:r>
      <w:r>
        <w:rPr>
          <w:rFonts w:cs="Times New Roman"/>
          <w:sz w:val="24"/>
          <w:szCs w:val="24"/>
          <w:vertAlign w:val="subscript"/>
        </w:rPr>
        <w:t>Syh</w:t>
      </w:r>
      <w:r>
        <w:rPr>
          <w:rFonts w:cs="Times New Roman"/>
          <w:sz w:val="24"/>
          <w:szCs w:val="24"/>
        </w:rPr>
        <w:t xml:space="preserve"> Jer 14</w:t>
      </w:r>
      <w:r>
        <w:rPr>
          <w:rFonts w:cs="Times New Roman"/>
          <w:sz w:val="24"/>
          <w:szCs w:val="24"/>
          <w:vertAlign w:val="subscript"/>
        </w:rPr>
        <w:t>8</w:t>
      </w:r>
      <w:r>
        <w:rPr>
          <w:rFonts w:cs="Times New Roman"/>
          <w:sz w:val="24"/>
          <w:szCs w:val="24"/>
        </w:rPr>
        <w:t xml:space="preserve"> Ezek 19</w:t>
      </w:r>
      <w:r>
        <w:rPr>
          <w:rFonts w:cs="Times New Roman"/>
          <w:sz w:val="24"/>
          <w:szCs w:val="24"/>
          <w:vertAlign w:val="subscript"/>
        </w:rPr>
        <w:t>5</w:t>
      </w:r>
    </w:p>
  </w:footnote>
  <w:footnote w:id="4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cf </w:t>
      </w:r>
      <w:r>
        <w:rPr>
          <w:rFonts w:cs="Guttman Keren"/>
          <w:sz w:val="24"/>
          <w:sz w:val="24"/>
          <w:szCs w:val="24"/>
          <w:rtl w:val="true"/>
        </w:rPr>
        <w:t>כימי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prec</w:t>
      </w:r>
    </w:p>
  </w:footnote>
  <w:footnote w:id="41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her exodus”, reflecting common variation </w:t>
      </w:r>
      <w:r>
        <w:rPr>
          <w:rFonts w:cs="Guttman Keren"/>
          <w:sz w:val="24"/>
          <w:sz w:val="24"/>
          <w:szCs w:val="24"/>
          <w:rtl w:val="true"/>
        </w:rPr>
        <w:t>יצא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עלה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מ</w:t>
      </w:r>
      <w:r>
        <w:rPr>
          <w:rFonts w:cs="Guttman Keren"/>
          <w:sz w:val="24"/>
          <w:szCs w:val="24"/>
          <w:rtl w:val="true"/>
          <w:lang w:val="el-GR"/>
        </w:rPr>
        <w:t>(</w:t>
      </w:r>
      <w:r>
        <w:rPr>
          <w:rFonts w:cs="Guttman Keren"/>
          <w:sz w:val="24"/>
          <w:sz w:val="24"/>
          <w:szCs w:val="24"/>
          <w:rtl w:val="true"/>
          <w:lang w:val="el-GR"/>
        </w:rPr>
        <w:t>ארץ</w:t>
      </w:r>
      <w:r>
        <w:rPr>
          <w:rFonts w:cs="Guttman Keren"/>
          <w:sz w:val="24"/>
          <w:szCs w:val="24"/>
          <w:rtl w:val="true"/>
          <w:lang w:val="el-GR"/>
        </w:rPr>
        <w:t xml:space="preserve">) </w:t>
      </w:r>
      <w:r>
        <w:rPr>
          <w:rFonts w:cs="Guttman Keren"/>
          <w:sz w:val="24"/>
          <w:sz w:val="24"/>
          <w:szCs w:val="24"/>
          <w:rtl w:val="true"/>
          <w:lang w:val="el-GR"/>
        </w:rPr>
        <w:t>מצרים</w:t>
      </w:r>
      <w:r>
        <w:rPr>
          <w:rFonts w:cs="Guttman Keren"/>
          <w:sz w:val="24"/>
          <w:szCs w:val="24"/>
        </w:rPr>
        <w:t>; cf app 12</w:t>
      </w:r>
      <w:r>
        <w:rPr>
          <w:rFonts w:cs="Guttman Keren"/>
          <w:sz w:val="24"/>
          <w:szCs w:val="24"/>
          <w:vertAlign w:val="subscript"/>
        </w:rPr>
        <w:t>10</w:t>
      </w:r>
    </w:p>
  </w:footnote>
  <w:footnote w:id="4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3fsg</w:t>
      </w:r>
    </w:p>
  </w:footnote>
  <w:footnote w:id="4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1sg, parall (cf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)</w:t>
      </w:r>
    </w:p>
  </w:footnote>
  <w:footnote w:id="4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ex vv</w:t>
      </w:r>
      <w:r>
        <w:rPr>
          <w:sz w:val="24"/>
          <w:szCs w:val="24"/>
          <w:vertAlign w:val="subscript"/>
        </w:rPr>
        <w:t>15,19</w:t>
      </w:r>
    </w:p>
  </w:footnote>
  <w:footnote w:id="4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והכר</w:t>
      </w:r>
      <w:r>
        <w:rPr>
          <w:rFonts w:cs="Guttman Keren"/>
          <w:sz w:val="24"/>
          <w:sz w:val="24"/>
          <w:szCs w:val="24"/>
          <w:rtl w:val="true"/>
        </w:rPr>
        <w:t>ַ</w:t>
      </w:r>
      <w:r>
        <w:rPr>
          <w:rFonts w:cs="Guttman Keren"/>
          <w:sz w:val="24"/>
          <w:sz w:val="24"/>
          <w:szCs w:val="24"/>
          <w:rtl w:val="true"/>
        </w:rPr>
        <w:t>תי</w:t>
      </w:r>
      <w:r>
        <w:rPr>
          <w:rFonts w:cs="Times New Roman"/>
          <w:sz w:val="24"/>
          <w:szCs w:val="24"/>
        </w:rPr>
        <w:t xml:space="preserve">, </w:t>
      </w:r>
      <w:r>
        <w:rPr>
          <w:rFonts w:cs="Guttman Keren"/>
          <w:sz w:val="24"/>
          <w:szCs w:val="24"/>
        </w:rPr>
        <w:t>cf Zech 13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>; cf also v</w:t>
      </w:r>
      <w:r>
        <w:rPr>
          <w:rFonts w:cs="Guttman Keren"/>
          <w:sz w:val="24"/>
          <w:szCs w:val="24"/>
          <w:vertAlign w:val="subscript"/>
        </w:rPr>
        <w:t>20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וכרתי</w:t>
      </w:r>
    </w:p>
  </w:footnote>
  <w:footnote w:id="4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app seq (</w:t>
      </w:r>
      <w:r>
        <w:rPr>
          <w:rFonts w:cs="Guttman Keren"/>
          <w:sz w:val="24"/>
          <w:sz w:val="24"/>
          <w:szCs w:val="24"/>
          <w:rtl w:val="true"/>
        </w:rPr>
        <w:t>בשמם</w:t>
      </w:r>
      <w:r>
        <w:rPr>
          <w:sz w:val="24"/>
          <w:szCs w:val="24"/>
        </w:rPr>
        <w:t>); cf SifreDeut 306 (329:16)</w:t>
      </w:r>
    </w:p>
  </w:footnote>
  <w:footnote w:id="4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3pl</w:t>
      </w:r>
    </w:p>
  </w:footnote>
  <w:footnote w:id="4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they will remember … their names”, diath; for num cf app prec (</w:t>
      </w:r>
      <w:r>
        <w:rPr>
          <w:rFonts w:cs="Guttman Keren"/>
          <w:sz w:val="24"/>
          <w:sz w:val="24"/>
          <w:szCs w:val="24"/>
          <w:rtl w:val="true"/>
        </w:rPr>
        <w:t>שמות</w:t>
      </w:r>
      <w:r>
        <w:rPr>
          <w:sz w:val="24"/>
          <w:szCs w:val="24"/>
        </w:rPr>
        <w:t xml:space="preserve">); for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sz w:val="24"/>
          <w:szCs w:val="24"/>
        </w:rPr>
        <w:t xml:space="preserve"> cf </w:t>
      </w:r>
      <w:r>
        <w:rPr>
          <w:rFonts w:cs="HUBPSigla" w:ascii="HUBPSigla" w:hAnsi="HUBPSigla"/>
          <w:sz w:val="24"/>
          <w:szCs w:val="24"/>
        </w:rPr>
        <w:t>]T</w:t>
      </w:r>
      <w:r>
        <w:rPr>
          <w:sz w:val="24"/>
          <w:szCs w:val="24"/>
        </w:rPr>
        <w:t xml:space="preserve"> Zech 13</w:t>
      </w:r>
      <w:r>
        <w:rPr>
          <w:sz w:val="24"/>
          <w:szCs w:val="24"/>
          <w:vertAlign w:val="subscript"/>
        </w:rPr>
        <w:t>2</w:t>
      </w:r>
    </w:p>
  </w:footnote>
  <w:footnote w:id="4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I will make cease”; (a) apt for hapax </w:t>
      </w:r>
      <w:r>
        <w:rPr>
          <w:rFonts w:cs="Guttman Keren"/>
          <w:sz w:val="24"/>
          <w:sz w:val="24"/>
          <w:szCs w:val="24"/>
          <w:rtl w:val="true"/>
          <w:lang w:val="el-GR"/>
        </w:rPr>
        <w:t>שבר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מן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הארץ</w:t>
      </w:r>
      <w:r>
        <w:rPr>
          <w:rFonts w:cs="Guttman Keren"/>
          <w:sz w:val="24"/>
          <w:szCs w:val="24"/>
        </w:rPr>
        <w:t xml:space="preserve">; (b) </w:t>
      </w:r>
      <w:r>
        <w:rPr>
          <w:rFonts w:cs="Guttman Keren"/>
          <w:sz w:val="24"/>
          <w:sz w:val="24"/>
          <w:szCs w:val="24"/>
          <w:rtl w:val="true"/>
          <w:lang w:val="el-GR"/>
        </w:rPr>
        <w:t>אשבית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Cs w:val="24"/>
          <w:rtl w:val="true"/>
          <w:lang w:val="el-GR"/>
        </w:rPr>
        <w:t>(</w:t>
      </w:r>
      <w:r>
        <w:rPr>
          <w:rFonts w:cs="Guttman Keren"/>
          <w:sz w:val="24"/>
          <w:sz w:val="24"/>
          <w:szCs w:val="24"/>
          <w:rtl w:val="true"/>
          <w:lang w:val="el-GR"/>
        </w:rPr>
        <w:t>מן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הארץ</w:t>
      </w:r>
      <w:r>
        <w:rPr>
          <w:rFonts w:cs="Guttman Keren"/>
          <w:sz w:val="24"/>
          <w:szCs w:val="24"/>
          <w:rtl w:val="true"/>
          <w:lang w:val="el-GR"/>
        </w:rPr>
        <w:t>)</w:t>
      </w:r>
      <w:r>
        <w:rPr>
          <w:rFonts w:cs="Guttman Keren"/>
          <w:sz w:val="24"/>
          <w:szCs w:val="24"/>
        </w:rPr>
        <w:t>, cf Lev 26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Guttman Keren"/>
          <w:sz w:val="24"/>
          <w:szCs w:val="24"/>
        </w:rPr>
        <w:t xml:space="preserve"> Ezek 23</w:t>
      </w:r>
      <w:r>
        <w:rPr>
          <w:rFonts w:cs="Guttman Keren"/>
          <w:sz w:val="24"/>
          <w:szCs w:val="24"/>
          <w:vertAlign w:val="subscript"/>
        </w:rPr>
        <w:t>48</w:t>
      </w:r>
      <w:r>
        <w:rPr>
          <w:rFonts w:cs="Guttman Keren"/>
          <w:sz w:val="24"/>
          <w:szCs w:val="24"/>
        </w:rPr>
        <w:t xml:space="preserve"> et al</w:t>
      </w:r>
    </w:p>
  </w:footnote>
  <w:footnote w:id="5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  <w:lang w:val="el-GR"/>
        </w:rPr>
        <w:t>השכנתי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  <w:lang w:val="el-GR"/>
        </w:rPr>
        <w:t>ב</w:t>
      </w:r>
      <w:r>
        <w:rPr>
          <w:rFonts w:cs="Guttman Keren"/>
          <w:sz w:val="24"/>
          <w:szCs w:val="24"/>
          <w:rtl w:val="true"/>
          <w:lang w:val="el-GR"/>
        </w:rPr>
        <w:t>/</w:t>
      </w:r>
      <w:r>
        <w:rPr>
          <w:rFonts w:cs="Guttman Keren"/>
          <w:sz w:val="24"/>
          <w:sz w:val="24"/>
          <w:szCs w:val="24"/>
          <w:rtl w:val="true"/>
          <w:lang w:val="el-GR"/>
        </w:rPr>
        <w:t>נ</w:t>
      </w:r>
      <w:r>
        <w:rPr>
          <w:rFonts w:cs="Times New Roma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>, cf Jer 7</w:t>
      </w:r>
      <w:r>
        <w:rPr>
          <w:rFonts w:cs="Guttman Keren"/>
          <w:sz w:val="24"/>
          <w:szCs w:val="24"/>
          <w:vertAlign w:val="subscript"/>
        </w:rPr>
        <w:t>3</w:t>
      </w:r>
      <w:r>
        <w:rPr>
          <w:rFonts w:cs="Guttman Keren"/>
          <w:sz w:val="24"/>
          <w:szCs w:val="24"/>
        </w:rPr>
        <w:t xml:space="preserve"> (for </w:t>
      </w:r>
      <w:r>
        <w:rPr>
          <w:rFonts w:cs="Guttman Keren"/>
          <w:sz w:val="24"/>
          <w:sz w:val="24"/>
          <w:szCs w:val="24"/>
          <w:rtl w:val="true"/>
          <w:lang w:val="el-GR"/>
        </w:rPr>
        <w:t>שכן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לבטח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e.g. Deut 33</w:t>
      </w:r>
      <w:r>
        <w:rPr>
          <w:rFonts w:cs="Guttman Keren"/>
          <w:sz w:val="24"/>
          <w:szCs w:val="24"/>
          <w:vertAlign w:val="subscript"/>
        </w:rPr>
        <w:t>12</w:t>
      </w:r>
      <w:r>
        <w:rPr>
          <w:rFonts w:cs="Guttman Keren"/>
          <w:sz w:val="24"/>
          <w:szCs w:val="24"/>
        </w:rPr>
        <w:t xml:space="preserve"> Jer 23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Guttman Keren"/>
          <w:sz w:val="24"/>
          <w:szCs w:val="24"/>
        </w:rPr>
        <w:t xml:space="preserve">); p </w:t>
      </w:r>
      <w:r>
        <w:rPr>
          <w:rFonts w:cs="Guttman Keren"/>
          <w:sz w:val="24"/>
          <w:sz w:val="24"/>
          <w:szCs w:val="24"/>
          <w:rtl w:val="true"/>
          <w:lang w:val="el-GR"/>
        </w:rPr>
        <w:t>הֹשבתי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]hT</w:t>
      </w:r>
      <w:r>
        <w:rPr>
          <w:rFonts w:cs="Guttman Keren"/>
          <w:sz w:val="24"/>
          <w:szCs w:val="24"/>
        </w:rPr>
        <w:t xml:space="preserve"> Jer 32</w:t>
      </w:r>
      <w:r>
        <w:rPr>
          <w:rFonts w:cs="Guttman Keren"/>
          <w:sz w:val="24"/>
          <w:szCs w:val="24"/>
          <w:vertAlign w:val="subscript"/>
        </w:rPr>
        <w:t>37</w:t>
      </w:r>
    </w:p>
  </w:footnote>
  <w:footnote w:id="5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2sg</w:t>
      </w:r>
    </w:p>
  </w:footnote>
  <w:footnote w:id="5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כי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אני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יהוה</w:t>
      </w:r>
      <w:r>
        <w:rPr>
          <w:rFonts w:cs="Guttman Keren"/>
          <w:sz w:val="24"/>
          <w:szCs w:val="24"/>
        </w:rPr>
        <w:t>,</w:t>
      </w:r>
      <w:r>
        <w:rPr>
          <w:sz w:val="24"/>
          <w:szCs w:val="24"/>
        </w:rPr>
        <w:t xml:space="preserve"> formulaic change</w:t>
      </w:r>
    </w:p>
  </w:footnote>
  <w:footnote w:id="5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 reduct</w:t>
      </w:r>
    </w:p>
  </w:footnote>
  <w:footnote w:id="5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cf </w:t>
      </w:r>
      <w:r>
        <w:rPr>
          <w:rFonts w:cs="Guttman Keren"/>
          <w:sz w:val="24"/>
          <w:sz w:val="24"/>
          <w:szCs w:val="24"/>
          <w:rtl w:val="true"/>
        </w:rPr>
        <w:t>השמים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prec; </w:t>
      </w:r>
      <w:r>
        <w:rPr>
          <w:rFonts w:cs="Guttman Keren" w:ascii="HUBPSigla" w:hAnsi="HUBPSigla"/>
          <w:sz w:val="24"/>
          <w:szCs w:val="24"/>
        </w:rPr>
        <w:t>]-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καὶ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αὐτός</w:t>
      </w:r>
      <w:r>
        <w:rPr>
          <w:rFonts w:cs="Guttman Keren"/>
          <w:sz w:val="24"/>
          <w:szCs w:val="24"/>
        </w:rPr>
        <w:t xml:space="preserve"> (=</w:t>
      </w:r>
      <w:r>
        <w:rPr>
          <w:rFonts w:cs="Guttman Keren" w:ascii="HUBPSigla" w:hAnsi="HUBPSigla"/>
          <w:sz w:val="24"/>
          <w:szCs w:val="24"/>
        </w:rPr>
        <w:t>x</w:t>
      </w:r>
      <w:r>
        <w:rPr>
          <w:rFonts w:cs="Guttman Keren"/>
          <w:sz w:val="24"/>
          <w:szCs w:val="24"/>
        </w:rPr>
        <w:t>), but main e</w:t>
      </w:r>
      <w:r>
        <w:rPr>
          <w:rFonts w:cs="Times New Roman"/>
          <w:sz w:val="24"/>
          <w:szCs w:val="24"/>
        </w:rPr>
        <w:t>v</w:t>
      </w:r>
      <w:r>
        <w:rPr>
          <w:rFonts w:cs="Guttman Keren"/>
          <w:sz w:val="24"/>
          <w:szCs w:val="24"/>
        </w:rPr>
        <w:t xml:space="preserve">id </w:t>
      </w:r>
      <w:r>
        <w:rPr>
          <w:rFonts w:cs="Guttman Keren" w:ascii="HUBPSigla" w:hAnsi="HUBPSigla"/>
          <w:sz w:val="24"/>
          <w:szCs w:val="24"/>
        </w:rPr>
        <w:t>]h</w:t>
      </w:r>
    </w:p>
  </w:footnote>
  <w:footnote w:id="5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1sg (cf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)</w:t>
      </w:r>
    </w:p>
  </w:footnote>
  <w:footnote w:id="5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you are the Lord my God”, formula, cf e.g. Isa 25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Jer 31</w:t>
      </w:r>
      <w:r>
        <w:rPr>
          <w:sz w:val="24"/>
          <w:szCs w:val="24"/>
          <w:vertAlign w:val="subscript"/>
        </w:rPr>
        <w:t>18</w:t>
      </w:r>
      <w:r>
        <w:rPr>
          <w:sz w:val="24"/>
          <w:szCs w:val="24"/>
        </w:rPr>
        <w:t>; note div; cf b. Pesa</w:t>
      </w:r>
      <w:r>
        <w:rPr>
          <w:rFonts w:cs="Times New Roman"/>
          <w:sz w:val="24"/>
          <w:szCs w:val="24"/>
        </w:rPr>
        <w:t>ḥ</w:t>
      </w:r>
      <w:r>
        <w:rPr>
          <w:sz w:val="24"/>
          <w:szCs w:val="24"/>
        </w:rPr>
        <w:t>im</w:t>
      </w:r>
      <w:r>
        <w:rPr>
          <w:sz w:val="24"/>
          <w:szCs w:val="24"/>
          <w:vertAlign w:val="subscript"/>
        </w:rPr>
        <w:t>ms</w:t>
      </w:r>
      <w:r>
        <w:rPr>
          <w:sz w:val="24"/>
          <w:szCs w:val="24"/>
        </w:rPr>
        <w:t xml:space="preserve"> 87b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David"/>
        <w:rtl w:val="true"/>
      </w:rPr>
      <w:fldChar w:fldCharType="begin"/>
    </w:r>
    <w:r>
      <w:rPr>
        <w:rtl w:val="true"/>
        <w:rFonts w:cs="David"/>
      </w:rPr>
      <w:instrText xml:space="preserve"> DATE \@"dd\/MM\/yyyy" </w:instrText>
    </w:r>
    <w:r>
      <w:rPr>
        <w:rtl w:val="true"/>
        <w:rFonts w:cs="David"/>
      </w:rPr>
      <w:fldChar w:fldCharType="separate"/>
    </w:r>
    <w:r>
      <w:rPr>
        <w:rtl w:val="true"/>
        <w:rFonts w:cs="David"/>
      </w:rPr>
      <w:t>10/11/2024</w:t>
    </w:r>
    <w:r>
      <w:rPr>
        <w:rtl w:val="true"/>
        <w:rFonts w:cs="David"/>
      </w:rPr>
      <w:fldChar w:fldCharType="end"/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הושע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ב</w:t>
    </w:r>
    <w:r>
      <w:rPr>
        <w:rFonts w:cs="David"/>
        <w:rtl w:val="true"/>
      </w:rPr>
      <w:t xml:space="preserve">, </w:t>
    </w:r>
    <w:r>
      <w:rPr>
        <w:rFonts w:cs="David"/>
        <w:rtl w:val="true"/>
      </w:rPr>
      <w:t>אפ</w:t>
    </w:r>
    <w:r>
      <w:rPr>
        <w:rFonts w:cs="David"/>
        <w:rtl w:val="true"/>
      </w:rPr>
      <w:t xml:space="preserve">' </w:t>
    </w:r>
    <w:r>
      <w:rPr>
        <w:rFonts w:cs="David"/>
        <w:rtl w:val="true"/>
      </w:rPr>
      <w:t>א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 xml:space="preserve">+ </w:t>
    </w:r>
    <w:r>
      <w:rPr>
        <w:rFonts w:cs="David"/>
        <w:rtl w:val="true"/>
      </w:rPr>
      <w:t>ה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(</w:t>
    </w:r>
    <w:r>
      <w:rPr>
        <w:rFonts w:cs="David"/>
        <w:rtl w:val="true"/>
      </w:rPr>
      <w:t>הערות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באנגלית</w:t>
    </w:r>
    <w:r>
      <w:rPr>
        <w:rFonts w:cs="David"/>
        <w:rtl w:val="true"/>
      </w:rPr>
      <w:t>)</w:t>
    </w:r>
  </w:p>
</w:hdr>
</file>

<file path=word/settings.xml><?xml version="1.0" encoding="utf-8"?>
<w:settings xmlns:w="http://schemas.openxmlformats.org/wordprocessingml/2006/main">
  <w:zoom w:percent="220"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Miriam"/>
      <w:color w:val="auto"/>
      <w:sz w:val="20"/>
      <w:szCs w:val="20"/>
      <w:lang w:val="en-US" w:bidi="he-IL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bidi w:val="0"/>
      <w:spacing w:lineRule="auto" w:line="480"/>
      <w:jc w:val="center"/>
    </w:pPr>
    <w:rPr>
      <w:rFonts w:cs="FrankRuehl"/>
      <w:sz w:val="24"/>
      <w:szCs w:val="24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">
    <w:name w:val="Footnote Text"/>
    <w:basedOn w:val="Normal"/>
    <w:pPr/>
    <w:rPr/>
  </w:style>
  <w:style w:type="paragraph" w:styleId="BalloonText">
    <w:name w:val="Balloon Text"/>
    <w:basedOn w:val="Normal"/>
    <w:qFormat/>
    <w:pPr>
      <w:ind w:left="0" w:right="0" w:hanging="0"/>
      <w:jc w:val="left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2016-07-26T19:32:00Z</dcterms:created>
  <dc:creator>Microsoft Corporation</dc:creator>
  <dc:description/>
  <cp:keywords/>
  <dc:language>en-US</dc:language>
  <cp:lastModifiedBy>Michael Segal</cp:lastModifiedBy>
  <cp:lastPrinted>2010-07-13T16:25:00Z</cp:lastPrinted>
  <dcterms:modified xsi:type="dcterms:W3CDTF">2018-09-23T07:29:00Z</dcterms:modified>
  <cp:revision>17</cp:revision>
  <dc:subject/>
  <dc:title>Hos</dc:title>
</cp:coreProperties>
</file>