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36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13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כְּדַבֵּר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κατὰ τὸν λόγον</w:t>
      </w:r>
      <w:r>
        <w:rPr>
          <w:rStyle w:val="FootnoteCharacters"/>
          <w:rStyle w:val="FootnoteAnchor"/>
          <w:sz w:val="28"/>
          <w:szCs w:val="28"/>
        </w:rPr>
        <w:footnoteReference w:id="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רְתֵת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sz w:val="28"/>
          <w:szCs w:val="28"/>
        </w:rPr>
        <w:footnoteReference w:id="3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δικαιώματα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David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ܪܐܬ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ܗܘܐ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נשא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הוא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]-[</w:t>
      </w:r>
      <w:r>
        <w:rPr>
          <w:sz w:val="28"/>
          <w:szCs w:val="28"/>
        </w:rPr>
        <w:t xml:space="preserve"> ~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נָשָׂא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ܪܒܐ</w:t>
      </w:r>
      <w:r>
        <w:rPr>
          <w:rFonts w:cs="David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ויאשׁם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 ἔθετο</w:t>
      </w:r>
      <w:r>
        <w:rPr>
          <w:rStyle w:val="FootnoteCharacters"/>
          <w:rStyle w:val="FootnoteAnchor"/>
          <w:sz w:val="28"/>
          <w:szCs w:val="28"/>
        </w:rPr>
        <w:footnoteReference w:id="7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"/>
      </w:r>
      <w:r>
        <w:rPr>
          <w:rFonts w:cs="Times New Roman" w:ascii="HUBPSigla" w:hAnsi="HUBPSigla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עתה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יוספו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לחטא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>
        <w:rPr>
          <w:rFonts w:cs="Segoe UI" w:ascii="GFS Porson" w:hAnsi="GFS Porson"/>
          <w:color w:val="000000"/>
          <w:sz w:val="28"/>
          <w:szCs w:val="28"/>
        </w:rPr>
        <w:t>ἔτι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יוספו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1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מסכה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כספם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χρυσίου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καί</w:t>
      </w:r>
      <w:r>
        <w:rPr>
          <w:rStyle w:val="FootnoteCharacters"/>
          <w:rStyle w:val="FootnoteAnchor"/>
          <w:sz w:val="28"/>
          <w:szCs w:val="28"/>
        </w:rPr>
        <w:footnoteReference w:id="1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תבונם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εἰκόνα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עצבים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מעשה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כֻּלֹּה</w:t>
      </w:r>
      <w:r>
        <w:rPr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συντετελεσμένα</w:t>
      </w:r>
      <w:r>
        <w:rPr>
          <w:rStyle w:val="FootnoteCharacters"/>
          <w:rStyle w:val="FootnoteAnchor"/>
          <w:sz w:val="28"/>
          <w:szCs w:val="28"/>
        </w:rPr>
        <w:footnoteReference w:id="13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HUBPSigla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להם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αὐτοῖς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זֹבְחֵי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θύσατε</w:t>
      </w:r>
      <w:r>
        <w:rPr>
          <w:rStyle w:val="FootnoteCharacters"/>
          <w:rStyle w:val="FootnoteAnchor"/>
          <w:sz w:val="28"/>
          <w:szCs w:val="28"/>
        </w:rPr>
        <w:footnoteReference w:id="1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9*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עגלים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ישקון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connect |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ἐκλελοίπασι</w:t>
      </w:r>
      <w:r>
        <w:rPr>
          <w:rStyle w:val="FootnoteCharacters"/>
          <w:rStyle w:val="FootnoteAnchor"/>
          <w:sz w:val="28"/>
          <w:szCs w:val="28"/>
        </w:rPr>
        <w:footnoteReference w:id="16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מֹץ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ἀράχνη</w:t>
      </w:r>
      <w:r>
        <w:rPr>
          <w:rStyle w:val="FootnoteCharacters"/>
          <w:rStyle w:val="FootnoteAnchor"/>
          <w:sz w:val="28"/>
          <w:szCs w:val="28"/>
        </w:rPr>
        <w:footnoteReference w:id="1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יְסֹעֵר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Characters"/>
          <w:position w:val="0"/>
          <w:sz w:val="28"/>
          <w:sz w:val="28"/>
          <w:szCs w:val="28"/>
          <w:vertAlign w:val="baseline"/>
        </w:rPr>
        <w:t xml:space="preserve">+ </w:t>
      </w:r>
      <w:r>
        <w:rPr>
          <w:rFonts w:cs="Segoe UI" w:ascii="GFS Porson" w:hAnsi="GFS Porson"/>
          <w:color w:val="000000"/>
          <w:sz w:val="28"/>
          <w:szCs w:val="28"/>
        </w:rPr>
        <w:t>λαίλαπι</w:t>
      </w:r>
      <w:r>
        <w:rPr>
          <w:rStyle w:val="FootnoteCharacters"/>
          <w:rStyle w:val="FootnoteAnchor"/>
          <w:sz w:val="28"/>
          <w:szCs w:val="28"/>
        </w:rPr>
        <w:footnoteReference w:id="1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עשן</w:t>
      </w:r>
      <w:r>
        <w:rPr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κανθαρίς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מ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אֲרֻבָּה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]-</w:t>
      </w:r>
      <w:r>
        <w:rPr>
          <w:rFonts w:cs="HUBPSigla" w:ascii="HUBPSigla" w:hAnsi="HUBPSigla"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bookmarkStart w:id="0" w:name="_Ref254165380"/>
      <w:r>
        <w:rPr>
          <w:rFonts w:cs="Times New Roman" w:ascii="GFS Porson" w:hAnsi="GFS Porson"/>
          <w:sz w:val="28"/>
          <w:szCs w:val="28"/>
          <w:lang w:val="el-GR"/>
        </w:rPr>
        <w:t>ἀκρίδων</w:t>
      </w:r>
      <w:r>
        <w:rPr>
          <w:rStyle w:val="FootnoteCharacters"/>
          <w:rStyle w:val="FootnoteAnchor"/>
          <w:sz w:val="28"/>
          <w:szCs w:val="28"/>
        </w:rPr>
        <w:footnoteReference w:id="20"/>
      </w:r>
      <w:bookmarkEnd w:id="0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אנכי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אלהיך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στερεῶν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οὐρανὸν</w:t>
      </w:r>
      <w:r>
        <w:rPr>
          <w:rStyle w:val="FootnoteCharacters"/>
          <w:rStyle w:val="FootnoteAnchor"/>
          <w:sz w:val="28"/>
          <w:szCs w:val="28"/>
        </w:rPr>
        <w:footnoteReference w:id="21"/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κτίζων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γῆν</w:t>
      </w:r>
      <w:r>
        <w:rPr>
          <w:rFonts w:cs="Times New Roman" w:ascii="GFS Porson" w:hAnsi="GFS Porson"/>
          <w:sz w:val="28"/>
          <w:szCs w:val="28"/>
        </w:rPr>
        <w:t>,</w:t>
      </w:r>
      <w:r>
        <w:rPr>
          <w:rStyle w:val="FootnoteCharacters"/>
          <w:rStyle w:val="FootnoteAnchor"/>
          <w:sz w:val="28"/>
          <w:szCs w:val="28"/>
        </w:rPr>
        <w:footnoteReference w:id="22"/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οὗ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αἱ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χεῖρες</w:t>
      </w:r>
      <w:r>
        <w:rPr>
          <w:rStyle w:val="FootnoteCharacters"/>
          <w:rStyle w:val="FootnoteAnchor"/>
          <w:sz w:val="28"/>
          <w:szCs w:val="28"/>
        </w:rPr>
        <w:footnoteReference w:id="23"/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ἔκτισαν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πᾶσαν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τὴν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στρατιὰν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οὐρανοῦ</w:t>
      </w:r>
      <w:r>
        <w:rPr>
          <w:rFonts w:cs="Times New Roman" w:ascii="GFS Porson" w:hAnsi="GFS Porson"/>
          <w:sz w:val="28"/>
          <w:szCs w:val="28"/>
        </w:rPr>
        <w:t>,</w:t>
      </w:r>
      <w:r>
        <w:rPr>
          <w:rStyle w:val="FootnoteCharacters"/>
          <w:rStyle w:val="FootnoteAnchor"/>
          <w:sz w:val="28"/>
          <w:szCs w:val="28"/>
        </w:rPr>
        <w:footnoteReference w:id="24"/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οὐ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παρέδειξά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σοι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αὐτὰ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πορεύεσθαι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ὀπίσω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25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מארץ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מצרים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pr </w:t>
      </w:r>
      <w:r>
        <w:rPr>
          <w:rFonts w:cs="Times New Roman" w:ascii="GFS Porson" w:hAnsi="GFS Porson"/>
          <w:sz w:val="28"/>
          <w:szCs w:val="28"/>
          <w:lang w:val="el-GR"/>
        </w:rPr>
        <w:t>καὶ ἐγὼ ἀνήγαγόν σε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r>
        <w:rPr>
          <w:rFonts w:cs="Guttman Keren"/>
          <w:sz w:val="28"/>
          <w:sz w:val="28"/>
          <w:szCs w:val="28"/>
          <w:rtl w:val="true"/>
        </w:rPr>
        <w:t>ידעתיך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bookmarkStart w:id="1" w:name="_Ref254172030"/>
      <w:r>
        <w:rPr>
          <w:rFonts w:cs="Times New Roman" w:ascii="GFS Porson" w:hAnsi="GFS Porson"/>
          <w:sz w:val="28"/>
          <w:szCs w:val="28"/>
          <w:lang w:val="el-GR"/>
        </w:rPr>
        <w:t>ἐποίμαινόν σε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  <w:bookmarkEnd w:id="1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</w:p>
    <w:p>
      <w:pPr>
        <w:pStyle w:val="Normal"/>
        <w:bidi w:val="0"/>
        <w:spacing w:lineRule="auto" w:line="360"/>
        <w:jc w:val="left"/>
        <w:rPr>
          <w:rFonts w:ascii="HUBPSigla" w:hAnsi="HUBPSigla"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תלאבות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8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ἀοικήτῳ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9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ܚܪܒܬܐ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ܕܠܐ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ܝܬܒܐ</w:t>
      </w:r>
      <w:r>
        <w:rPr>
          <w:rFonts w:cs="Times New Roman"/>
          <w:sz w:val="28"/>
          <w:sz w:val="28"/>
          <w:szCs w:val="28"/>
          <w:lang w:bidi="syr-TR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כמרעיתם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κατὰ τὰς νομὰς αὐτῶν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ܘܪܥܝܬ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ܐܢܘܢ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3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שבעו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וישבעו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ܟܪܣܗܘܢ</w:t>
      </w:r>
      <w:r>
        <w:rPr>
          <w:rFonts w:cs="David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ܘܡܠܘ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3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שבעו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εἰς πλησμονήν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מסבע</w:t>
      </w:r>
      <w:r>
        <w:rPr>
          <w:rFonts w:cs="Times New Roman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כן</w:t>
      </w:r>
      <w:r>
        <w:rPr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</w:t>
      </w:r>
      <w:r>
        <w:rPr>
          <w:rFonts w:cs="Guttman Keren"/>
          <w:sz w:val="28"/>
          <w:sz w:val="28"/>
          <w:szCs w:val="28"/>
          <w:rtl w:val="true"/>
        </w:rPr>
        <w:t>כנמר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אָ</w:t>
      </w:r>
      <w:r>
        <w:rPr>
          <w:rFonts w:cs="Guttman Keren"/>
          <w:sz w:val="28"/>
          <w:sz w:val="28"/>
          <w:szCs w:val="28"/>
          <w:rtl w:val="true"/>
        </w:rPr>
        <w:t>שׁ</w:t>
      </w:r>
      <w:r>
        <w:rPr>
          <w:rFonts w:cs="Guttman Keren"/>
          <w:sz w:val="28"/>
          <w:sz w:val="28"/>
          <w:szCs w:val="28"/>
          <w:rtl w:val="true"/>
        </w:rPr>
        <w:t>וּר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Ἀσσυρίων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שַׁכּוּל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ἀπορουμένη</w:t>
      </w:r>
      <w:r>
        <w:rPr>
          <w:rStyle w:val="FootnoteCharacters"/>
          <w:rStyle w:val="FootnoteAnchor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ܕܬܒܪܐ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35"/>
      </w:r>
      <w:r>
        <w:rPr>
          <w:rFonts w:eastAsia="Times New Roman"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T</w:t>
      </w:r>
      <w:r>
        <w:rPr>
          <w:rFonts w:cs="David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סגור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לבם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interiora iecoris eorum</w:t>
      </w:r>
      <w:bookmarkStart w:id="2" w:name="_Ref177199364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6"/>
      </w:r>
      <w:bookmarkEnd w:id="2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וְאֹכְלֵם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pers</w:t>
      </w:r>
      <w:bookmarkStart w:id="3" w:name="_Ref177201385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7"/>
      </w:r>
      <w:bookmarkEnd w:id="3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לביא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8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לביא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δρυμοῦ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9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חית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</w:t>
      </w:r>
      <w:r>
        <w:rPr>
          <w:sz w:val="28"/>
          <w:szCs w:val="28"/>
        </w:rPr>
        <w:t>prep</w:t>
      </w:r>
      <w:r>
        <w:rPr>
          <w:rStyle w:val="FootnoteCharacters"/>
          <w:rStyle w:val="FootnoteAnchor"/>
          <w:sz w:val="28"/>
          <w:szCs w:val="28"/>
        </w:rPr>
        <w:footnoteReference w:id="40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חית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השדה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 w:val="28"/>
          <w:szCs w:val="28"/>
          <w:rtl w:val="true"/>
        </w:rPr>
        <w:t>כחית</w:t>
      </w:r>
      <w:r>
        <w:rPr>
          <w:sz w:val="28"/>
          <w:szCs w:val="28"/>
        </w:rPr>
        <w:t xml:space="preserve">) </w:t>
      </w:r>
      <w:r>
        <w:rPr>
          <w:sz w:val="28"/>
          <w:sz w:val="28"/>
          <w:szCs w:val="28"/>
          <w:rtl w:val="true"/>
        </w:rPr>
        <w:t>שינא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1"/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9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שִׁחֶתְ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 διαφθορᾷ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τῇ διασπορᾷ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ܘܚܒܠܬ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ܟ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Style w:val="FootnoteCharacters"/>
          <w:rStyle w:val="FootnoteAnchor"/>
          <w:sz w:val="28"/>
          <w:szCs w:val="28"/>
        </w:rPr>
        <w:footnoteReference w:id="4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τίς</w:t>
      </w:r>
      <w:r>
        <w:rPr>
          <w:rStyle w:val="FootnoteCharacters"/>
          <w:rStyle w:val="FootnoteAnchor"/>
          <w:sz w:val="28"/>
          <w:szCs w:val="28"/>
        </w:rPr>
        <w:footnoteReference w:id="45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בעזר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βοηθήσει</w:t>
      </w:r>
      <w:r>
        <w:rPr>
          <w:rStyle w:val="FootnoteCharacters"/>
          <w:rStyle w:val="FootnoteAnchor"/>
          <w:sz w:val="28"/>
          <w:szCs w:val="28"/>
        </w:rPr>
        <w:footnoteReference w:id="46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i/>
          <w:i/>
          <w:iCs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בעזר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cs="Guttman Keren"/>
          <w:b/>
          <w:bCs/>
          <w:sz w:val="28"/>
          <w:szCs w:val="28"/>
        </w:rPr>
        <w:t>0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אֱהִי</w:t>
      </w:r>
      <w:r>
        <w:rPr>
          <w:rFonts w:cs="Guttman Keren"/>
          <w:sz w:val="28"/>
          <w:szCs w:val="28"/>
        </w:rPr>
        <w:t>]</w:t>
      </w:r>
      <w:bookmarkStart w:id="4" w:name="_Ref281466630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7"/>
      </w:r>
      <w:bookmarkEnd w:id="4"/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ποῦ</w:t>
      </w:r>
      <w:r>
        <w:rPr>
          <w:rStyle w:val="FootnoteCharacters"/>
          <w:rStyle w:val="FootnoteAnchor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בְּ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כל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ܠܟܘܠܗܝܢ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Style w:val="FootnoteCharacters"/>
          <w:rStyle w:val="FootnoteAnchor"/>
          <w:sz w:val="28"/>
          <w:szCs w:val="28"/>
        </w:rPr>
        <w:footnoteReference w:id="49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ושֹׁפְטיך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κρινάτω σε</w:t>
      </w:r>
      <w:r>
        <w:rPr>
          <w:rStyle w:val="FootnoteCharacters"/>
          <w:rStyle w:val="FootnoteAnchor"/>
          <w:sz w:val="28"/>
          <w:szCs w:val="28"/>
        </w:rPr>
        <w:footnoteReference w:id="5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[-</w:t>
      </w:r>
      <w:r>
        <w:rPr>
          <w:rFonts w:cs="Times New Roman"/>
          <w:sz w:val="28"/>
          <w:szCs w:val="28"/>
        </w:rPr>
        <w:t xml:space="preserve"> num</w:t>
      </w:r>
      <w:r>
        <w:rPr>
          <w:rStyle w:val="FootnoteCharacters"/>
          <w:rStyle w:val="FootnoteAnchor"/>
          <w:sz w:val="28"/>
          <w:szCs w:val="28"/>
        </w:rPr>
        <w:footnoteReference w:id="5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T-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ודִינָך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2"/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אמרת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ܫܐܠܬܢܝ</w:t>
      </w:r>
      <w:r>
        <w:rPr>
          <w:rFonts w:eastAsia="Times New Roman"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  <w:lang w:bidi="syr-TR"/>
        </w:rPr>
        <w:t>-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53"/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ושרים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אתן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ואקח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12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עון</w:t>
      </w:r>
      <w:r>
        <w:rPr>
          <w:rFonts w:cs="Guttman Keren"/>
          <w:sz w:val="28"/>
          <w:szCs w:val="28"/>
        </w:rPr>
        <w:t>)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צָרוּר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συστροφὴν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ἀδικίας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Guttman Keren"/>
          <w:sz w:val="28"/>
          <w:sz w:val="28"/>
          <w:szCs w:val="28"/>
          <w:rtl w:val="true"/>
        </w:rPr>
        <w:t>עון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ἀδικίας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6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חבלי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יולדה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~ </w:t>
      </w:r>
      <w:r>
        <w:rPr>
          <w:rFonts w:cs="Guttman Keren"/>
          <w:sz w:val="28"/>
          <w:sz w:val="28"/>
          <w:szCs w:val="28"/>
          <w:rtl w:val="true"/>
        </w:rPr>
        <w:t>יבאו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~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יולדה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7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הוא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–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חכם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~ 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~</w:t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בן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ὁ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υἱὸς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σου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8"/>
      </w:r>
    </w:p>
    <w:p>
      <w:pPr>
        <w:pStyle w:val="Normal"/>
        <w:bidi w:val="0"/>
        <w:spacing w:lineRule="auto" w:line="360"/>
        <w:ind w:left="720" w:right="0" w:hanging="72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νῦν</w:t>
      </w:r>
      <w:r>
        <w:rPr>
          <w:rStyle w:val="FootnoteCharacters"/>
          <w:rStyle w:val="FootnoteAnchor"/>
          <w:sz w:val="28"/>
          <w:szCs w:val="28"/>
        </w:rPr>
        <w:footnoteReference w:id="5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בנים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14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אפדם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6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ממות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]-*h[T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אֱהִי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  <w:vertAlign w:val="superscript"/>
          <w:rtl w:val="true"/>
        </w:rPr>
        <w:t xml:space="preserve">, 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>]</w:t>
      </w:r>
      <w:bookmarkStart w:id="5" w:name="_Ref255375493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2"/>
      </w:r>
      <w:bookmarkEnd w:id="5"/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ποῦ</w:t>
      </w:r>
      <w:r>
        <w:rPr>
          <w:rStyle w:val="FootnoteCharacters"/>
          <w:rStyle w:val="FootnoteAnchor"/>
          <w:sz w:val="28"/>
          <w:szCs w:val="28"/>
        </w:rPr>
        <w:footnoteReference w:id="6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/>
          <w:sz w:val="28"/>
          <w:szCs w:val="28"/>
        </w:rPr>
        <w:t>pers</w:t>
      </w:r>
      <w:bookmarkStart w:id="6" w:name="_Ref255376036"/>
      <w:r>
        <w:rPr>
          <w:rStyle w:val="FootnoteCharacters"/>
          <w:rStyle w:val="FootnoteAnchor"/>
          <w:sz w:val="28"/>
          <w:szCs w:val="28"/>
        </w:rPr>
        <w:footnoteReference w:id="64"/>
      </w:r>
      <w:bookmarkEnd w:id="6"/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Times New Roman"/>
          <w:i/>
          <w:i/>
          <w:iCs/>
          <w:sz w:val="28"/>
          <w:szCs w:val="28"/>
        </w:rPr>
      </w:pPr>
      <w:bookmarkStart w:id="7" w:name="_Ref178325254"/>
      <w:r>
        <w:rPr>
          <w:rFonts w:cs="Guttman Keren"/>
          <w:sz w:val="28"/>
          <w:sz w:val="28"/>
          <w:szCs w:val="28"/>
          <w:rtl w:val="true"/>
        </w:rPr>
        <w:t>דְבָרֶי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]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 w:ascii="HUBPSigla" w:hAnsi="HUBPSigla"/>
          <w:sz w:val="28"/>
          <w:szCs w:val="28"/>
        </w:rPr>
        <w:t>|*[T</w:t>
      </w:r>
      <w:r>
        <w:rPr>
          <w:rFonts w:cs="Times New Roman"/>
          <w:sz w:val="28"/>
          <w:szCs w:val="28"/>
        </w:rPr>
        <w:t xml:space="preserve"> num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bookmarkStart w:id="8" w:name="_Ref179789184"/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δίκη</w:t>
      </w:r>
      <w:r>
        <w:rPr>
          <w:rStyle w:val="FootnoteCharacters"/>
          <w:rStyle w:val="FootnoteAnchor"/>
          <w:sz w:val="28"/>
          <w:szCs w:val="28"/>
        </w:rPr>
        <w:footnoteReference w:id="65"/>
      </w:r>
      <w:bookmarkEnd w:id="7"/>
      <w:bookmarkEnd w:id="8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νίκη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6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plaga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מות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שאול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Times New Roman" w:ascii="HUBPSigla" w:hAnsi="HUBPSigla"/>
          <w:sz w:val="28"/>
          <w:szCs w:val="28"/>
        </w:rPr>
        <w:t>|T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קטב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ך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9" w:name="_Ref179790043"/>
      <w:r>
        <w:rPr>
          <w:rFonts w:cs="Times New Roman" w:ascii="GFS Porson" w:hAnsi="GFS Porson"/>
          <w:sz w:val="28"/>
          <w:szCs w:val="28"/>
          <w:lang w:val="el-GR"/>
        </w:rPr>
        <w:t>κέντρον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9"/>
      </w:r>
      <w:bookmarkEnd w:id="9"/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ܢܘܟ̈ܬܬܐ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  <w:rtl w:val="true"/>
        </w:rPr>
        <w:footnoteReference w:id="70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= </w:t>
      </w:r>
      <w:r>
        <w:rPr>
          <w:rFonts w:cs="Times New Roman" w:ascii="HUBPSigla" w:hAnsi="HUBPSigla"/>
          <w:sz w:val="28"/>
          <w:szCs w:val="28"/>
          <w:rtl w:val="true"/>
        </w:rPr>
        <w:t>*</w:t>
      </w:r>
      <w:r>
        <w:rPr>
          <w:rFonts w:cs="Times New Roman"/>
          <w:sz w:val="28"/>
          <w:szCs w:val="28"/>
          <w:rtl w:val="true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/>
          <w:sz w:val="28"/>
          <w:szCs w:val="28"/>
        </w:rPr>
        <w:t xml:space="preserve"> </w:t>
      </w:r>
      <w:r>
        <w:rPr>
          <w:rFonts w:cs="Segoe UI" w:ascii="GFS Porson" w:hAnsi="GFS Porson"/>
          <w:color w:val="000000"/>
          <w:sz w:val="28"/>
          <w:szCs w:val="28"/>
        </w:rPr>
        <w:t>ἀπάντημα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1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plaga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מעיני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15 </w:t>
      </w:r>
      <w:r>
        <w:rPr>
          <w:rFonts w:cs="Guttman Keren"/>
          <w:sz w:val="28"/>
          <w:sz w:val="28"/>
          <w:szCs w:val="28"/>
          <w:rtl w:val="true"/>
        </w:rPr>
        <w:t>בין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בנין</w:t>
      </w:r>
      <w:r>
        <w:rPr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יפריא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διαστελεῖ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75"/>
      </w:r>
      <w:r>
        <w:rPr>
          <w:rFonts w:cs="Times New Roman"/>
          <w:sz w:val="28"/>
          <w:szCs w:val="28"/>
          <w:vertAlign w:val="subscript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יבוֹא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bookmarkStart w:id="10" w:name="_Ref179791399"/>
      <w:r>
        <w:rPr>
          <w:rFonts w:cs="Times New Roman" w:ascii="GFS Porson" w:hAnsi="GFS Porson"/>
          <w:sz w:val="28"/>
          <w:szCs w:val="28"/>
          <w:lang w:val="el-GR"/>
        </w:rPr>
        <w:t>ἐπάξει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6"/>
      </w:r>
      <w:bookmarkEnd w:id="10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≈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קדים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רוח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~</w:t>
      </w:r>
      <w:r>
        <w:rPr>
          <w:rStyle w:val="FootnoteCharacters"/>
          <w:rStyle w:val="FootnoteAnchor"/>
          <w:sz w:val="28"/>
          <w:szCs w:val="28"/>
        </w:rPr>
        <w:footnoteReference w:id="7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עֹלֶה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</w:t>
      </w:r>
      <w:r>
        <w:rPr>
          <w:rFonts w:cs="Arial" w:ascii="Arial" w:hAnsi="Arial"/>
          <w:sz w:val="28"/>
          <w:szCs w:val="28"/>
          <w:lang w:val="de-DE"/>
        </w:rPr>
        <w:t>ʼ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αὐτόν</w:t>
      </w:r>
      <w:r>
        <w:rPr>
          <w:rStyle w:val="FootnoteCharacters"/>
          <w:rStyle w:val="FootnoteAnchor"/>
          <w:sz w:val="28"/>
          <w:szCs w:val="28"/>
        </w:rPr>
        <w:footnoteReference w:id="7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  <w:lang w:bidi="syr-TR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ܬܣܩ</w:t>
      </w:r>
      <w:r>
        <w:rPr>
          <w:rFonts w:cs="David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ויבוש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מקורו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~ </w:t>
      </w:r>
      <w:r>
        <w:rPr>
          <w:rFonts w:cs="Guttman Keren"/>
          <w:sz w:val="28"/>
          <w:sz w:val="28"/>
          <w:szCs w:val="28"/>
          <w:rtl w:val="true"/>
        </w:rPr>
        <w:t>ויחרב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מעינו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יֵבוֹש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... 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יֶחֱרַב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*[T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sz w:val="28"/>
          <w:szCs w:val="28"/>
        </w:rPr>
        <w:footnoteReference w:id="79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מקורו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*[</w:t>
      </w:r>
      <w:r>
        <w:rPr>
          <w:rFonts w:cs="Guttman Keren"/>
          <w:sz w:val="28"/>
          <w:szCs w:val="28"/>
        </w:rPr>
        <w:t xml:space="preserve"> num | </w:t>
      </w:r>
      <w:r>
        <w:rPr>
          <w:rFonts w:cs="Times New Roman" w:ascii="HUBPSigla" w:hAnsi="HUBPSigla"/>
          <w:sz w:val="28"/>
          <w:szCs w:val="28"/>
        </w:rPr>
        <w:t>[h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8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יחרב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מעינו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rFonts w:ascii="HUBPSigla" w:hAnsi="HUBPSigla" w:cs="HUBPSigla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הוא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*[Th</w:t>
      </w:r>
      <w:r>
        <w:rPr>
          <w:rFonts w:cs="Guttman Kere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ישסה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καταξηρανεῖ</w:t>
      </w:r>
      <w:r>
        <w:rPr>
          <w:rStyle w:val="FootnoteCharacters"/>
          <w:rStyle w:val="FootnoteAnchor"/>
          <w:sz w:val="28"/>
          <w:szCs w:val="28"/>
        </w:rPr>
        <w:footnoteReference w:id="80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ἐρημώσει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  <w:vertAlign w:val="subscript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אוצר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τὴν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αὐτοῦ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sz w:val="28"/>
          <w:szCs w:val="28"/>
        </w:rPr>
        <w:footnoteReference w:id="8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כלִי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Guttman Keren"/>
          <w:sz w:val="28"/>
          <w:szCs w:val="28"/>
        </w:rPr>
        <w:t xml:space="preserve"> num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3"/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חמדה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sz w:val="28"/>
          <w:szCs w:val="28"/>
        </w:rPr>
        <w:footnoteReference w:id="84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Guttman Keren">
    <w:charset w:val="b1"/>
    <w:family w:val="auto"/>
    <w:pitch w:val="variable"/>
  </w:font>
  <w:font w:name="Miriam">
    <w:charset w:val="00"/>
    <w:family w:val="swiss"/>
    <w:pitch w:val="variable"/>
  </w:font>
  <w:font w:name="David"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7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7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כִּדְבַר</w:t>
      </w:r>
      <w:r>
        <w:rPr>
          <w:rFonts w:cs="Guttman Keren"/>
          <w:sz w:val="24"/>
          <w:szCs w:val="24"/>
        </w:rPr>
        <w:t>; cf app 1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>; reverse case app Jon 3</w:t>
      </w:r>
      <w:r>
        <w:rPr>
          <w:rFonts w:cs="Guttman Keren"/>
          <w:sz w:val="24"/>
          <w:szCs w:val="24"/>
          <w:vertAlign w:val="subscript"/>
        </w:rPr>
        <w:t>3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hapax</w:t>
      </w:r>
    </w:p>
  </w:footnote>
  <w:footnote w:id="4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ordinances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hardly </w:t>
      </w:r>
      <w:r>
        <w:rPr>
          <w:rFonts w:cs="Guttman Keren"/>
          <w:sz w:val="24"/>
          <w:sz w:val="24"/>
          <w:szCs w:val="24"/>
          <w:rtl w:val="true"/>
        </w:rPr>
        <w:t>תֹרֹת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</w:rPr>
        <w:t>דָתֹת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David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</w:rPr>
        <w:t xml:space="preserve">; see </w:t>
      </w:r>
      <w:r>
        <w:rPr>
          <w:rFonts w:cs="Guttman Keren"/>
          <w:color w:val="FF9900"/>
          <w:sz w:val="24"/>
          <w:szCs w:val="24"/>
        </w:rPr>
        <w:t>Schleusner 2:168</w:t>
      </w:r>
      <w:r>
        <w:rPr>
          <w:rFonts w:cs="Guttman Kere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Guttman Keren"/>
          <w:sz w:val="24"/>
          <w:sz w:val="24"/>
          <w:szCs w:val="24"/>
          <w:rtl w:val="true"/>
        </w:rPr>
        <w:t>דת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תורה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never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δικ</w:t>
      </w:r>
      <w:r>
        <w:rPr>
          <w:rFonts w:cs="Times New Roman"/>
          <w:sz w:val="24"/>
          <w:szCs w:val="24"/>
          <w:lang w:val="el-GR"/>
        </w:rPr>
        <w:t>-</w:t>
      </w:r>
      <w:r>
        <w:rPr>
          <w:rFonts w:cs="Guttman Keren"/>
          <w:sz w:val="24"/>
          <w:szCs w:val="24"/>
        </w:rPr>
        <w:t xml:space="preserve">; same struct in </w:t>
      </w:r>
      <w:r>
        <w:rPr>
          <w:rFonts w:cs="Guttman Keren" w:ascii="HUBPSigla" w:hAnsi="HUBPSigla"/>
          <w:sz w:val="24"/>
          <w:szCs w:val="24"/>
        </w:rPr>
        <w:t>~9*T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was trembling”, nom/verb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נָשִׂ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א</w:t>
      </w:r>
    </w:p>
  </w:footnote>
  <w:footnote w:id="7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ab/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וַיָּשֶׂם</w:t>
      </w:r>
      <w:r>
        <w:rPr>
          <w:rFonts w:cs="Guttman Keren"/>
          <w:sz w:val="24"/>
          <w:szCs w:val="24"/>
        </w:rPr>
        <w:t>; cf app 5</w:t>
      </w:r>
      <w:r>
        <w:rPr>
          <w:rFonts w:cs="Guttman Keren"/>
          <w:sz w:val="24"/>
          <w:szCs w:val="24"/>
          <w:vertAlign w:val="subscript"/>
        </w:rPr>
        <w:t>15</w:t>
      </w:r>
      <w:r>
        <w:rPr>
          <w:rFonts w:cs="Guttman Keren"/>
          <w:sz w:val="24"/>
          <w:szCs w:val="24"/>
        </w:rPr>
        <w:t xml:space="preserve"> 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3pl; </w:t>
      </w:r>
      <w:r>
        <w:rPr>
          <w:rFonts w:cs="Times New Roman" w:ascii="HUBPSigla" w:hAnsi="HUBPSigla"/>
          <w:sz w:val="24"/>
          <w:szCs w:val="24"/>
        </w:rPr>
        <w:t>7</w:t>
      </w:r>
      <w:r>
        <w:rPr>
          <w:rFonts w:cs="Guttman Keren"/>
          <w:sz w:val="24"/>
          <w:szCs w:val="24"/>
        </w:rPr>
        <w:t xml:space="preserve"> prep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again”, frequent add in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>, cf e.g. Dt 13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>; cf app 9</w:t>
      </w:r>
      <w:r>
        <w:rPr>
          <w:rFonts w:cs="Times New Roman"/>
          <w:sz w:val="24"/>
          <w:szCs w:val="24"/>
          <w:vertAlign w:val="subscript"/>
        </w:rPr>
        <w:t>15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gold and (silver)”, common collocation, cf e.g. 8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>, app 2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sz w:val="24"/>
          <w:szCs w:val="24"/>
        </w:rPr>
        <w:t>image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p etym </w:t>
      </w:r>
      <w:r>
        <w:rPr>
          <w:rFonts w:cs="Guttman Keren"/>
          <w:sz w:val="24"/>
          <w:sz w:val="24"/>
          <w:szCs w:val="24"/>
          <w:rtl w:val="true"/>
        </w:rPr>
        <w:t>תבנית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e.g. Deut 4</w:t>
      </w:r>
      <w:r>
        <w:rPr>
          <w:rFonts w:cs="Guttman Keren"/>
          <w:sz w:val="24"/>
          <w:szCs w:val="24"/>
          <w:vertAlign w:val="subscript"/>
        </w:rPr>
        <w:t>16–18</w:t>
      </w:r>
      <w:r>
        <w:rPr>
          <w:rFonts w:cs="Guttman Keren"/>
          <w:sz w:val="24"/>
          <w:szCs w:val="24"/>
        </w:rPr>
        <w:t>)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finished (i.e. fully accomplished)”;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כלה</w:t>
      </w:r>
      <w:r>
        <w:rPr>
          <w:rFonts w:cs="Guttman Keren"/>
          <w:sz w:val="24"/>
          <w:szCs w:val="24"/>
        </w:rPr>
        <w:t>, cf Gen 2</w:t>
      </w:r>
      <w:r>
        <w:rPr>
          <w:rFonts w:cs="Guttman Keren"/>
          <w:sz w:val="24"/>
          <w:szCs w:val="24"/>
          <w:vertAlign w:val="subscript"/>
        </w:rPr>
        <w:t>1</w:t>
      </w:r>
      <w:r>
        <w:rPr>
          <w:rFonts w:cs="Guttman Keren"/>
          <w:sz w:val="24"/>
          <w:szCs w:val="24"/>
        </w:rPr>
        <w:t>, app Amos 8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9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Hab 1</w:t>
      </w:r>
      <w:r>
        <w:rPr>
          <w:rFonts w:cs="Guttman Keren"/>
          <w:sz w:val="24"/>
          <w:szCs w:val="24"/>
          <w:vertAlign w:val="subscript"/>
        </w:rPr>
        <w:t>9,15</w:t>
      </w:r>
      <w:r>
        <w:rPr>
          <w:rFonts w:cs="Guttman Keren"/>
          <w:sz w:val="24"/>
          <w:szCs w:val="24"/>
        </w:rPr>
        <w:t xml:space="preserve"> Mal 3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>; cf app Ezek 11</w:t>
      </w:r>
      <w:r>
        <w:rPr>
          <w:rFonts w:cs="Guttman Keren"/>
          <w:sz w:val="24"/>
          <w:szCs w:val="24"/>
          <w:vertAlign w:val="subscript"/>
        </w:rPr>
        <w:t>15</w:t>
      </w:r>
      <w:r>
        <w:rPr>
          <w:rFonts w:cs="Guttman Keren"/>
          <w:sz w:val="24"/>
          <w:szCs w:val="24"/>
        </w:rPr>
        <w:t xml:space="preserve">; see </w:t>
      </w:r>
      <w:r>
        <w:rPr>
          <w:rFonts w:cs="Guttman Keren"/>
          <w:color w:val="FF9900"/>
          <w:sz w:val="24"/>
          <w:szCs w:val="24"/>
        </w:rPr>
        <w:t xml:space="preserve">Polak, </w:t>
      </w:r>
      <w:r>
        <w:rPr>
          <w:rFonts w:cs="Guttman Keren"/>
          <w:i/>
          <w:iCs/>
          <w:color w:val="FF9900"/>
          <w:sz w:val="24"/>
          <w:szCs w:val="24"/>
        </w:rPr>
        <w:t>Textus</w:t>
      </w:r>
      <w:r>
        <w:rPr>
          <w:rFonts w:cs="Guttman Keren"/>
          <w:color w:val="FF9900"/>
          <w:sz w:val="24"/>
          <w:szCs w:val="24"/>
        </w:rPr>
        <w:t xml:space="preserve"> 17 (1994), 57–77</w:t>
      </w:r>
      <w:r>
        <w:rPr>
          <w:rFonts w:cs="Guttman Keren"/>
          <w:sz w:val="24"/>
          <w:szCs w:val="24"/>
        </w:rPr>
        <w:t xml:space="preserve"> 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hardly hapl 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rFonts w:cs="Guttman Keren"/>
          <w:sz w:val="24"/>
          <w:sz w:val="24"/>
          <w:szCs w:val="24"/>
          <w:rtl w:val="true"/>
        </w:rPr>
        <w:t>כלה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להם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זִבְחוּ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]*</w:t>
      </w:r>
      <w:r>
        <w:rPr>
          <w:rFonts w:cs="Times New Roman"/>
          <w:sz w:val="24"/>
          <w:szCs w:val="24"/>
        </w:rPr>
        <w:t xml:space="preserve"> take </w:t>
      </w:r>
      <w:r>
        <w:rPr>
          <w:rFonts w:cs="Guttman Keren"/>
          <w:sz w:val="24"/>
          <w:sz w:val="24"/>
          <w:szCs w:val="24"/>
          <w:rtl w:val="true"/>
        </w:rPr>
        <w:t>אדם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as object of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sacrifice!</w:t>
      </w:r>
      <w:r>
        <w:rPr>
          <w:rFonts w:cs="Times New Roman"/>
          <w:sz w:val="24"/>
          <w:szCs w:val="24"/>
        </w:rPr>
        <w:t xml:space="preserve">”,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(Hier 141</w:t>
      </w:r>
      <w:r>
        <w:rPr>
          <w:rFonts w:cs="Times New Roman"/>
          <w:sz w:val="24"/>
          <w:szCs w:val="24"/>
          <w:vertAlign w:val="subscript"/>
        </w:rPr>
        <w:t>13–14</w:t>
      </w:r>
      <w:r>
        <w:rPr>
          <w:rFonts w:cs="Times New Roman"/>
          <w:sz w:val="24"/>
          <w:szCs w:val="24"/>
        </w:rPr>
        <w:t xml:space="preserve">) as subject of “worshiping”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ישקון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|*</w:t>
      </w:r>
      <w:r>
        <w:rPr>
          <w:rFonts w:cs="Times New Roman"/>
          <w:sz w:val="24"/>
          <w:szCs w:val="24"/>
        </w:rPr>
        <w:t xml:space="preserve">; cf </w:t>
      </w:r>
      <w:r>
        <w:rPr>
          <w:rFonts w:cs="Times New Roman" w:ascii="HUBPSigla" w:hAnsi="HUBPSigla"/>
          <w:sz w:val="24"/>
          <w:szCs w:val="24"/>
        </w:rPr>
        <w:t>]*</w:t>
      </w:r>
      <w:r>
        <w:rPr>
          <w:rFonts w:cs="Times New Roman"/>
          <w:sz w:val="24"/>
          <w:szCs w:val="24"/>
        </w:rPr>
        <w:t xml:space="preserve"> 1Kgs 19</w:t>
      </w:r>
      <w:r>
        <w:rPr>
          <w:rFonts w:cs="Times New Roman"/>
          <w:sz w:val="24"/>
          <w:szCs w:val="24"/>
          <w:vertAlign w:val="subscript"/>
        </w:rPr>
        <w:t>18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</w:t>
      </w:r>
      <w:r>
        <w:rPr>
          <w:sz w:val="24"/>
          <w:szCs w:val="24"/>
        </w:rPr>
        <w:t>for bull-calves) are finished</w:t>
      </w:r>
      <w:r>
        <w:rPr>
          <w:rFonts w:cs="Times New Roman"/>
          <w:sz w:val="24"/>
          <w:szCs w:val="24"/>
        </w:rPr>
        <w:t xml:space="preserve"> (i.e. no longer at hand)”; p parall of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כלה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(cf prec)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spiderweb, gossamer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p parall seq (cf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); p inner-Grk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ἄχνη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); cf app 8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שבבים</w:t>
      </w:r>
      <w:r>
        <w:rPr>
          <w:rFonts w:cs="Times New Roman"/>
          <w:sz w:val="24"/>
          <w:szCs w:val="24"/>
        </w:rPr>
        <w:t>)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by storm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similarly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 Zech 7</w:t>
      </w:r>
      <w:r>
        <w:rPr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; </w:t>
      </w:r>
      <w:r>
        <w:rPr>
          <w:sz w:val="24"/>
          <w:szCs w:val="24"/>
        </w:rPr>
        <w:t>cf Ps 1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Job 21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 xml:space="preserve"> et al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עָשׁ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אַרְבֶּה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(note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dupl); note </w:t>
      </w:r>
      <w:r>
        <w:rPr>
          <w:sz w:val="24"/>
          <w:szCs w:val="24"/>
        </w:rPr>
        <w:t>inner-</w:t>
      </w:r>
      <w:r>
        <w:rPr>
          <w:rFonts w:cs="Times New Roman"/>
          <w:sz w:val="24"/>
          <w:szCs w:val="24"/>
        </w:rPr>
        <w:t xml:space="preserve">Grk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δακρύων</w:t>
      </w:r>
      <w:r>
        <w:rPr>
          <w:rFonts w:cs="Times New Roman"/>
          <w:sz w:val="24"/>
          <w:szCs w:val="24"/>
        </w:rPr>
        <w:t xml:space="preserve"> “tears”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firmly establishing heaven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45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48</w:t>
      </w:r>
      <w:r>
        <w:rPr>
          <w:rFonts w:cs="Times New Roman"/>
          <w:sz w:val="24"/>
          <w:szCs w:val="24"/>
          <w:vertAlign w:val="subscript"/>
        </w:rPr>
        <w:t>13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founding earth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Gen 14</w:t>
      </w:r>
      <w:r>
        <w:rPr>
          <w:rFonts w:cs="Times New Roman"/>
          <w:sz w:val="24"/>
          <w:szCs w:val="24"/>
          <w:vertAlign w:val="subscript"/>
        </w:rPr>
        <w:t>19,22</w:t>
      </w:r>
      <w:r>
        <w:rPr>
          <w:rFonts w:cs="Times New Roman"/>
          <w:sz w:val="24"/>
          <w:szCs w:val="24"/>
        </w:rPr>
        <w:t xml:space="preserve"> Dan 4</w:t>
      </w:r>
      <w:r>
        <w:rPr>
          <w:rFonts w:cs="Times New Roman"/>
          <w:sz w:val="24"/>
          <w:szCs w:val="24"/>
          <w:vertAlign w:val="subscript"/>
        </w:rPr>
        <w:t>34[37]</w:t>
      </w:r>
      <w:r>
        <w:rPr>
          <w:rFonts w:cs="Times New Roman"/>
          <w:sz w:val="24"/>
          <w:szCs w:val="24"/>
        </w:rPr>
        <w:t>; common in Apocrypha: 1Esdr 6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Jdt 13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Bel 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whose hands”, cf Isa 45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48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WisSol 11</w:t>
      </w:r>
      <w:r>
        <w:rPr>
          <w:rFonts w:cs="Times New Roman"/>
          <w:sz w:val="24"/>
          <w:szCs w:val="24"/>
          <w:vertAlign w:val="subscript"/>
        </w:rPr>
        <w:t>17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founded all the host of heaven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Isa 45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Neh 9</w:t>
      </w:r>
      <w:r>
        <w:rPr>
          <w:sz w:val="24"/>
          <w:szCs w:val="24"/>
          <w:vertAlign w:val="subscript"/>
        </w:rPr>
        <w:t>6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I did not show them to you to follow after them</w:t>
      </w:r>
      <w:r>
        <w:rPr>
          <w:rFonts w:cs="Times New Roman"/>
          <w:sz w:val="24"/>
          <w:szCs w:val="24"/>
        </w:rPr>
        <w:t xml:space="preserve">”; cf </w:t>
      </w:r>
      <w:r>
        <w:rPr>
          <w:sz w:val="24"/>
          <w:szCs w:val="24"/>
        </w:rPr>
        <w:t>Deut 4</w:t>
      </w:r>
      <w:r>
        <w:rPr>
          <w:sz w:val="24"/>
          <w:szCs w:val="24"/>
          <w:vertAlign w:val="subscript"/>
        </w:rPr>
        <w:t>19–20</w:t>
      </w:r>
      <w:r>
        <w:rPr>
          <w:sz w:val="24"/>
          <w:szCs w:val="24"/>
        </w:rPr>
        <w:t xml:space="preserve"> Jer 8</w:t>
      </w:r>
      <w:r>
        <w:rPr>
          <w:sz w:val="24"/>
          <w:szCs w:val="24"/>
          <w:vertAlign w:val="subscript"/>
        </w:rPr>
        <w:t>2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ואנכי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העליתיך</w:t>
      </w:r>
      <w:r>
        <w:rPr>
          <w:rFonts w:cs="Times New Roman"/>
          <w:sz w:val="24"/>
          <w:szCs w:val="24"/>
        </w:rPr>
        <w:t>, cf app 12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Times New Roman" w:ascii="GFS Porson" w:hAnsi="GFS Porson"/>
          <w:sz w:val="24"/>
          <w:szCs w:val="24"/>
          <w:lang w:val="el-GR"/>
        </w:rPr>
        <w:t>καὶ ἐγώ</w:t>
      </w:r>
      <w:r>
        <w:rPr>
          <w:rFonts w:cs="Times New Roman"/>
          <w:sz w:val="24"/>
          <w:szCs w:val="24"/>
        </w:rPr>
        <w:t xml:space="preserve"> cf init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רְעִ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תִיך</w:t>
      </w:r>
      <w:r>
        <w:rPr>
          <w:rFonts w:cs="Guttman Keren"/>
          <w:sz w:val="24"/>
          <w:szCs w:val="24"/>
        </w:rPr>
        <w:t>, cf v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כמרעיתם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סופיקית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צורכיכון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 w:val="24"/>
          <w:szCs w:val="24"/>
        </w:rPr>
        <w:t>“</w:t>
      </w:r>
      <w:r>
        <w:rPr>
          <w:sz w:val="24"/>
          <w:szCs w:val="24"/>
        </w:rPr>
        <w:t xml:space="preserve">I supplied your needs”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Jer 31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>; for reverse case cf app 9</w:t>
      </w:r>
      <w:r>
        <w:rPr>
          <w:rFonts w:cs="Times New Roman"/>
          <w:sz w:val="24"/>
          <w:szCs w:val="24"/>
          <w:vertAlign w:val="subscript"/>
        </w:rPr>
        <w:t>2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hapax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uninhabited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parall, p midrashic etym </w:t>
      </w:r>
      <w:r>
        <w:rPr>
          <w:rFonts w:cs="Guttman Keren"/>
          <w:sz w:val="24"/>
          <w:sz w:val="24"/>
          <w:szCs w:val="24"/>
          <w:rtl w:val="true"/>
        </w:rPr>
        <w:t>תֵל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לא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בית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Deut 13</w:t>
      </w:r>
      <w:r>
        <w:rPr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>)</w:t>
      </w:r>
      <w:r>
        <w:rPr>
          <w:sz w:val="24"/>
          <w:szCs w:val="24"/>
        </w:rPr>
        <w:t>; cf Jer 2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nom/verb (1sg),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they filled their bellies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reduct, apt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until satiety”; p verb/nom </w:t>
      </w:r>
      <w:r>
        <w:rPr>
          <w:rFonts w:cs="Times New Roman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struct prec, cf app Hab 2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; p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לָ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שׂוֹבַע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or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לִ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שְׂבּוֹעַ</w:t>
      </w:r>
      <w:r>
        <w:rPr>
          <w:rFonts w:cs="Guttman Keren"/>
          <w:sz w:val="24"/>
          <w:szCs w:val="24"/>
        </w:rPr>
        <w:t>, cf e.g. Exod 16</w:t>
      </w:r>
      <w:r>
        <w:rPr>
          <w:rFonts w:cs="Guttman Keren"/>
          <w:sz w:val="24"/>
          <w:szCs w:val="24"/>
          <w:vertAlign w:val="subscript"/>
        </w:rPr>
        <w:t>3,8</w:t>
      </w:r>
      <w:r>
        <w:rPr>
          <w:rFonts w:cs="Guttman Keren"/>
          <w:sz w:val="24"/>
          <w:szCs w:val="24"/>
        </w:rPr>
        <w:t xml:space="preserve"> Lam 5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;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שָׂבוֹעַ</w:t>
      </w:r>
      <w:r>
        <w:rPr>
          <w:rFonts w:cs="Guttman Keren"/>
          <w:sz w:val="24"/>
          <w:szCs w:val="24"/>
        </w:rPr>
        <w:t>, cf Joel 2</w:t>
      </w:r>
      <w:r>
        <w:rPr>
          <w:rFonts w:cs="Guttman Keren"/>
          <w:sz w:val="24"/>
          <w:szCs w:val="24"/>
          <w:vertAlign w:val="subscript"/>
        </w:rPr>
        <w:t>26</w:t>
      </w:r>
      <w:r>
        <w:rPr>
          <w:rFonts w:cs="Guttman Keren"/>
          <w:sz w:val="24"/>
          <w:szCs w:val="24"/>
        </w:rPr>
        <w:t xml:space="preserve"> 2Chr 31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אַשּׁוּר</w:t>
      </w:r>
      <w:r>
        <w:rPr>
          <w:rFonts w:cs="Guttman Keren"/>
          <w:sz w:val="24"/>
          <w:szCs w:val="24"/>
        </w:rPr>
        <w:t>, cf Jer 2</w:t>
      </w:r>
      <w:r>
        <w:rPr>
          <w:rFonts w:cs="Guttman Keren"/>
          <w:sz w:val="24"/>
          <w:szCs w:val="24"/>
          <w:vertAlign w:val="subscript"/>
        </w:rPr>
        <w:t>18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different picture: </w:t>
      </w:r>
      <w:r>
        <w:rPr>
          <w:rFonts w:cs="Guttman Keren"/>
          <w:sz w:val="24"/>
          <w:szCs w:val="24"/>
        </w:rPr>
        <w:t xml:space="preserve">(a) </w:t>
      </w:r>
      <w:r>
        <w:rPr>
          <w:rFonts w:eastAsia="Guttman Keren" w:cs="Guttman Keren" w:ascii="Guttman Keren" w:hAnsi="Guttman Keren"/>
          <w:sz w:val="24"/>
          <w:szCs w:val="24"/>
        </w:rPr>
        <w:t>“</w:t>
      </w:r>
      <w:r>
        <w:rPr>
          <w:rFonts w:cs="Guttman Keren"/>
          <w:sz w:val="24"/>
          <w:szCs w:val="24"/>
        </w:rPr>
        <w:t>with no way out, cornered</w:t>
      </w:r>
      <w:r>
        <w:rPr>
          <w:rFonts w:eastAsia="Guttman Keren" w:cs="Guttman Keren" w:ascii="Guttman Keren" w:hAnsi="Guttman Keren"/>
          <w:sz w:val="24"/>
          <w:szCs w:val="24"/>
        </w:rPr>
        <w:t>”</w:t>
      </w:r>
      <w:r>
        <w:rPr>
          <w:rFonts w:cs="Guttman Keren"/>
          <w:sz w:val="24"/>
          <w:szCs w:val="24"/>
        </w:rPr>
        <w:t xml:space="preserve">, see </w:t>
      </w:r>
      <w:r>
        <w:rPr>
          <w:rFonts w:cs="Guttman Keren"/>
          <w:color w:val="FF9900"/>
          <w:sz w:val="24"/>
          <w:szCs w:val="24"/>
        </w:rPr>
        <w:t xml:space="preserve">Bons, </w:t>
      </w:r>
      <w:r>
        <w:rPr>
          <w:rFonts w:cs="Guttman Keren"/>
          <w:i/>
          <w:iCs/>
          <w:color w:val="FF9900"/>
          <w:sz w:val="24"/>
          <w:szCs w:val="24"/>
        </w:rPr>
        <w:t xml:space="preserve">VT </w:t>
      </w:r>
      <w:r>
        <w:rPr>
          <w:rFonts w:cs="Guttman Keren"/>
          <w:color w:val="FF9900"/>
          <w:sz w:val="24"/>
          <w:szCs w:val="24"/>
        </w:rPr>
        <w:t>51 (2001), 1–8</w:t>
      </w:r>
      <w:r>
        <w:rPr>
          <w:rFonts w:cs="Guttman Keren"/>
          <w:sz w:val="24"/>
          <w:szCs w:val="24"/>
        </w:rPr>
        <w:t>;</w:t>
      </w:r>
      <w:r>
        <w:rPr>
          <w:sz w:val="24"/>
          <w:szCs w:val="24"/>
        </w:rPr>
        <w:t xml:space="preserve"> (b) Hier 145</w:t>
      </w:r>
      <w:r>
        <w:rPr>
          <w:sz w:val="24"/>
          <w:szCs w:val="24"/>
          <w:vertAlign w:val="subscript"/>
        </w:rPr>
        <w:t>171</w:t>
      </w:r>
      <w:r>
        <w:rPr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indigens cibo</w:t>
      </w:r>
      <w:r>
        <w:rPr>
          <w:sz w:val="24"/>
          <w:szCs w:val="24"/>
        </w:rPr>
        <w:t xml:space="preserve">, </w:t>
      </w:r>
      <w:r>
        <w:rPr>
          <w:rFonts w:eastAsia="Miriam" w:ascii="Miriam" w:hAnsi="Miriam"/>
          <w:sz w:val="24"/>
          <w:szCs w:val="24"/>
        </w:rPr>
        <w:t>“</w:t>
      </w:r>
      <w:r>
        <w:rPr>
          <w:sz w:val="24"/>
          <w:szCs w:val="24"/>
        </w:rPr>
        <w:t>in want of food</w:t>
      </w:r>
      <w:r>
        <w:rPr>
          <w:rFonts w:eastAsia="Miriam" w:ascii="Miriam" w:hAnsi="Miriam"/>
          <w:sz w:val="24"/>
          <w:szCs w:val="24"/>
        </w:rPr>
        <w:t>”</w:t>
      </w:r>
      <w:r>
        <w:rPr>
          <w:sz w:val="24"/>
          <w:szCs w:val="24"/>
        </w:rPr>
        <w:t xml:space="preserve">, p ex </w:t>
      </w:r>
      <w:r>
        <w:rPr>
          <w:rFonts w:cs="Guttman Keren"/>
          <w:sz w:val="24"/>
          <w:sz w:val="24"/>
          <w:szCs w:val="24"/>
          <w:rtl w:val="true"/>
        </w:rPr>
        <w:t>ואכלם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seq 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taken as transitive, cf </w:t>
      </w:r>
      <w:r>
        <w:rPr>
          <w:rFonts w:cs="Times New Roman"/>
          <w:color w:val="FF9900"/>
          <w:sz w:val="24"/>
          <w:szCs w:val="24"/>
        </w:rPr>
        <w:t>Rashi and Ibn Ezra</w:t>
      </w:r>
      <w:r>
        <w:rPr>
          <w:rFonts w:cs="Times New Roman"/>
          <w:sz w:val="24"/>
          <w:szCs w:val="24"/>
        </w:rPr>
        <w:t>, parall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  <w:r>
        <w:rPr>
          <w:sz w:val="24"/>
          <w:szCs w:val="24"/>
        </w:rPr>
        <w:t xml:space="preserve">; similarly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sz w:val="24"/>
          <w:szCs w:val="24"/>
        </w:rPr>
        <w:t xml:space="preserve"> 2 Sam 17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 inner parts of their liver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apt for vital organ, cf Hier 145</w:t>
      </w:r>
      <w:r>
        <w:rPr>
          <w:sz w:val="24"/>
          <w:szCs w:val="24"/>
          <w:vertAlign w:val="subscript"/>
        </w:rPr>
        <w:t>178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</w:t>
      </w:r>
      <w:r>
        <w:rPr>
          <w:rFonts w:cs="Guttman Keren"/>
          <w:sz w:val="24"/>
          <w:sz w:val="24"/>
          <w:szCs w:val="24"/>
          <w:rtl w:val="true"/>
        </w:rPr>
        <w:t>לביא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subject; parall </w:t>
      </w:r>
      <w:r>
        <w:rPr>
          <w:rFonts w:cs="Guttman Keren"/>
          <w:sz w:val="24"/>
          <w:sz w:val="24"/>
          <w:szCs w:val="24"/>
          <w:rtl w:val="true"/>
        </w:rPr>
        <w:t>חית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השדה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תבקעם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seq; p voc </w:t>
      </w:r>
      <w:r>
        <w:rPr>
          <w:rFonts w:cs="Guttman Keren"/>
          <w:sz w:val="24"/>
          <w:sz w:val="24"/>
          <w:szCs w:val="24"/>
          <w:rtl w:val="true"/>
        </w:rPr>
        <w:t>וַאֲכָלֻם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 w:ascii="HUBPSigla" w:hAnsi="HUBPSigla"/>
          <w:sz w:val="24"/>
          <w:szCs w:val="24"/>
          <w:rtl w:val="true"/>
        </w:rPr>
        <w:t>]</w:t>
      </w:r>
      <w:r>
        <w:rPr>
          <w:rFonts w:cs="Times New Roman"/>
          <w:sz w:val="24"/>
          <w:szCs w:val="24"/>
          <w:rtl w:val="true"/>
        </w:rPr>
        <w:t xml:space="preserve">) / </w:t>
      </w:r>
      <w:r>
        <w:rPr>
          <w:rFonts w:cs="Guttman Keren"/>
          <w:sz w:val="24"/>
          <w:sz w:val="24"/>
          <w:szCs w:val="24"/>
          <w:rtl w:val="true"/>
        </w:rPr>
        <w:t>וַאֲכָלָם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>)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struct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</w:t>
      </w:r>
      <w:r>
        <w:rPr>
          <w:sz w:val="24"/>
          <w:szCs w:val="24"/>
        </w:rPr>
        <w:t>lion</w:t>
      </w:r>
      <w:r>
        <w:rPr>
          <w:rFonts w:cs="Times New Roman"/>
          <w:sz w:val="24"/>
          <w:szCs w:val="24"/>
        </w:rPr>
        <w:t>-cubs) of the forest”, for picture cf e.g. Amos 3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Mic 5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חית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השדה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(note num)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כלביא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(like a) devouring (beast)”, cf </w:t>
      </w:r>
      <w:r>
        <w:rPr>
          <w:rFonts w:cs="Guttman Keren"/>
          <w:sz w:val="24"/>
          <w:sz w:val="24"/>
          <w:szCs w:val="24"/>
          <w:rtl w:val="true"/>
        </w:rPr>
        <w:t>חית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שן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Sir 12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39</w:t>
      </w:r>
      <w:r>
        <w:rPr>
          <w:sz w:val="24"/>
          <w:szCs w:val="24"/>
          <w:vertAlign w:val="subscript"/>
        </w:rPr>
        <w:t>30</w:t>
      </w:r>
      <w:r>
        <w:rPr>
          <w:sz w:val="24"/>
          <w:szCs w:val="24"/>
        </w:rPr>
        <w:t xml:space="preserve"> and Syr expression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ܚܝܘܬ</w:t>
      </w:r>
      <w:r>
        <w:rPr>
          <w:rFonts w:eastAsia="Times New Roman"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ܫܢܐ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destruction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verb/nom; p voc </w:t>
      </w:r>
      <w:r>
        <w:rPr>
          <w:rFonts w:cs="Guttman Keren"/>
          <w:sz w:val="24"/>
          <w:sz w:val="24"/>
          <w:szCs w:val="24"/>
          <w:rtl w:val="true"/>
        </w:rPr>
        <w:t>שַׁחת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ך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dispersion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p inner-Grk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(but note similarity in meaning); for </w:t>
      </w:r>
      <w:r>
        <w:rPr>
          <w:rFonts w:cs="Segoe UI" w:ascii="GFS Porson" w:hAnsi="GFS Porson"/>
          <w:color w:val="000000"/>
          <w:sz w:val="24"/>
          <w:szCs w:val="24"/>
        </w:rPr>
        <w:t>ΔΙΑΦΘΟΡΑ/ΔΙΑΣΠΟΡΑ</w:t>
      </w:r>
      <w:r>
        <w:rPr>
          <w:rFonts w:cs="Times New Roman"/>
          <w:sz w:val="24"/>
          <w:szCs w:val="24"/>
        </w:rPr>
        <w:t xml:space="preserve">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Jer 13</w:t>
      </w:r>
      <w:r>
        <w:rPr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 15</w:t>
      </w:r>
      <w:r>
        <w:rPr>
          <w:sz w:val="24"/>
          <w:szCs w:val="24"/>
          <w:vertAlign w:val="subscript"/>
        </w:rPr>
        <w:t>7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שִׁחַתִּ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ך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for 1sg cf vv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rFonts w:cs="Guttman Keren"/>
          <w:sz w:val="24"/>
          <w:szCs w:val="24"/>
          <w:vertAlign w:val="subscript"/>
        </w:rPr>
        <w:t>8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; ditt/hapl</w:t>
      </w:r>
      <w:r>
        <w:rPr>
          <w:rFonts w:cs="Times New Roman"/>
          <w:sz w:val="24"/>
          <w:szCs w:val="24"/>
        </w:rPr>
        <w:t>; similarly app Mic 1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>, reverse case app Mal 1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(who) </w:t>
      </w:r>
      <w:r>
        <w:rPr>
          <w:sz w:val="24"/>
          <w:szCs w:val="24"/>
        </w:rPr>
        <w:t>will help?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(3sg); nom/verb</w:t>
      </w:r>
    </w:p>
  </w:footnote>
  <w:footnote w:id="4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vocalization of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reflects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היה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>sg, cf app v</w:t>
      </w:r>
      <w:r>
        <w:rPr>
          <w:rFonts w:cs="Times New Roman"/>
          <w:sz w:val="24"/>
          <w:szCs w:val="24"/>
          <w:vertAlign w:val="subscript"/>
        </w:rPr>
        <w:t>14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where”, understood as </w:t>
      </w:r>
      <w:r>
        <w:rPr>
          <w:rFonts w:cs="Guttman Keren"/>
          <w:sz w:val="24"/>
          <w:sz w:val="24"/>
          <w:szCs w:val="24"/>
          <w:rtl w:val="true"/>
        </w:rPr>
        <w:t>אֵי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אַיֵּה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(but note v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); formula </w:t>
      </w:r>
      <w:r>
        <w:rPr>
          <w:rFonts w:cs="Guttman Keren"/>
          <w:sz w:val="24"/>
          <w:sz w:val="24"/>
          <w:szCs w:val="24"/>
          <w:rtl w:val="true"/>
        </w:rPr>
        <w:t>איה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אפוא</w:t>
      </w:r>
      <w:r>
        <w:rPr>
          <w:rFonts w:cs="Guttman Keren"/>
          <w:sz w:val="24"/>
          <w:szCs w:val="24"/>
        </w:rPr>
        <w:t>, cf Judg 9</w:t>
      </w:r>
      <w:r>
        <w:rPr>
          <w:rFonts w:cs="Guttman Keren"/>
          <w:sz w:val="24"/>
          <w:szCs w:val="24"/>
          <w:vertAlign w:val="subscript"/>
        </w:rPr>
        <w:t>38</w:t>
      </w:r>
      <w:r>
        <w:rPr>
          <w:rFonts w:cs="Guttman Keren"/>
          <w:sz w:val="24"/>
          <w:szCs w:val="24"/>
        </w:rPr>
        <w:t xml:space="preserve"> Isa 19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 Job 17</w:t>
      </w:r>
      <w:r>
        <w:rPr>
          <w:rFonts w:cs="Guttman Keren"/>
          <w:sz w:val="24"/>
          <w:szCs w:val="24"/>
          <w:vertAlign w:val="subscript"/>
        </w:rPr>
        <w:t>15</w:t>
      </w:r>
      <w:r>
        <w:rPr>
          <w:rFonts w:cs="Guttman Keren"/>
          <w:sz w:val="24"/>
          <w:szCs w:val="24"/>
        </w:rPr>
        <w:t xml:space="preserve"> (but </w:t>
      </w:r>
      <w:r>
        <w:rPr>
          <w:rFonts w:cs="Guttman Keren"/>
          <w:sz w:val="24"/>
          <w:sz w:val="24"/>
          <w:szCs w:val="24"/>
          <w:rtl w:val="true"/>
        </w:rPr>
        <w:t>אפוא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οὗτος</w:t>
      </w:r>
      <w:r>
        <w:rPr>
          <w:rFonts w:cs="Guttman Keren"/>
          <w:sz w:val="24"/>
          <w:szCs w:val="24"/>
        </w:rPr>
        <w:t xml:space="preserve"> only here)</w:t>
      </w:r>
      <w:r>
        <w:rPr>
          <w:rFonts w:cs="Guttman Keren"/>
          <w:sz w:val="24"/>
          <w:szCs w:val="24"/>
          <w:vertAlign w:val="subscript"/>
        </w:rPr>
        <w:t xml:space="preserve"> 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(all of …)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phon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 xml:space="preserve">, see </w:t>
      </w:r>
      <w:r>
        <w:rPr>
          <w:rFonts w:cs="Guttman Keren"/>
          <w:color w:val="FF9900"/>
          <w:sz w:val="24"/>
          <w:szCs w:val="24"/>
        </w:rPr>
        <w:t xml:space="preserve">Talmon, </w:t>
      </w:r>
      <w:r>
        <w:rPr>
          <w:rFonts w:cs="Guttman Keren"/>
          <w:i/>
          <w:iCs/>
          <w:color w:val="FF9900"/>
          <w:sz w:val="24"/>
          <w:szCs w:val="24"/>
        </w:rPr>
        <w:t>Meghillot</w:t>
      </w:r>
      <w:r>
        <w:rPr>
          <w:rFonts w:cs="Guttman Keren"/>
          <w:color w:val="FF9900"/>
          <w:sz w:val="24"/>
          <w:szCs w:val="24"/>
        </w:rPr>
        <w:t xml:space="preserve"> 5-6 (2008), 309–322</w:t>
      </w:r>
      <w:r>
        <w:rPr>
          <w:rFonts w:cs="Guttman Keren"/>
          <w:sz w:val="24"/>
          <w:szCs w:val="24"/>
        </w:rPr>
        <w:t>, cf app Jon 2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Nah 3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Mal 3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; (b) </w:t>
      </w:r>
      <w:r>
        <w:rPr>
          <w:rFonts w:cs="Guttman Keren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 and </w:t>
      </w:r>
      <w:r>
        <w:rPr>
          <w:rFonts w:cs="Guttman Keren"/>
          <w:sz w:val="24"/>
          <w:szCs w:val="24"/>
        </w:rPr>
        <w:t xml:space="preserve">prep 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יִשְׁפְּטך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יושיעך</w:t>
      </w:r>
      <w:r>
        <w:rPr>
          <w:rFonts w:cs="Guttman Keren"/>
          <w:sz w:val="24"/>
          <w:szCs w:val="24"/>
        </w:rPr>
        <w:t>; cf 1Sam 8</w:t>
      </w:r>
      <w:r>
        <w:rPr>
          <w:rFonts w:cs="Guttman Keren"/>
          <w:sz w:val="24"/>
          <w:szCs w:val="24"/>
          <w:vertAlign w:val="subscript"/>
        </w:rPr>
        <w:t>5–6,20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pr </w:t>
      </w:r>
      <w:r>
        <w:rPr>
          <w:rFonts w:cs="Times New Roman" w:ascii="GFS Porson" w:hAnsi="GFS Porson"/>
          <w:sz w:val="24"/>
          <w:szCs w:val="24"/>
          <w:lang w:val="el-GR"/>
        </w:rPr>
        <w:t>καί</w:t>
      </w:r>
      <w:r>
        <w:rPr>
          <w:rFonts w:cs="Times New Roman"/>
          <w:sz w:val="24"/>
          <w:szCs w:val="24"/>
        </w:rPr>
        <w:t xml:space="preserve"> (as in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num in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seq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and your judgment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but main evid </w:t>
      </w:r>
      <w:r>
        <w:rPr>
          <w:rFonts w:cs="HUBPSigla" w:ascii="HUBPSigla" w:hAnsi="HUBPSigla"/>
          <w:sz w:val="24"/>
          <w:szCs w:val="24"/>
        </w:rPr>
        <w:t>Th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ודַייָנָך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rFonts w:cs="Times New Roman"/>
          <w:sz w:val="24"/>
          <w:szCs w:val="24"/>
        </w:rPr>
        <w:t>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); p inner-Aram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you asked me and”, cf 1Sam 8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12</w:t>
      </w:r>
      <w:r>
        <w:rPr>
          <w:sz w:val="24"/>
          <w:szCs w:val="24"/>
          <w:vertAlign w:val="subscript"/>
        </w:rPr>
        <w:t>13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3sgm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צְרוֹר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עון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 cf app 4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צרור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object of </w:t>
      </w:r>
      <w:r>
        <w:rPr>
          <w:rFonts w:cs="Guttman Keren"/>
          <w:sz w:val="24"/>
          <w:sz w:val="24"/>
          <w:szCs w:val="24"/>
          <w:rtl w:val="true"/>
        </w:rPr>
        <w:t>ואקח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(v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>)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... of injustice. Ephraim [</w:t>
      </w:r>
      <w:r>
        <w:rPr>
          <w:i/>
          <w:iCs/>
          <w:sz w:val="24"/>
          <w:szCs w:val="24"/>
        </w:rPr>
        <w:t>casus pendens</w:t>
      </w:r>
      <w:r>
        <w:rPr>
          <w:sz w:val="24"/>
          <w:szCs w:val="24"/>
        </w:rPr>
        <w:t>] ...</w:t>
      </w:r>
      <w:r>
        <w:rPr>
          <w:rFonts w:cs="Times New Roman"/>
          <w:sz w:val="24"/>
          <w:szCs w:val="24"/>
        </w:rPr>
        <w:t xml:space="preserve">”; but p </w:t>
      </w:r>
      <w:r>
        <w:rPr>
          <w:rFonts w:cs="Times New Roman" w:ascii="GFS Porson" w:hAnsi="GFS Porson"/>
          <w:sz w:val="24"/>
          <w:szCs w:val="24"/>
          <w:lang w:val="el-GR"/>
        </w:rPr>
        <w:t>Εφραιμ</w:t>
      </w:r>
      <w:r>
        <w:rPr>
          <w:rFonts w:cs="Times New Roman"/>
          <w:sz w:val="24"/>
          <w:szCs w:val="24"/>
        </w:rPr>
        <w:t xml:space="preserve"> taken as attribute of </w:t>
      </w:r>
      <w:r>
        <w:rPr>
          <w:rFonts w:cs="Guttman Keren"/>
          <w:sz w:val="24"/>
          <w:sz w:val="24"/>
          <w:szCs w:val="24"/>
          <w:rtl w:val="true"/>
        </w:rPr>
        <w:t>עון</w:t>
      </w:r>
      <w:r>
        <w:rPr>
          <w:rFonts w:cs="Times New Roman"/>
          <w:sz w:val="24"/>
          <w:szCs w:val="24"/>
        </w:rPr>
        <w:t>: “(a bundle) of Ephraim</w:t>
      </w:r>
      <w:r>
        <w:rPr>
          <w:rFonts w:eastAsia="David" w:cs="David" w:ascii="David" w:hAnsi="David"/>
          <w:sz w:val="24"/>
          <w:szCs w:val="24"/>
        </w:rPr>
        <w:t>’</w:t>
      </w:r>
      <w:r>
        <w:rPr>
          <w:rFonts w:cs="Times New Roman"/>
          <w:sz w:val="24"/>
          <w:szCs w:val="24"/>
        </w:rPr>
        <w:t xml:space="preserve">s injustice” (thus </w:t>
      </w:r>
      <w:r>
        <w:rPr>
          <w:rFonts w:cs="Times New Roman"/>
          <w:color w:val="FF9900"/>
          <w:sz w:val="24"/>
          <w:szCs w:val="24"/>
        </w:rPr>
        <w:t>Swete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v</w:t>
      </w:r>
      <w:r>
        <w:rPr>
          <w:rFonts w:cs="Times New Roman"/>
          <w:sz w:val="24"/>
          <w:szCs w:val="24"/>
        </w:rPr>
        <w:t xml:space="preserve">(as in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) </w:t>
      </w:r>
      <w:r>
        <w:rPr>
          <w:rFonts w:cs="Times New Roman" w:ascii="GFS Porson" w:hAnsi="GFS Porson"/>
          <w:sz w:val="24"/>
          <w:szCs w:val="24"/>
          <w:lang w:val="el-GR"/>
        </w:rPr>
        <w:t>συστροφὴ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ἀδικίας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Εφραιμ</w:t>
      </w:r>
      <w:r>
        <w:rPr>
          <w:rFonts w:cs="Times New Roman"/>
          <w:sz w:val="24"/>
          <w:szCs w:val="24"/>
        </w:rPr>
        <w:t xml:space="preserve"> “Ephraim (is) a bundle of injustice”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like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cf </w:t>
      </w:r>
      <w:r>
        <w:rPr>
          <w:rFonts w:cs="Guttman Keren"/>
          <w:sz w:val="24"/>
          <w:sz w:val="24"/>
          <w:szCs w:val="24"/>
          <w:rtl w:val="true"/>
        </w:rPr>
        <w:t>חבלים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כיולדה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Jer 49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, </w:t>
      </w:r>
      <w:r>
        <w:rPr>
          <w:rFonts w:cs="Guttman Keren"/>
          <w:sz w:val="24"/>
          <w:sz w:val="24"/>
          <w:szCs w:val="24"/>
          <w:rtl w:val="true"/>
        </w:rPr>
        <w:t>חיל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כיולדה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e.g. Mic 4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Jer 6</w:t>
      </w:r>
      <w:r>
        <w:rPr>
          <w:rFonts w:cs="Times New Roman"/>
          <w:sz w:val="24"/>
          <w:szCs w:val="24"/>
          <w:vertAlign w:val="subscript"/>
        </w:rPr>
        <w:t>24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(</w:t>
      </w:r>
      <w:r>
        <w:rPr>
          <w:sz w:val="24"/>
          <w:szCs w:val="24"/>
        </w:rPr>
        <w:t>that son) of yours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main evid; inner-</w:t>
      </w:r>
      <w:r>
        <w:rPr>
          <w:rFonts w:cs="Times New Roman"/>
          <w:sz w:val="24"/>
          <w:szCs w:val="24"/>
        </w:rPr>
        <w:t xml:space="preserve">Grk: </w:t>
      </w:r>
      <w:r>
        <w:rPr>
          <w:rFonts w:cs="Segoe UI" w:ascii="GFS Porson" w:hAnsi="GFS Porson"/>
          <w:color w:val="000000"/>
          <w:sz w:val="24"/>
          <w:szCs w:val="24"/>
        </w:rPr>
        <w:t>ΥΙΟΣΣΟΥ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* </w:t>
      </w:r>
      <w:r>
        <w:rPr>
          <w:rFonts w:cs="Segoe UI" w:ascii="GFS Porson" w:hAnsi="GFS Porson"/>
          <w:color w:val="000000"/>
          <w:sz w:val="24"/>
          <w:szCs w:val="24"/>
        </w:rPr>
        <w:t>ΥΙΟΣ ΟΥ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>)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עַתָּ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app Ezek 23</w:t>
      </w:r>
      <w:r>
        <w:rPr>
          <w:rFonts w:cs="Guttman Keren"/>
          <w:sz w:val="24"/>
          <w:szCs w:val="24"/>
          <w:vertAlign w:val="subscript"/>
        </w:rPr>
        <w:t>43</w:t>
      </w:r>
    </w:p>
  </w:footnote>
  <w:footnote w:id="60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3sgm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reduct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אפד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... (</w:t>
      </w:r>
      <w:r>
        <w:rPr>
          <w:rFonts w:cs="Guttman Keren"/>
          <w:sz w:val="24"/>
          <w:sz w:val="24"/>
          <w:szCs w:val="24"/>
          <w:rtl w:val="true"/>
        </w:rPr>
        <w:t>אגאל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ם</w:t>
      </w:r>
    </w:p>
  </w:footnote>
  <w:footnote w:id="62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 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v</w:t>
      </w:r>
      <w:r>
        <w:rPr>
          <w:rFonts w:cs="Guttman Keren"/>
          <w:sz w:val="24"/>
          <w:szCs w:val="24"/>
          <w:vertAlign w:val="subscript"/>
        </w:rPr>
        <w:t>10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 (</w:t>
      </w:r>
      <w:r>
        <w:rPr>
          <w:rFonts w:cs="HUBPSigla" w:ascii="HUBPSigla" w:hAnsi="HUBPSigla"/>
          <w:sz w:val="24"/>
          <w:szCs w:val="24"/>
        </w:rPr>
        <w:t>+x</w:t>
      </w:r>
      <w:r>
        <w:rPr>
          <w:rFonts w:cs="Times New Roman"/>
          <w:sz w:val="24"/>
          <w:szCs w:val="24"/>
        </w:rPr>
        <w:t>);</w:t>
      </w:r>
      <w:r>
        <w:rPr>
          <w:sz w:val="24"/>
          <w:szCs w:val="24"/>
        </w:rPr>
        <w:t xml:space="preserve"> r</w:t>
      </w:r>
      <w:r>
        <w:rPr>
          <w:rFonts w:cs="Times New Roman"/>
          <w:sz w:val="24"/>
          <w:szCs w:val="24"/>
        </w:rPr>
        <w:t xml:space="preserve">educt (cf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>)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lawsuit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(a) p exeg: </w:t>
      </w:r>
      <w:r>
        <w:rPr>
          <w:rFonts w:cs="Guttman Keren"/>
          <w:sz w:val="24"/>
          <w:sz w:val="24"/>
          <w:szCs w:val="24"/>
          <w:rtl w:val="true"/>
        </w:rPr>
        <w:t>דבר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understood as </w:t>
      </w:r>
      <w:r>
        <w:rPr>
          <w:rFonts w:cs="Times New Roman"/>
          <w:sz w:val="24"/>
          <w:szCs w:val="24"/>
        </w:rPr>
        <w:t>“</w:t>
      </w:r>
      <w:r>
        <w:rPr>
          <w:rFonts w:cs="Guttman Keren"/>
          <w:sz w:val="24"/>
          <w:szCs w:val="24"/>
        </w:rPr>
        <w:t>legal case</w:t>
      </w:r>
      <w:r>
        <w:rPr>
          <w:rFonts w:cs="Times New Roman"/>
          <w:sz w:val="24"/>
          <w:szCs w:val="24"/>
        </w:rPr>
        <w:t>”</w:t>
      </w:r>
      <w:r>
        <w:rPr>
          <w:rFonts w:cs="Guttman Keren"/>
          <w:sz w:val="24"/>
          <w:szCs w:val="24"/>
        </w:rPr>
        <w:t>, cf e.g. Exod 18</w:t>
      </w:r>
      <w:r>
        <w:rPr>
          <w:rFonts w:cs="Guttman Keren"/>
          <w:sz w:val="24"/>
          <w:szCs w:val="24"/>
          <w:vertAlign w:val="subscript"/>
        </w:rPr>
        <w:t>16,19</w:t>
      </w:r>
      <w:r>
        <w:rPr>
          <w:rFonts w:cs="Guttman Keren"/>
          <w:sz w:val="24"/>
          <w:szCs w:val="24"/>
        </w:rPr>
        <w:t xml:space="preserve"> 22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Deut 17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דברי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ריבֹת</w:t>
      </w:r>
      <w:r>
        <w:rPr>
          <w:rFonts w:cs="Guttman Keren"/>
          <w:sz w:val="24"/>
          <w:szCs w:val="24"/>
        </w:rPr>
        <w:t xml:space="preserve">); (b) hardly </w:t>
      </w:r>
      <w:r>
        <w:rPr>
          <w:rFonts w:cs="Guttman Keren"/>
          <w:sz w:val="24"/>
          <w:sz w:val="24"/>
          <w:szCs w:val="24"/>
          <w:rtl w:val="true"/>
        </w:rPr>
        <w:t>ריבי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ך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Times New Roman" w:ascii="GFS Porson" w:hAnsi="GFS Porson"/>
          <w:sz w:val="24"/>
          <w:szCs w:val="24"/>
          <w:lang w:val="el-GR"/>
        </w:rPr>
        <w:t>δικ</w:t>
      </w:r>
      <w:r>
        <w:rPr>
          <w:rFonts w:cs="Cambria Math" w:ascii="Cambria Math" w:hAnsi="Cambria Math"/>
          <w:sz w:val="24"/>
          <w:szCs w:val="24"/>
        </w:rPr>
        <w:t>‐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ריב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4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Amos 7</w:t>
      </w:r>
      <w:r>
        <w:rPr>
          <w:rFonts w:cs="Guttman Keren"/>
          <w:sz w:val="24"/>
          <w:szCs w:val="24"/>
          <w:vertAlign w:val="subscript"/>
        </w:rPr>
        <w:t>4</w:t>
      </w:r>
      <w:r>
        <w:rPr>
          <w:rFonts w:cs="Guttman Keren"/>
          <w:sz w:val="24"/>
          <w:szCs w:val="24"/>
        </w:rPr>
        <w:t xml:space="preserve"> Mic 7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et al; (c) hardly inner-Grk</w:t>
      </w:r>
      <w:r>
        <w:rPr>
          <w:rFonts w:cs="Times New Roman"/>
          <w:sz w:val="24"/>
          <w:szCs w:val="24"/>
        </w:rPr>
        <w:t xml:space="preserve">: </w:t>
      </w:r>
      <w:r>
        <w:rPr>
          <w:rFonts w:cs="Segoe UI" w:ascii="GFS Porson" w:hAnsi="GFS Porson"/>
          <w:color w:val="000000"/>
          <w:sz w:val="24"/>
          <w:szCs w:val="24"/>
        </w:rPr>
        <w:t>ΔΙΚΗ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ΑΚΗ</w:t>
      </w:r>
      <w:r>
        <w:rPr>
          <w:rFonts w:cs="Times New Roman"/>
          <w:sz w:val="24"/>
          <w:szCs w:val="24"/>
        </w:rPr>
        <w:t xml:space="preserve"> (“edge, point [of a weapon]”), p etym </w:t>
      </w:r>
      <w:r>
        <w:rPr>
          <w:rFonts w:cs="Guttman Keren"/>
          <w:sz w:val="24"/>
          <w:sz w:val="24"/>
          <w:szCs w:val="24"/>
          <w:rtl w:val="true"/>
        </w:rPr>
        <w:t>דֶּבֶר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(see </w:t>
      </w:r>
      <w:r>
        <w:rPr>
          <w:rFonts w:cs="Guttman Keren"/>
          <w:i/>
          <w:iCs/>
          <w:color w:val="FF9900"/>
          <w:sz w:val="24"/>
          <w:szCs w:val="24"/>
        </w:rPr>
        <w:t>HALOT</w:t>
      </w:r>
      <w:r>
        <w:rPr>
          <w:rFonts w:cs="Guttman Keren"/>
          <w:sz w:val="24"/>
          <w:szCs w:val="24"/>
        </w:rPr>
        <w:t xml:space="preserve">), parall </w:t>
      </w:r>
      <w:r>
        <w:rPr>
          <w:rFonts w:cs="Times New Roman" w:ascii="GFS Porson" w:hAnsi="GFS Porson"/>
          <w:sz w:val="24"/>
          <w:szCs w:val="24"/>
          <w:lang w:val="el-GR"/>
        </w:rPr>
        <w:t>κέντρον</w:t>
      </w:r>
      <w:r>
        <w:rPr>
          <w:rFonts w:cs="Times New Roman"/>
          <w:sz w:val="24"/>
          <w:szCs w:val="24"/>
        </w:rPr>
        <w:t xml:space="preserve"> seq (see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6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victory”; p inner-Grk: </w:t>
      </w:r>
      <w:r>
        <w:rPr>
          <w:rFonts w:cs="Segoe UI" w:ascii="GFS Porson" w:hAnsi="GFS Porson"/>
          <w:color w:val="000000"/>
          <w:sz w:val="24"/>
          <w:szCs w:val="24"/>
        </w:rPr>
        <w:t>ΔΙΚΗ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ΝΙΚΗ</w:t>
      </w:r>
      <w:r>
        <w:rPr>
          <w:rFonts w:cs="Times New Roman"/>
          <w:sz w:val="24"/>
          <w:szCs w:val="24"/>
        </w:rPr>
        <w:t xml:space="preserve"> (=1Cor 15</w:t>
      </w:r>
      <w:r>
        <w:rPr>
          <w:rFonts w:cs="Times New Roman"/>
          <w:sz w:val="24"/>
          <w:szCs w:val="24"/>
          <w:vertAlign w:val="subscript"/>
        </w:rPr>
        <w:t>55</w:t>
      </w:r>
      <w:r>
        <w:rPr>
          <w:rFonts w:cs="Times New Roman"/>
          <w:sz w:val="24"/>
          <w:szCs w:val="24"/>
        </w:rPr>
        <w:t xml:space="preserve">); note also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ἡ διαθήκη</w:t>
      </w:r>
      <w:r>
        <w:rPr>
          <w:rFonts w:cs="Times New Roman"/>
          <w:sz w:val="24"/>
          <w:szCs w:val="24"/>
        </w:rPr>
        <w:t>, p inner-Grk (but cf Isa 28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>)</w:t>
      </w:r>
    </w:p>
  </w:footnote>
  <w:footnote w:id="67">
    <w:p>
      <w:pPr>
        <w:pStyle w:val="Footnote"/>
        <w:bidi w:val="0"/>
        <w:spacing w:lineRule="exact" w:line="400"/>
        <w:jc w:val="both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etym </w:t>
      </w:r>
      <w:r>
        <w:rPr>
          <w:rFonts w:cs="Guttman Keren"/>
          <w:sz w:val="24"/>
          <w:sz w:val="24"/>
          <w:szCs w:val="24"/>
          <w:rtl w:val="true"/>
        </w:rPr>
        <w:t>דֶּבֶר</w:t>
      </w:r>
      <w:r>
        <w:rPr>
          <w:sz w:val="24"/>
          <w:szCs w:val="24"/>
        </w:rPr>
        <w:t xml:space="preserve">; for </w:t>
      </w:r>
      <w:r>
        <w:rPr>
          <w:rFonts w:cs="Guttman Keren"/>
          <w:sz w:val="24"/>
          <w:sz w:val="24"/>
          <w:szCs w:val="24"/>
          <w:rtl w:val="true"/>
        </w:rPr>
        <w:t>דֶּבֶר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קטב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Ps 91</w:t>
      </w:r>
      <w:r>
        <w:rPr>
          <w:sz w:val="24"/>
          <w:szCs w:val="24"/>
          <w:vertAlign w:val="subscript"/>
        </w:rPr>
        <w:t>6</w:t>
      </w:r>
    </w:p>
  </w:footnote>
  <w:footnote w:id="6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</w:t>
      </w:r>
    </w:p>
  </w:footnote>
  <w:footnote w:id="6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point (of stabbing weapon)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c</w:t>
      </w:r>
    </w:p>
  </w:footnote>
  <w:footnote w:id="7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bites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~*</w:t>
      </w:r>
      <w:r>
        <w:rPr>
          <w:sz w:val="24"/>
          <w:szCs w:val="24"/>
        </w:rPr>
        <w:t xml:space="preserve"> Deut 32</w:t>
      </w:r>
      <w:r>
        <w:rPr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 Ps 91</w:t>
      </w:r>
      <w:r>
        <w:rPr>
          <w:sz w:val="24"/>
          <w:szCs w:val="24"/>
          <w:vertAlign w:val="subscript"/>
        </w:rPr>
        <w:t>6</w:t>
      </w:r>
    </w:p>
  </w:footnote>
  <w:footnote w:id="7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(harmful) </w:t>
      </w:r>
      <w:r>
        <w:rPr>
          <w:sz w:val="24"/>
          <w:szCs w:val="24"/>
        </w:rPr>
        <w:t>encounter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Qoh 2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; cf also synonymous term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Ps 91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συγκύρημα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קטב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1Kgs 5</w:t>
      </w:r>
      <w:r>
        <w:rPr>
          <w:rFonts w:cs="Times New Roman"/>
          <w:sz w:val="24"/>
          <w:szCs w:val="24"/>
          <w:vertAlign w:val="subscript"/>
        </w:rPr>
        <w:t>18[4]</w:t>
      </w:r>
      <w:r>
        <w:rPr>
          <w:rFonts w:cs="Times New Roman"/>
          <w:sz w:val="24"/>
          <w:szCs w:val="24"/>
        </w:rPr>
        <w:t xml:space="preserve"> Qoh 9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פֶּגַע</w:t>
      </w:r>
      <w:r>
        <w:rPr>
          <w:rFonts w:cs="Guttman Keren"/>
          <w:sz w:val="24"/>
          <w:szCs w:val="24"/>
        </w:rPr>
        <w:t xml:space="preserve">); note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Guttman Keren"/>
          <w:sz w:val="24"/>
          <w:szCs w:val="24"/>
          <w:vertAlign w:val="subscript"/>
        </w:rPr>
        <w:t>Syh</w:t>
      </w:r>
      <w:r>
        <w:rPr>
          <w:rFonts w:cs="Guttman Kere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ܩܘܛܦ</w:t>
      </w:r>
      <w:r>
        <w:rPr>
          <w:rFonts w:cs="Estrangelo Edessa"/>
          <w:sz w:val="24"/>
          <w:szCs w:val="24"/>
          <w:rtl w:val="true"/>
          <w:lang w:bidi="syr-TR"/>
        </w:rPr>
        <w:t>(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ܟ</w:t>
      </w:r>
      <w:r>
        <w:rPr>
          <w:rFonts w:cs="Estrangelo Edessa"/>
          <w:sz w:val="24"/>
          <w:szCs w:val="24"/>
          <w:rtl w:val="true"/>
          <w:lang w:bidi="syr-TR"/>
        </w:rPr>
        <w:t>)</w:t>
      </w:r>
      <w:r>
        <w:rPr>
          <w:rFonts w:cs="Times New Roman"/>
          <w:sz w:val="24"/>
          <w:szCs w:val="24"/>
        </w:rPr>
        <w:t xml:space="preserve"> “</w:t>
      </w:r>
      <w:r>
        <w:rPr>
          <w:sz w:val="24"/>
          <w:szCs w:val="24"/>
        </w:rPr>
        <w:t>despair, indifference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  <w:vertAlign w:val="subscript"/>
        </w:rPr>
        <w:t>Syh</w:t>
      </w:r>
      <w:r>
        <w:rPr>
          <w:rFonts w:cs="Times New Roman"/>
          <w:sz w:val="24"/>
          <w:szCs w:val="24"/>
        </w:rPr>
        <w:t xml:space="preserve"> Ezek 4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שממון</w:t>
      </w:r>
      <w:r>
        <w:rPr>
          <w:rFonts w:cs="Times New Roman"/>
          <w:sz w:val="24"/>
          <w:szCs w:val="24"/>
        </w:rPr>
        <w:t>), Ps 119</w:t>
      </w:r>
      <w:r>
        <w:rPr>
          <w:rFonts w:cs="Times New Roman"/>
          <w:sz w:val="24"/>
          <w:szCs w:val="24"/>
          <w:vertAlign w:val="subscript"/>
        </w:rPr>
        <w:t>143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מצוק</w:t>
      </w:r>
      <w:r>
        <w:rPr>
          <w:rFonts w:cs="Times New Roman"/>
          <w:sz w:val="24"/>
          <w:szCs w:val="24"/>
        </w:rPr>
        <w:t>)</w:t>
      </w:r>
    </w:p>
  </w:footnote>
  <w:footnote w:id="7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plague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sz w:val="24"/>
          <w:szCs w:val="24"/>
        </w:rPr>
        <w:t xml:space="preserve"> prec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דבריך</w:t>
      </w:r>
      <w:r>
        <w:rPr>
          <w:rFonts w:cs="Guttman Keren"/>
          <w:sz w:val="24"/>
          <w:szCs w:val="24"/>
        </w:rPr>
        <w:t>)</w:t>
      </w:r>
    </w:p>
  </w:footnote>
  <w:footnote w:id="7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2sg, parall prec; p ditt </w:t>
      </w:r>
      <w:r>
        <w:rPr>
          <w:rFonts w:cs="Guttman Keren"/>
          <w:sz w:val="24"/>
          <w:sz w:val="24"/>
          <w:szCs w:val="24"/>
          <w:rtl w:val="true"/>
        </w:rPr>
        <w:t>מעיניך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7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sons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rFonts w:cs="Guttman Keren"/>
          <w:sz w:val="24"/>
          <w:sz w:val="24"/>
          <w:szCs w:val="24"/>
          <w:rtl w:val="true"/>
        </w:rPr>
        <w:t>בֵּן</w:t>
      </w:r>
    </w:p>
  </w:footnote>
  <w:footnote w:id="7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(he) will </w:t>
      </w:r>
      <w:r>
        <w:rPr>
          <w:sz w:val="24"/>
          <w:szCs w:val="24"/>
        </w:rPr>
        <w:t>divide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</w:t>
      </w:r>
      <w:r>
        <w:rPr>
          <w:rFonts w:cs="Guttman Keren"/>
          <w:sz w:val="24"/>
          <w:szCs w:val="24"/>
        </w:rPr>
        <w:t xml:space="preserve">(a) p </w:t>
      </w:r>
      <w:r>
        <w:rPr>
          <w:rFonts w:cs="Guttman Keren"/>
          <w:sz w:val="24"/>
          <w:sz w:val="24"/>
          <w:szCs w:val="24"/>
          <w:rtl w:val="true"/>
        </w:rPr>
        <w:t>יפריד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בין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2Kgs 2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 xml:space="preserve"> Ruth 1</w:t>
      </w:r>
      <w:r>
        <w:rPr>
          <w:rFonts w:cs="Guttman Keren"/>
          <w:sz w:val="24"/>
          <w:szCs w:val="24"/>
          <w:vertAlign w:val="subscript"/>
        </w:rPr>
        <w:t>17</w:t>
      </w:r>
      <w:r>
        <w:rPr>
          <w:rFonts w:cs="Guttman Keren"/>
          <w:sz w:val="24"/>
          <w:szCs w:val="24"/>
        </w:rPr>
        <w:t xml:space="preserve"> et al; </w:t>
      </w:r>
      <w:r>
        <w:rPr>
          <w:sz w:val="24"/>
          <w:szCs w:val="24"/>
        </w:rPr>
        <w:t xml:space="preserve">(b) hardly apt for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פר</w:t>
      </w:r>
    </w:p>
  </w:footnote>
  <w:footnote w:id="7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יבִיא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Times New Roman"/>
          <w:sz w:val="24"/>
          <w:szCs w:val="24"/>
          <w:rtl w:val="true"/>
        </w:rPr>
        <w:t xml:space="preserve">); </w:t>
      </w:r>
      <w:r>
        <w:rPr>
          <w:rFonts w:cs="Guttman Keren"/>
          <w:sz w:val="24"/>
          <w:sz w:val="24"/>
          <w:szCs w:val="24"/>
          <w:rtl w:val="true"/>
        </w:rPr>
        <w:t>יהוה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taken as subject</w:t>
      </w:r>
    </w:p>
  </w:footnote>
  <w:footnote w:id="7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idiom </w:t>
      </w:r>
      <w:r>
        <w:rPr>
          <w:rFonts w:cs="Guttman Keren"/>
          <w:sz w:val="24"/>
          <w:sz w:val="24"/>
          <w:szCs w:val="24"/>
          <w:rtl w:val="true"/>
        </w:rPr>
        <w:t>רוח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קדים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(also reflected in </w:t>
      </w:r>
      <w:r>
        <w:rPr>
          <w:rFonts w:cs="Guttman Kere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>)</w:t>
      </w:r>
    </w:p>
  </w:footnote>
  <w:footnote w:id="7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עליו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or Aram </w:t>
      </w:r>
      <w:r>
        <w:rPr>
          <w:rFonts w:cs="Guttman Keren"/>
          <w:sz w:val="24"/>
          <w:sz w:val="24"/>
          <w:szCs w:val="24"/>
          <w:rtl w:val="true"/>
        </w:rPr>
        <w:t>עלוהי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(p </w:t>
      </w:r>
      <w:r>
        <w:rPr>
          <w:rFonts w:cs="Guttman Keren" w:ascii="HUBPSigla" w:hAnsi="HUBPSigla"/>
          <w:sz w:val="24"/>
          <w:szCs w:val="24"/>
        </w:rPr>
        <w:t>#</w:t>
      </w:r>
      <w:r>
        <w:rPr>
          <w:rFonts w:cs="Guttman Keren"/>
          <w:sz w:val="24"/>
          <w:szCs w:val="24"/>
        </w:rPr>
        <w:t xml:space="preserve"> ditt + metathesis </w:t>
      </w:r>
      <w:r>
        <w:rPr>
          <w:rFonts w:cs="Guttman Keren"/>
          <w:sz w:val="24"/>
          <w:szCs w:val="24"/>
        </w:rPr>
        <w:t>[</w:t>
      </w:r>
      <w:r>
        <w:rPr>
          <w:rFonts w:cs="Guttman Keren"/>
          <w:sz w:val="24"/>
          <w:sz w:val="24"/>
          <w:szCs w:val="24"/>
          <w:rtl w:val="true"/>
        </w:rPr>
        <w:t>עלה</w:t>
      </w:r>
      <w:r>
        <w:rPr>
          <w:rFonts w:cs="Guttman Keren"/>
          <w:sz w:val="24"/>
          <w:szCs w:val="24"/>
        </w:rPr>
        <w:t>]</w:t>
      </w:r>
      <w:r>
        <w:rPr>
          <w:rFonts w:cs="Guttman Keren"/>
          <w:sz w:val="24"/>
          <w:sz w:val="24"/>
          <w:szCs w:val="24"/>
          <w:rtl w:val="true"/>
        </w:rPr>
        <w:t>וי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</w:t>
      </w:r>
      <w:r>
        <w:rPr>
          <w:rFonts w:cs="Guttman Keren"/>
          <w:sz w:val="24"/>
          <w:szCs w:val="24"/>
          <w:rtl w:val="true"/>
        </w:rPr>
        <w:t>[</w:t>
      </w:r>
      <w:r>
        <w:rPr>
          <w:rFonts w:cs="Guttman Keren"/>
          <w:sz w:val="24"/>
          <w:sz w:val="24"/>
          <w:szCs w:val="24"/>
          <w:rtl w:val="true"/>
        </w:rPr>
        <w:t>בוש</w:t>
      </w:r>
      <w:r>
        <w:rPr>
          <w:rFonts w:cs="Guttman Keren"/>
          <w:sz w:val="24"/>
          <w:szCs w:val="24"/>
          <w:rtl w:val="true"/>
        </w:rPr>
        <w:t>]</w:t>
      </w:r>
      <w:r>
        <w:rPr>
          <w:rFonts w:cs="Guttman Keren"/>
          <w:sz w:val="24"/>
          <w:szCs w:val="24"/>
        </w:rPr>
        <w:t>)</w:t>
      </w:r>
      <w:r>
        <w:rPr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struct prec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  <w:r>
        <w:rPr>
          <w:rFonts w:cs="Guttman Keren"/>
          <w:sz w:val="24"/>
          <w:szCs w:val="24"/>
        </w:rPr>
        <w:t xml:space="preserve">;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Guttman Kere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איתי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עלוהי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(but </w:t>
      </w:r>
      <w:r>
        <w:rPr>
          <w:rFonts w:cs="Guttman Keren"/>
          <w:sz w:val="24"/>
          <w:sz w:val="24"/>
          <w:szCs w:val="24"/>
          <w:rtl w:val="true"/>
        </w:rPr>
        <w:t>עֹלֶה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יסק</w:t>
      </w:r>
      <w:r>
        <w:rPr>
          <w:sz w:val="24"/>
          <w:szCs w:val="24"/>
        </w:rPr>
        <w:t xml:space="preserve">); note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3pl</w:t>
      </w:r>
    </w:p>
  </w:footnote>
  <w:footnote w:id="7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ישסה</w:t>
      </w:r>
    </w:p>
  </w:footnote>
  <w:footnote w:id="8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He will scorch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ex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prec</w:t>
      </w:r>
    </w:p>
  </w:footnote>
  <w:footnote w:id="8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He will desolate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ex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prec</w:t>
      </w:r>
    </w:p>
  </w:footnote>
  <w:footnote w:id="8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ארצו</w:t>
      </w:r>
      <w:r>
        <w:rPr>
          <w:rFonts w:cs="Guttman Keren"/>
          <w:sz w:val="24"/>
          <w:szCs w:val="24"/>
        </w:rPr>
        <w:t xml:space="preserve">; parall </w:t>
      </w:r>
      <w:r>
        <w:rPr>
          <w:rFonts w:cs="Guttman Keren"/>
          <w:sz w:val="24"/>
          <w:sz w:val="24"/>
          <w:szCs w:val="24"/>
          <w:rtl w:val="true"/>
        </w:rPr>
        <w:t>מקורו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מעינו</w:t>
      </w:r>
      <w:r>
        <w:rPr>
          <w:rFonts w:cs="Times New Roman"/>
          <w:sz w:val="24"/>
          <w:szCs w:val="24"/>
          <w:rtl w:val="true"/>
        </w:rPr>
        <w:t xml:space="preserve">;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&amp;</w:t>
      </w:r>
      <w:r>
        <w:rPr>
          <w:rFonts w:cs="Times New Roman"/>
          <w:sz w:val="24"/>
          <w:szCs w:val="24"/>
        </w:rPr>
        <w:t xml:space="preserve"> seq</w:t>
      </w:r>
    </w:p>
  </w:footnote>
  <w:footnote w:id="8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i/>
          <w:iCs/>
          <w:sz w:val="24"/>
          <w:szCs w:val="24"/>
          <w:highlight w:val="green"/>
        </w:rPr>
        <w:t>G</w:t>
      </w:r>
      <w:r>
        <w:rPr>
          <w:sz w:val="24"/>
          <w:szCs w:val="24"/>
          <w:highlight w:val="green"/>
        </w:rPr>
        <w:t>-B Msr 11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Num 31</w:t>
      </w:r>
      <w:r>
        <w:rPr>
          <w:sz w:val="24"/>
          <w:szCs w:val="24"/>
          <w:vertAlign w:val="subscript"/>
        </w:rPr>
        <w:t>50</w:t>
      </w:r>
      <w:r>
        <w:rPr>
          <w:sz w:val="24"/>
          <w:szCs w:val="24"/>
        </w:rPr>
        <w:t xml:space="preserve"> Seb </w:t>
      </w:r>
      <w:r>
        <w:rPr>
          <w:rFonts w:cs="Guttman Keren"/>
          <w:sz w:val="24"/>
          <w:sz w:val="24"/>
          <w:szCs w:val="24"/>
          <w:rtl w:val="true"/>
        </w:rPr>
        <w:t>כלֵי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(see </w:t>
      </w:r>
      <w:r>
        <w:rPr>
          <w:color w:val="FF9900"/>
          <w:sz w:val="24"/>
          <w:szCs w:val="24"/>
        </w:rPr>
        <w:t xml:space="preserve">Ofer, </w:t>
      </w:r>
      <w:r>
        <w:rPr>
          <w:i/>
          <w:iCs/>
          <w:color w:val="FF9900"/>
          <w:sz w:val="24"/>
          <w:szCs w:val="24"/>
        </w:rPr>
        <w:t>Babylonian Masora</w:t>
      </w:r>
      <w:r>
        <w:rPr>
          <w:color w:val="FF9900"/>
          <w:sz w:val="24"/>
          <w:szCs w:val="24"/>
        </w:rPr>
        <w:t>, 504</w:t>
      </w:r>
      <w:r>
        <w:rPr>
          <w:sz w:val="24"/>
          <w:szCs w:val="24"/>
        </w:rPr>
        <w:t xml:space="preserve">); reverse case app Nah </w:t>
      </w:r>
      <w:r>
        <w:rPr>
          <w:rFonts w:cs="Times New Roman"/>
          <w:sz w:val="24"/>
          <w:szCs w:val="24"/>
        </w:rPr>
        <w:t>2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8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3sg, parall prec; similarly app Nah 2</w:t>
      </w:r>
      <w:r>
        <w:rPr>
          <w:sz w:val="24"/>
          <w:szCs w:val="24"/>
          <w:vertAlign w:val="subscript"/>
        </w:rPr>
        <w:t>10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יג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SimSun;宋体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  <w:ind w:left="0" w:right="0" w:hanging="0"/>
      <w:jc w:val="left"/>
    </w:pPr>
    <w:rPr>
      <w:rFonts w:ascii="Tahoma" w:hAnsi="Tahoma" w:cs="Tahom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2004-06-03T09:40:00Z</dcterms:created>
  <dc:creator>Microsoft Corporation</dc:creator>
  <dc:description/>
  <cp:keywords/>
  <dc:language>en-US</dc:language>
  <cp:lastModifiedBy>Michael Segal</cp:lastModifiedBy>
  <cp:lastPrinted>2010-07-19T14:47:00Z</cp:lastPrinted>
  <dcterms:modified xsi:type="dcterms:W3CDTF">2018-10-01T19:19:00Z</dcterms:modified>
  <cp:revision>176</cp:revision>
  <dc:subject/>
  <dc:title>Hos</dc:title>
</cp:coreProperties>
</file>