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exact" w:line="400"/>
        <w:rPr>
          <w:rFonts w:cs="Guttman Keren"/>
          <w:sz w:val="28"/>
          <w:szCs w:val="28"/>
        </w:rPr>
      </w:pPr>
      <w:r>
        <w:rPr>
          <w:rFonts w:cs="Guttman Keren"/>
          <w:i/>
          <w:iCs/>
          <w:sz w:val="28"/>
          <w:szCs w:val="28"/>
        </w:rPr>
        <w:t>Hosea</w:t>
      </w:r>
      <w:r>
        <w:rPr>
          <w:rFonts w:cs="Guttman Keren"/>
          <w:sz w:val="28"/>
          <w:szCs w:val="28"/>
        </w:rPr>
        <w:t xml:space="preserve"> 3</w:t>
      </w:r>
    </w:p>
    <w:p>
      <w:pPr>
        <w:pStyle w:val="Normal"/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אהב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]*h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  <w:lang w:val="el-GR"/>
        </w:rPr>
        <w:t>אהבת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רע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Cs w:val="28"/>
          <w:rtl w:val="true"/>
          <w:lang w:val="el-GR"/>
        </w:rPr>
        <w:t xml:space="preserve">~ </w:t>
      </w:r>
      <w:r>
        <w:rPr>
          <w:rFonts w:cs="Guttman Keren"/>
          <w:sz w:val="28"/>
          <w:sz w:val="28"/>
          <w:szCs w:val="28"/>
          <w:rtl w:val="true"/>
          <w:lang w:val="el-GR"/>
        </w:rPr>
        <w:t>ומנאפת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~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אהֻבת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רֵע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ἀγαπῶσαν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πονηρά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"/>
      </w:r>
      <w:r>
        <w:rPr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יהוה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div</w:t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אהבי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φυρῶσι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אשישי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~</w:t>
      </w:r>
      <w:r>
        <w:rPr>
          <w:sz w:val="28"/>
          <w:szCs w:val="28"/>
        </w:rPr>
        <w:t xml:space="preserve"> </w:t>
      </w:r>
      <w:r>
        <w:rPr>
          <w:rFonts w:cs="GFS Porson" w:ascii="GFS Porson" w:hAnsi="GFS Porson"/>
          <w:sz w:val="28"/>
          <w:szCs w:val="28"/>
        </w:rPr>
        <w:t>παλαιά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|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אכּרהָ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ἐμισθωσάμην</w:t>
      </w:r>
      <w:r>
        <w:rPr>
          <w:rStyle w:val="FootnoteCharacters"/>
          <w:rStyle w:val="FootnoteAnchor"/>
          <w:sz w:val="28"/>
          <w:szCs w:val="28"/>
        </w:rPr>
        <w:footnoteReference w:id="5"/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fodi eam</w:t>
      </w:r>
      <w:r>
        <w:rPr>
          <w:rStyle w:val="FootnoteCharacters"/>
          <w:rStyle w:val="FootnoteAnchor"/>
          <w:sz w:val="28"/>
          <w:szCs w:val="28"/>
        </w:rPr>
        <w:footnoteReference w:id="6"/>
      </w:r>
      <w:r>
        <w:rPr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  <w:vertAlign w:val="subscript"/>
        </w:rPr>
        <w:t>Syh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שערים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שערים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reduct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ולתך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שערים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νεβελ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οἴνου</w:t>
      </w:r>
      <w:r>
        <w:rPr>
          <w:rStyle w:val="FootnoteCharacters"/>
          <w:rStyle w:val="FootnoteAnchor"/>
          <w:sz w:val="28"/>
          <w:szCs w:val="28"/>
        </w:rPr>
        <w:footnoteReference w:id="7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]h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3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תשבי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expectabis</w:t>
      </w:r>
      <w:r>
        <w:rPr>
          <w:rStyle w:val="FootnoteCharacters"/>
          <w:rStyle w:val="FootnoteAnchor"/>
          <w:sz w:val="28"/>
          <w:szCs w:val="28"/>
        </w:rPr>
        <w:footnoteReference w:id="8"/>
      </w:r>
      <w:r>
        <w:rPr>
          <w:i/>
          <w:iCs/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9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לי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אליך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prep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לא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>
      <w:pPr>
        <w:pStyle w:val="Normal"/>
        <w:bidi w:val="0"/>
        <w:spacing w:lineRule="exact" w:line="400"/>
        <w:jc w:val="left"/>
        <w:rPr>
          <w:rFonts w:cs="Times New Roman"/>
          <w:i/>
          <w:i/>
          <w:iCs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לאיש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>
        <w:rPr>
          <w:rFonts w:cs="Arial" w:ascii="GFS Porson" w:hAnsi="GFS Porson"/>
          <w:color w:val="222222"/>
          <w:sz w:val="28"/>
          <w:szCs w:val="28"/>
          <w:shd w:fill="FFFFFF" w:val="clear"/>
        </w:rPr>
        <w:t>ἑτέρῳ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9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4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זֶב</w:t>
      </w:r>
      <w:r>
        <w:rPr>
          <w:rFonts w:cs="Guttman Keren"/>
          <w:sz w:val="28"/>
          <w:sz w:val="28"/>
          <w:szCs w:val="28"/>
          <w:rtl w:val="true"/>
        </w:rPr>
        <w:t>ַ</w:t>
      </w:r>
      <w:r>
        <w:rPr>
          <w:rFonts w:cs="Guttman Keren"/>
          <w:sz w:val="28"/>
          <w:sz w:val="28"/>
          <w:szCs w:val="28"/>
          <w:rtl w:val="true"/>
        </w:rPr>
        <w:t>ח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 w:val="28"/>
          <w:szCs w:val="28"/>
          <w:rtl w:val="true"/>
        </w:rPr>
        <w:t>ד</w:t>
      </w:r>
      <w:r>
        <w:rPr>
          <w:sz w:val="28"/>
          <w:szCs w:val="28"/>
        </w:rPr>
        <w:t>)</w:t>
      </w:r>
      <w:r>
        <w:rPr>
          <w:sz w:val="28"/>
          <w:sz w:val="28"/>
          <w:szCs w:val="28"/>
          <w:rtl w:val="true"/>
        </w:rPr>
        <w:t>דָבַח</w:t>
      </w:r>
      <w:bookmarkStart w:id="0" w:name="_Ref113879199"/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10"/>
      </w:r>
      <w:bookmarkEnd w:id="0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ואין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מצבה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ואין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אפוד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ותרפים</w:t>
      </w:r>
      <w:r>
        <w:rPr>
          <w:rFonts w:cs="Times New Roman"/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1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מצבה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θυσιαστηρίου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2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*[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ואין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אפוד</w:t>
      </w:r>
      <w:r>
        <w:rPr>
          <w:rFonts w:cs="Guttman Keren"/>
          <w:sz w:val="28"/>
          <w:szCs w:val="28"/>
          <w:rtl w:val="true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תרפים</w:t>
      </w:r>
      <w:r>
        <w:rPr>
          <w:rFonts w:cs="Guttman Keren"/>
          <w:sz w:val="28"/>
          <w:szCs w:val="28"/>
          <w:rtl w:val="true"/>
          <w:lang w:bidi="syr-TR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rep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אפוד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ἱερατείας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3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;Ink Free"/>
          <w:sz w:val="28"/>
          <w:sz w:val="28"/>
          <w:szCs w:val="28"/>
          <w:rtl w:val="true"/>
          <w:lang w:bidi="syr-TR"/>
        </w:rPr>
        <w:t>ܠܒܫ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;Ink Free"/>
          <w:sz w:val="28"/>
          <w:sz w:val="28"/>
          <w:szCs w:val="28"/>
          <w:rtl w:val="true"/>
          <w:lang w:bidi="syr-TR"/>
        </w:rPr>
        <w:t>ܐܦܘܕܐ</w:t>
      </w:r>
      <w:bookmarkStart w:id="1" w:name="_Ref111457171"/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14"/>
      </w:r>
      <w:bookmarkEnd w:id="1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תרפים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δήλων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5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;Ink Free"/>
          <w:sz w:val="28"/>
          <w:sz w:val="28"/>
          <w:szCs w:val="28"/>
          <w:rtl w:val="true"/>
          <w:lang w:bidi="syr-TR"/>
        </w:rPr>
        <w:t>ܣܐܡ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;Ink Free"/>
          <w:sz w:val="28"/>
          <w:sz w:val="28"/>
          <w:szCs w:val="28"/>
          <w:rtl w:val="true"/>
          <w:lang w:bidi="syr-TR"/>
        </w:rPr>
        <w:t>ܒܣ̈ܡܐ</w:t>
      </w:r>
      <w:bookmarkStart w:id="2" w:name="_Ref111457200"/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16"/>
      </w:r>
      <w:bookmarkEnd w:id="2"/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מחוי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17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|h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ἐπιλυομένου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9h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8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אחר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 III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פחדו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ἐπαινέσωσι</w:t>
      </w:r>
      <w:r>
        <w:rPr>
          <w:rStyle w:val="FootnoteCharacters"/>
          <w:rStyle w:val="FootnoteAnchor"/>
          <w:sz w:val="28"/>
          <w:szCs w:val="28"/>
        </w:rPr>
        <w:footnoteReference w:id="19"/>
      </w:r>
      <w:r>
        <w:rPr>
          <w:rFonts w:cs="Times New Roman"/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Estrangelo Edessa;Ink Free"/>
          <w:sz w:val="28"/>
          <w:sz w:val="28"/>
          <w:szCs w:val="28"/>
          <w:rtl w:val="true"/>
          <w:lang w:bidi="syr-TR"/>
        </w:rPr>
        <w:t>ܢܕܥܘܢ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20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יתנהון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21"/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GFS Porson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2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22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2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אֹהֶבֶת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Guttman Keren"/>
          <w:sz w:val="24"/>
          <w:sz w:val="24"/>
          <w:szCs w:val="24"/>
          <w:rtl w:val="true"/>
        </w:rPr>
        <w:t>ָ</w:t>
      </w:r>
      <w:r>
        <w:rPr>
          <w:rFonts w:cs="Guttman Keren"/>
          <w:sz w:val="24"/>
          <w:sz w:val="24"/>
          <w:szCs w:val="24"/>
          <w:rtl w:val="true"/>
        </w:rPr>
        <w:t>ע</w:t>
      </w:r>
      <w:r>
        <w:rPr>
          <w:rFonts w:cs="Guttman Keren"/>
          <w:sz w:val="24"/>
          <w:szCs w:val="24"/>
        </w:rPr>
        <w:t>; cf Mic 3</w:t>
      </w:r>
      <w:r>
        <w:rPr>
          <w:rFonts w:cs="Guttman Keren"/>
          <w:sz w:val="24"/>
          <w:szCs w:val="24"/>
          <w:vertAlign w:val="subscript"/>
        </w:rPr>
        <w:t>2</w:t>
      </w:r>
    </w:p>
  </w:footnote>
  <w:footnote w:id="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they knead”, context exeg, cf </w:t>
      </w:r>
      <w:r>
        <w:rPr>
          <w:rFonts w:cs="Guttman Keren"/>
          <w:sz w:val="24"/>
          <w:sz w:val="24"/>
          <w:szCs w:val="24"/>
          <w:rtl w:val="true"/>
        </w:rPr>
        <w:t>לוש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בצק</w:t>
      </w:r>
      <w:r>
        <w:rPr>
          <w:rFonts w:cs="Guttman Keren"/>
          <w:sz w:val="24"/>
          <w:szCs w:val="24"/>
          <w:rtl w:val="true"/>
        </w:rPr>
        <w:t>)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Cs w:val="24"/>
        </w:rPr>
        <w:t>7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; cf also </w:t>
      </w:r>
      <w:r>
        <w:rPr>
          <w:rFonts w:cs="HUBPSigla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Jer 7</w:t>
      </w:r>
      <w:r>
        <w:rPr>
          <w:rFonts w:cs="Guttman Keren"/>
          <w:sz w:val="24"/>
          <w:szCs w:val="24"/>
          <w:vertAlign w:val="subscript"/>
        </w:rPr>
        <w:t>18</w:t>
      </w:r>
    </w:p>
  </w:footnote>
  <w:footnote w:id="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old things”, etym </w:t>
      </w:r>
      <w:r>
        <w:rPr>
          <w:rFonts w:cs="Guttman Keren"/>
          <w:sz w:val="24"/>
          <w:sz w:val="24"/>
          <w:szCs w:val="24"/>
          <w:rtl w:val="true"/>
        </w:rPr>
        <w:t>ישיש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~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Job 12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,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Guttman Keren"/>
          <w:sz w:val="24"/>
          <w:szCs w:val="24"/>
        </w:rPr>
        <w:t xml:space="preserve"> Job 15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Guttman Keren"/>
          <w:sz w:val="24"/>
          <w:sz w:val="24"/>
          <w:szCs w:val="24"/>
          <w:rtl w:val="true"/>
        </w:rPr>
        <w:t>א</w:t>
      </w:r>
      <w:r>
        <w:rPr>
          <w:rFonts w:cs="Guttman Keren"/>
          <w:sz w:val="24"/>
          <w:sz w:val="24"/>
          <w:szCs w:val="24"/>
          <w:rtl w:val="true"/>
          <w:lang w:val="el-GR"/>
        </w:rPr>
        <w:t>שיש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= “old (person)” cf </w:t>
      </w:r>
      <w:r>
        <w:rPr>
          <w:rFonts w:cs="Guttman Keren"/>
          <w:sz w:val="24"/>
          <w:sz w:val="24"/>
          <w:szCs w:val="24"/>
          <w:rtl w:val="true"/>
        </w:rPr>
        <w:t>אשישים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וזקנים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;Ink Free"/>
          <w:sz w:val="24"/>
          <w:szCs w:val="24"/>
          <w:lang w:bidi="syr-TR"/>
        </w:rPr>
        <w:t>1</w:t>
      </w:r>
      <w:r>
        <w:rPr>
          <w:rFonts w:cs="Guttman Keren"/>
          <w:sz w:val="24"/>
          <w:szCs w:val="24"/>
        </w:rPr>
        <w:t>QpHab 6</w:t>
      </w:r>
      <w:r>
        <w:rPr>
          <w:rFonts w:cs="Guttman Keren"/>
          <w:sz w:val="24"/>
          <w:szCs w:val="24"/>
          <w:vertAlign w:val="subscript"/>
        </w:rPr>
        <w:t>11</w:t>
      </w:r>
      <w:r>
        <w:rPr>
          <w:rFonts w:cs="Guttman Keren"/>
          <w:sz w:val="24"/>
          <w:szCs w:val="24"/>
        </w:rPr>
        <w:t>, cf also app Isa 16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</w:rPr>
        <w:t xml:space="preserve">; similar picture 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ἀκάρπους</w:t>
      </w:r>
      <w:r>
        <w:rPr>
          <w:rFonts w:cs="Times New Roman"/>
          <w:sz w:val="24"/>
          <w:szCs w:val="24"/>
        </w:rPr>
        <w:t xml:space="preserve"> “infertile ones”, i.e. “old ones” (cf 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 2Kgs 4</w:t>
      </w:r>
      <w:r>
        <w:rPr>
          <w:rFonts w:cs="Times New Roman"/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</w:rPr>
        <w:t>)</w:t>
      </w:r>
    </w:p>
  </w:footnote>
  <w:footnote w:id="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I hired”: (a)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כרה</w:t>
      </w:r>
      <w:r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 xml:space="preserve"> “to buy”; (b) </w:t>
      </w:r>
      <w:r>
        <w:rPr>
          <w:rFonts w:cs="Guttman Keren"/>
          <w:sz w:val="24"/>
          <w:sz w:val="24"/>
          <w:szCs w:val="24"/>
          <w:rtl w:val="true"/>
        </w:rPr>
        <w:t>אשׂכר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ה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Times New Roman"/>
          <w:sz w:val="24"/>
          <w:szCs w:val="24"/>
        </w:rPr>
        <w:t xml:space="preserve">, note usus </w:t>
      </w:r>
      <w:r>
        <w:rPr>
          <w:rFonts w:cs="Guttman Keren"/>
          <w:sz w:val="24"/>
          <w:sz w:val="24"/>
          <w:szCs w:val="24"/>
          <w:rtl w:val="true"/>
        </w:rPr>
        <w:t>שׂכר</w:t>
      </w:r>
      <w:r>
        <w:rPr>
          <w:rFonts w:cs="Times New Roman"/>
          <w:sz w:val="24"/>
          <w:sz w:val="24"/>
          <w:szCs w:val="24"/>
          <w:lang w:bidi="syr-TR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μισθός</w:t>
      </w:r>
      <w:r>
        <w:rPr>
          <w:rFonts w:cs="Guttman Keren"/>
          <w:sz w:val="24"/>
          <w:szCs w:val="24"/>
        </w:rPr>
        <w:t>; f pron</w:t>
      </w:r>
    </w:p>
  </w:footnote>
  <w:footnote w:id="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כרה</w:t>
      </w:r>
      <w:r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 xml:space="preserve"> “to dig”</w:t>
      </w:r>
    </w:p>
  </w:footnote>
  <w:footnote w:id="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ונבל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יין</w:t>
      </w:r>
      <w:r>
        <w:rPr>
          <w:rFonts w:cs="Guttman Keren"/>
          <w:sz w:val="24"/>
          <w:szCs w:val="24"/>
        </w:rPr>
        <w:t>;</w:t>
      </w:r>
      <w:r>
        <w:rPr>
          <w:sz w:val="24"/>
          <w:szCs w:val="24"/>
        </w:rPr>
        <w:t xml:space="preserve"> for </w:t>
      </w:r>
      <w:r>
        <w:rPr>
          <w:rFonts w:cs="Guttman Keren"/>
          <w:sz w:val="24"/>
          <w:sz w:val="24"/>
          <w:szCs w:val="24"/>
          <w:rtl w:val="true"/>
        </w:rPr>
        <w:t>חֹמר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שׂערים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ונבל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יין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1Sam 1</w:t>
      </w:r>
      <w:r>
        <w:rPr>
          <w:rFonts w:cs="Guttman Keren"/>
          <w:sz w:val="24"/>
          <w:szCs w:val="24"/>
          <w:vertAlign w:val="subscript"/>
        </w:rPr>
        <w:t>24</w:t>
      </w:r>
      <w:r>
        <w:rPr>
          <w:rFonts w:cs="Guttman Keren"/>
          <w:sz w:val="24"/>
          <w:szCs w:val="24"/>
        </w:rPr>
        <w:t xml:space="preserve"> 10</w:t>
      </w:r>
      <w:r>
        <w:rPr>
          <w:rFonts w:cs="Guttman Keren"/>
          <w:sz w:val="24"/>
          <w:szCs w:val="24"/>
          <w:vertAlign w:val="subscript"/>
        </w:rPr>
        <w:t>3</w:t>
      </w:r>
      <w:r>
        <w:rPr>
          <w:rFonts w:cs="Guttman Keren"/>
          <w:sz w:val="24"/>
          <w:szCs w:val="24"/>
        </w:rPr>
        <w:t xml:space="preserve">,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1Sam </w:t>
      </w:r>
      <w:r>
        <w:rPr>
          <w:rFonts w:cs="Guttman Keren"/>
          <w:sz w:val="24"/>
          <w:szCs w:val="24"/>
        </w:rPr>
        <w:t>16</w:t>
      </w:r>
      <w:r>
        <w:rPr>
          <w:rFonts w:cs="Guttman Keren"/>
          <w:sz w:val="24"/>
          <w:szCs w:val="24"/>
          <w:vertAlign w:val="subscript"/>
        </w:rPr>
        <w:t>20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חֲמוֹר</w:t>
      </w:r>
      <w:r>
        <w:rPr>
          <w:rFonts w:cs="Guttman Keren"/>
          <w:sz w:val="24"/>
          <w:szCs w:val="24"/>
        </w:rPr>
        <w:t>) et al; hardly slot (</w:t>
      </w:r>
      <w:r>
        <w:rPr>
          <w:rFonts w:cs="Guttman Keren"/>
          <w:sz w:val="24"/>
          <w:sz w:val="24"/>
          <w:szCs w:val="24"/>
          <w:rtl w:val="true"/>
        </w:rPr>
        <w:t>לתך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hapax)</w:t>
      </w:r>
    </w:p>
  </w:footnote>
  <w:footnote w:id="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you will wait (for)”, apt, cf Hier 34</w:t>
      </w:r>
      <w:r>
        <w:rPr>
          <w:sz w:val="24"/>
          <w:szCs w:val="24"/>
          <w:vertAlign w:val="subscript"/>
        </w:rPr>
        <w:t>69</w:t>
      </w:r>
      <w:r>
        <w:rPr>
          <w:sz w:val="24"/>
          <w:szCs w:val="24"/>
        </w:rPr>
        <w:t>, 35</w:t>
      </w:r>
      <w:r>
        <w:rPr>
          <w:sz w:val="24"/>
          <w:szCs w:val="24"/>
          <w:vertAlign w:val="subscript"/>
        </w:rPr>
        <w:t>107</w:t>
      </w:r>
      <w:r>
        <w:rPr>
          <w:sz w:val="24"/>
          <w:szCs w:val="24"/>
        </w:rPr>
        <w:t xml:space="preserve">; cf </w:t>
      </w:r>
      <w:r>
        <w:rPr>
          <w:rFonts w:cs="HUBPSigla" w:ascii="HUBPSigla" w:hAnsi="HUBPSigla"/>
          <w:sz w:val="24"/>
          <w:szCs w:val="24"/>
        </w:rPr>
        <w:t>*</w:t>
      </w:r>
      <w:r>
        <w:rPr>
          <w:sz w:val="24"/>
          <w:szCs w:val="24"/>
        </w:rPr>
        <w:t xml:space="preserve"> Exod 24</w:t>
      </w:r>
      <w:r>
        <w:rPr>
          <w:sz w:val="24"/>
          <w:szCs w:val="24"/>
          <w:vertAlign w:val="subscript"/>
        </w:rPr>
        <w:t>14</w:t>
      </w:r>
      <w:r>
        <w:rPr>
          <w:sz w:val="24"/>
          <w:szCs w:val="24"/>
        </w:rPr>
        <w:t xml:space="preserve"> Jer 3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; note parall seq </w:t>
      </w:r>
      <w:r>
        <w:rPr>
          <w:rFonts w:cs="Guttman Keren"/>
          <w:sz w:val="24"/>
          <w:sz w:val="24"/>
          <w:szCs w:val="24"/>
          <w:rtl w:val="true"/>
        </w:rPr>
        <w:t>אליך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i/>
          <w:iCs/>
          <w:sz w:val="24"/>
          <w:szCs w:val="24"/>
        </w:rPr>
        <w:t>expectabo te</w:t>
      </w:r>
    </w:p>
  </w:footnote>
  <w:footnote w:id="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another”, cf Deut 24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Jer 3</w:t>
      </w:r>
      <w:r>
        <w:rPr>
          <w:sz w:val="24"/>
          <w:szCs w:val="24"/>
          <w:vertAlign w:val="subscript"/>
        </w:rPr>
        <w:t>1</w:t>
      </w:r>
    </w:p>
  </w:footnote>
  <w:footnote w:id="1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(one who) sacrifices”, parall </w:t>
      </w:r>
      <w:r>
        <w:rPr>
          <w:rFonts w:cs="Guttman Keren"/>
          <w:sz w:val="24"/>
          <w:sz w:val="24"/>
          <w:szCs w:val="24"/>
          <w:rtl w:val="true"/>
        </w:rPr>
        <w:t>מלך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שׂר</w:t>
      </w:r>
      <w:r>
        <w:rPr>
          <w:rFonts w:cs="Estrangelo Edessa;Ink Free"/>
          <w:sz w:val="24"/>
          <w:szCs w:val="24"/>
          <w:lang w:bidi="syr-TR"/>
        </w:rPr>
        <w:t>;</w:t>
      </w:r>
      <w:r>
        <w:rPr>
          <w:rFonts w:cs="Times New Roman"/>
          <w:sz w:val="24"/>
          <w:szCs w:val="24"/>
          <w:lang w:bidi="syr-TR"/>
        </w:rPr>
        <w:t xml:space="preserve"> p voc </w:t>
      </w:r>
      <w:r>
        <w:rPr>
          <w:rFonts w:cs="Guttman Keren"/>
          <w:sz w:val="24"/>
          <w:sz w:val="24"/>
          <w:szCs w:val="24"/>
          <w:rtl w:val="true"/>
        </w:rPr>
        <w:t>זֹבֵחַ</w:t>
      </w:r>
    </w:p>
  </w:footnote>
  <w:footnote w:id="1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th</w:t>
      </w:r>
      <w:r>
        <w:rPr>
          <w:sz w:val="24"/>
          <w:szCs w:val="24"/>
        </w:rPr>
        <w:t xml:space="preserve">eol diffic </w:t>
      </w:r>
      <w:r>
        <w:rPr>
          <w:rFonts w:cs="HUBPSigla" w:ascii="HUBPSigla" w:hAnsi="HUBPSigla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different solutions in Vrs (for similar enumeration cf </w:t>
      </w:r>
      <w:r>
        <w:rPr>
          <w:rFonts w:cs="Times New Roman" w:ascii="HUBPSigla" w:hAnsi="HUBPSigla"/>
          <w:sz w:val="24"/>
          <w:szCs w:val="24"/>
        </w:rPr>
        <w:t>][</w:t>
      </w:r>
      <w:r>
        <w:rPr>
          <w:rFonts w:cs="Times New Roman"/>
          <w:sz w:val="24"/>
          <w:szCs w:val="24"/>
        </w:rPr>
        <w:t xml:space="preserve"> Dan 3</w:t>
      </w:r>
      <w:r>
        <w:rPr>
          <w:rFonts w:cs="Times New Roman"/>
          <w:sz w:val="24"/>
          <w:szCs w:val="24"/>
          <w:vertAlign w:val="subscript"/>
        </w:rPr>
        <w:t>37−38</w:t>
      </w:r>
      <w:r>
        <w:rPr>
          <w:rFonts w:cs="Times New Roman"/>
          <w:sz w:val="24"/>
          <w:szCs w:val="24"/>
        </w:rPr>
        <w:t xml:space="preserve">); cf </w:t>
      </w:r>
      <w:r>
        <w:rPr>
          <w:rFonts w:cs="Times New Roman"/>
          <w:color w:val="FF9900"/>
          <w:sz w:val="24"/>
          <w:szCs w:val="24"/>
        </w:rPr>
        <w:t xml:space="preserve">Rofé, </w:t>
      </w:r>
      <w:r>
        <w:rPr>
          <w:rFonts w:cs="Times New Roman"/>
          <w:i/>
          <w:iCs/>
          <w:color w:val="FF9900"/>
          <w:sz w:val="24"/>
          <w:szCs w:val="24"/>
        </w:rPr>
        <w:t>FS Weinfeld</w:t>
      </w:r>
      <w:r>
        <w:rPr>
          <w:rFonts w:cs="Times New Roman"/>
          <w:color w:val="FF9900"/>
          <w:sz w:val="24"/>
          <w:szCs w:val="24"/>
        </w:rPr>
        <w:t>, 135−149</w:t>
      </w:r>
    </w:p>
  </w:footnote>
  <w:footnote w:id="1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altar”; </w:t>
      </w:r>
      <w:r>
        <w:rPr>
          <w:rFonts w:cs="Times New Roman"/>
          <w:sz w:val="24"/>
          <w:szCs w:val="24"/>
        </w:rPr>
        <w:t xml:space="preserve">cf reverse case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2Chr 33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; note </w:t>
      </w:r>
      <w:r>
        <w:rPr>
          <w:rFonts w:cs="Guttman Keren"/>
          <w:sz w:val="24"/>
          <w:sz w:val="24"/>
          <w:szCs w:val="24"/>
          <w:rtl w:val="true"/>
        </w:rPr>
        <w:t>מזבח</w:t>
      </w:r>
      <w:r>
        <w:rPr>
          <w:rFonts w:cs="Guttman Keren"/>
          <w:sz w:val="24"/>
          <w:szCs w:val="24"/>
          <w:rtl w:val="true"/>
        </w:rPr>
        <w:t>//</w:t>
      </w:r>
      <w:r>
        <w:rPr>
          <w:rFonts w:cs="Guttman Keren"/>
          <w:sz w:val="24"/>
          <w:sz w:val="24"/>
          <w:szCs w:val="24"/>
          <w:rtl w:val="true"/>
        </w:rPr>
        <w:t>מצבה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</w:rPr>
        <w:t>10</w:t>
      </w:r>
      <w:r>
        <w:rPr>
          <w:rFonts w:cs="Times New Roman"/>
          <w:sz w:val="24"/>
          <w:szCs w:val="24"/>
          <w:vertAlign w:val="subscript"/>
        </w:rPr>
        <w:t>1,2</w:t>
      </w:r>
      <w:r>
        <w:rPr>
          <w:rFonts w:cs="Times New Roman"/>
          <w:sz w:val="24"/>
          <w:szCs w:val="24"/>
          <w:vertAlign w:val="subscript"/>
        </w:rPr>
        <w:t xml:space="preserve"> </w:t>
      </w:r>
      <w:r>
        <w:rPr>
          <w:rFonts w:cs="Guttman Keren"/>
          <w:sz w:val="24"/>
          <w:szCs w:val="24"/>
        </w:rPr>
        <w:t>Isa 19</w:t>
      </w:r>
      <w:r>
        <w:rPr>
          <w:rFonts w:cs="Guttman Keren"/>
          <w:sz w:val="24"/>
          <w:szCs w:val="24"/>
          <w:vertAlign w:val="subscript"/>
        </w:rPr>
        <w:t>19</w:t>
      </w:r>
      <w:r>
        <w:rPr>
          <w:rFonts w:cs="Guttman Keren"/>
          <w:sz w:val="24"/>
          <w:szCs w:val="24"/>
        </w:rPr>
        <w:t xml:space="preserve">; p </w:t>
      </w:r>
      <w:r>
        <w:rPr>
          <w:rFonts w:cs="Guttman Keren"/>
          <w:sz w:val="24"/>
          <w:sz w:val="24"/>
          <w:szCs w:val="24"/>
          <w:rtl w:val="true"/>
        </w:rPr>
        <w:t>מזבח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 w:ascii="HUBPSigla" w:hAnsi="HUBPSigla"/>
          <w:sz w:val="24"/>
          <w:szCs w:val="24"/>
          <w:rtl w:val="true"/>
        </w:rPr>
        <w:t>#</w:t>
      </w:r>
      <w:r>
        <w:rPr>
          <w:rFonts w:cs="Times New Roman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זבח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prec,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4</w:t>
      </w:r>
      <w:r>
        <w:rPr>
          <w:rFonts w:cs="Times New Roman"/>
          <w:sz w:val="24"/>
          <w:szCs w:val="24"/>
          <w:vertAlign w:val="subscript"/>
        </w:rPr>
        <w:t>19</w:t>
      </w:r>
      <w:r>
        <w:rPr>
          <w:rFonts w:cs="Times New Roman"/>
          <w:sz w:val="24"/>
          <w:szCs w:val="24"/>
        </w:rPr>
        <w:t xml:space="preserve"> 8</w:t>
      </w:r>
      <w:r>
        <w:rPr>
          <w:rFonts w:cs="Times New Roman"/>
          <w:sz w:val="24"/>
          <w:szCs w:val="24"/>
          <w:vertAlign w:val="subscript"/>
        </w:rPr>
        <w:t>13[12]</w:t>
      </w:r>
    </w:p>
  </w:footnote>
  <w:footnote w:id="1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understood as metonymy of “priesthood</w:t>
      </w:r>
      <w:r>
        <w:rPr>
          <w:rFonts w:cs="David"/>
          <w:sz w:val="24"/>
          <w:szCs w:val="24"/>
        </w:rPr>
        <w:t>”</w:t>
      </w:r>
    </w:p>
  </w:footnote>
  <w:footnote w:id="1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(one who) wears the ephod”, </w:t>
      </w:r>
      <w:r>
        <w:rPr>
          <w:rFonts w:cs="Times New Roman"/>
          <w:sz w:val="24"/>
          <w:szCs w:val="24"/>
        </w:rPr>
        <w:t xml:space="preserve">parall </w:t>
      </w:r>
      <w:r>
        <w:rPr>
          <w:rFonts w:cs="Estrangelo Edessa;Ink Free"/>
          <w:sz w:val="24"/>
          <w:sz w:val="24"/>
          <w:szCs w:val="24"/>
          <w:rtl w:val="true"/>
          <w:lang w:bidi="syr-TR"/>
        </w:rPr>
        <w:t>ܡܠܟܐ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Estrangelo Edessa;Ink Free"/>
          <w:sz w:val="24"/>
          <w:szCs w:val="24"/>
          <w:rtl w:val="true"/>
        </w:rPr>
        <w:t xml:space="preserve">... </w:t>
      </w:r>
      <w:r>
        <w:rPr>
          <w:rFonts w:cs="Estrangelo Edessa;Ink Free"/>
          <w:sz w:val="24"/>
          <w:sz w:val="24"/>
          <w:szCs w:val="24"/>
          <w:rtl w:val="true"/>
          <w:lang w:bidi="syr-TR"/>
        </w:rPr>
        <w:t>ܫܠܝܛܐ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Estrangelo Edessa;Ink Free"/>
          <w:sz w:val="24"/>
          <w:szCs w:val="24"/>
          <w:rtl w:val="true"/>
        </w:rPr>
        <w:t xml:space="preserve">... </w:t>
      </w:r>
      <w:r>
        <w:rPr>
          <w:rFonts w:cs="Estrangelo Edessa;Ink Free"/>
          <w:sz w:val="24"/>
          <w:sz w:val="24"/>
          <w:szCs w:val="24"/>
          <w:rtl w:val="true"/>
          <w:lang w:bidi="syr-TR"/>
        </w:rPr>
        <w:t>ܣܐܡ</w:t>
      </w:r>
      <w:r>
        <w:rPr>
          <w:rFonts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;Ink Free"/>
          <w:sz w:val="24"/>
          <w:sz w:val="24"/>
          <w:szCs w:val="24"/>
          <w:rtl w:val="true"/>
          <w:lang w:bidi="syr-TR"/>
        </w:rPr>
        <w:t>ܒܣ̈ܡܐ</w:t>
      </w:r>
      <w:r>
        <w:rPr>
          <w:rFonts w:cs="David"/>
          <w:sz w:val="24"/>
          <w:szCs w:val="24"/>
        </w:rPr>
        <w:t>; cf 1Sam 2</w:t>
      </w:r>
      <w:r>
        <w:rPr>
          <w:rFonts w:cs="David"/>
          <w:sz w:val="24"/>
          <w:szCs w:val="24"/>
          <w:vertAlign w:val="subscript"/>
        </w:rPr>
        <w:t>28</w:t>
      </w:r>
      <w:r>
        <w:rPr>
          <w:rFonts w:cs="David"/>
          <w:sz w:val="24"/>
          <w:szCs w:val="24"/>
        </w:rPr>
        <w:t xml:space="preserve"> (cf n</w:t>
      </w:r>
      <w:r>
        <w:rPr>
          <w:rFonts w:cs="David"/>
          <w:sz w:val="24"/>
          <w:szCs w:val="24"/>
        </w:rPr>
        <w:fldChar w:fldCharType="begin"/>
      </w:r>
      <w:r>
        <w:rPr>
          <w:sz w:val="24"/>
          <w:szCs w:val="24"/>
          <w:rFonts w:cs="David"/>
        </w:rPr>
        <w:instrText xml:space="preserve"> REF _RefF0 \h </w:instrText>
      </w:r>
      <w:r>
        <w:rPr>
          <w:sz w:val="24"/>
          <w:szCs w:val="24"/>
          <w:rFonts w:cs="David"/>
        </w:rPr>
        <w:fldChar w:fldCharType="separate"/>
      </w:r>
      <w:r>
        <w:rPr>
          <w:sz w:val="24"/>
          <w:szCs w:val="24"/>
          <w:rFonts w:cs="David"/>
        </w:rPr>
        <w:t>Error: Reference source not found</w:t>
      </w:r>
      <w:r>
        <w:rPr>
          <w:sz w:val="24"/>
          <w:szCs w:val="24"/>
          <w:rFonts w:cs="David"/>
        </w:rPr>
        <w:fldChar w:fldCharType="end"/>
      </w:r>
      <w:r>
        <w:rPr>
          <w:rFonts w:cs="David"/>
          <w:sz w:val="24"/>
          <w:szCs w:val="24"/>
        </w:rPr>
        <w:t>)</w:t>
      </w:r>
    </w:p>
  </w:footnote>
  <w:footnote w:id="1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Urim/Thumim” (lit. “clear [things]”),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Num 27</w:t>
      </w:r>
      <w:r>
        <w:rPr>
          <w:rFonts w:cs="Times New Roman"/>
          <w:sz w:val="24"/>
          <w:szCs w:val="24"/>
          <w:vertAlign w:val="subscript"/>
        </w:rPr>
        <w:t>21</w:t>
      </w:r>
      <w:r>
        <w:rPr>
          <w:rFonts w:cs="Times New Roman"/>
          <w:sz w:val="24"/>
          <w:szCs w:val="24"/>
        </w:rPr>
        <w:t xml:space="preserve"> 1Sam 14</w:t>
      </w:r>
      <w:r>
        <w:rPr>
          <w:rFonts w:cs="Times New Roman"/>
          <w:sz w:val="24"/>
          <w:szCs w:val="24"/>
          <w:vertAlign w:val="subscript"/>
        </w:rPr>
        <w:t>41</w:t>
      </w:r>
      <w:r>
        <w:rPr>
          <w:rFonts w:cs="Times New Roman"/>
          <w:sz w:val="24"/>
          <w:szCs w:val="24"/>
        </w:rPr>
        <w:t xml:space="preserve"> 28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sz w:val="24"/>
          <w:szCs w:val="24"/>
        </w:rPr>
        <w:t xml:space="preserve">; contrast derogatory transl of </w:t>
      </w:r>
      <w:r>
        <w:rPr>
          <w:rFonts w:cs="Guttman Keren"/>
          <w:sz w:val="24"/>
          <w:sz w:val="24"/>
          <w:szCs w:val="24"/>
          <w:rtl w:val="true"/>
        </w:rPr>
        <w:t>תרפים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Zech 10</w:t>
      </w:r>
      <w:r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 xml:space="preserve"> Ezek 21</w:t>
      </w:r>
      <w:r>
        <w:rPr>
          <w:rFonts w:cs="Times New Roman"/>
          <w:sz w:val="24"/>
          <w:szCs w:val="24"/>
          <w:vertAlign w:val="subscript"/>
        </w:rPr>
        <w:t>26</w:t>
      </w:r>
      <w:r>
        <w:rPr>
          <w:rFonts w:cs="Times New Roman"/>
          <w:sz w:val="24"/>
          <w:szCs w:val="24"/>
        </w:rPr>
        <w:t xml:space="preserve"> Gen 31</w:t>
      </w:r>
      <w:r>
        <w:rPr>
          <w:rFonts w:cs="Times New Roman"/>
          <w:sz w:val="24"/>
          <w:szCs w:val="24"/>
          <w:vertAlign w:val="subscript"/>
        </w:rPr>
        <w:t>19</w:t>
      </w:r>
      <w:r>
        <w:rPr>
          <w:rFonts w:cs="Times New Roman"/>
          <w:sz w:val="24"/>
          <w:szCs w:val="24"/>
        </w:rPr>
        <w:t xml:space="preserve"> et al</w:t>
      </w:r>
    </w:p>
  </w:footnote>
  <w:footnote w:id="1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one who offers incense”, cf 1Sam 2</w:t>
      </w:r>
      <w:r>
        <w:rPr>
          <w:sz w:val="24"/>
          <w:szCs w:val="24"/>
          <w:vertAlign w:val="subscript"/>
        </w:rPr>
        <w:t>28</w:t>
      </w:r>
      <w:r>
        <w:rPr>
          <w:sz w:val="24"/>
          <w:szCs w:val="24"/>
        </w:rPr>
        <w:t xml:space="preserve">; parall </w:t>
      </w:r>
      <w:r>
        <w:rPr>
          <w:rFonts w:cs="Estrangelo Edessa;Ink Free"/>
          <w:sz w:val="24"/>
          <w:sz w:val="24"/>
          <w:szCs w:val="24"/>
          <w:rtl w:val="true"/>
          <w:lang w:bidi="syr-TR"/>
        </w:rPr>
        <w:t>ܠܒܫ</w:t>
      </w:r>
      <w:r>
        <w:rPr>
          <w:rFonts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;Ink Free"/>
          <w:sz w:val="24"/>
          <w:sz w:val="24"/>
          <w:szCs w:val="24"/>
          <w:rtl w:val="true"/>
          <w:lang w:bidi="syr-TR"/>
        </w:rPr>
        <w:t>ܐܦܘܕܐ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(cf n</w:t>
      </w:r>
      <w:r>
        <w:rPr>
          <w:rFonts w:cs="David"/>
          <w:sz w:val="24"/>
          <w:szCs w:val="24"/>
        </w:rPr>
        <w:fldChar w:fldCharType="begin"/>
      </w:r>
      <w:r>
        <w:rPr>
          <w:sz w:val="24"/>
          <w:szCs w:val="24"/>
          <w:rFonts w:cs="David"/>
        </w:rPr>
        <w:instrText xml:space="preserve"> REF _RefF0 \h </w:instrText>
      </w:r>
      <w:r>
        <w:rPr>
          <w:sz w:val="24"/>
          <w:szCs w:val="24"/>
          <w:rFonts w:cs="David"/>
        </w:rPr>
        <w:fldChar w:fldCharType="separate"/>
      </w:r>
      <w:r>
        <w:rPr>
          <w:sz w:val="24"/>
          <w:szCs w:val="24"/>
          <w:rFonts w:cs="David"/>
        </w:rPr>
        <w:t>Error: Reference source not found</w:t>
      </w:r>
      <w:r>
        <w:rPr>
          <w:sz w:val="24"/>
          <w:szCs w:val="24"/>
          <w:rFonts w:cs="David"/>
        </w:rPr>
        <w:fldChar w:fldCharType="end"/>
      </w:r>
      <w:r>
        <w:rPr>
          <w:rFonts w:cs="David"/>
          <w:sz w:val="24"/>
          <w:szCs w:val="24"/>
        </w:rPr>
        <w:t>)</w:t>
      </w:r>
    </w:p>
  </w:footnote>
  <w:footnote w:id="1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one who (fore)</w:t>
      </w:r>
      <w:r>
        <w:rPr>
          <w:rFonts w:cs="Estrangelo Edessa;Ink Free"/>
          <w:sz w:val="24"/>
          <w:szCs w:val="24"/>
          <w:lang w:bidi="syr-TR"/>
        </w:rPr>
        <w:t>tells</w:t>
      </w:r>
      <w:r>
        <w:rPr>
          <w:sz w:val="24"/>
          <w:szCs w:val="24"/>
        </w:rPr>
        <w:t>”, mantic term, cf 4</w:t>
      </w:r>
      <w:r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מקלו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יגיד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=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חוטריה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מחוי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ליה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Gen 41</w:t>
      </w:r>
      <w:r>
        <w:rPr>
          <w:rFonts w:cs="Times New Roman"/>
          <w:sz w:val="24"/>
          <w:szCs w:val="24"/>
          <w:vertAlign w:val="subscript"/>
        </w:rPr>
        <w:t>24</w:t>
      </w:r>
      <w:r>
        <w:rPr>
          <w:rFonts w:cs="Times New Roman"/>
          <w:sz w:val="24"/>
          <w:szCs w:val="24"/>
        </w:rPr>
        <w:t xml:space="preserve">; parall </w:t>
      </w:r>
      <w:r>
        <w:rPr>
          <w:rFonts w:cs="Guttman Keren"/>
          <w:sz w:val="24"/>
          <w:sz w:val="24"/>
          <w:szCs w:val="24"/>
          <w:rtl w:val="true"/>
        </w:rPr>
        <w:t>מלך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שׂר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(cf nn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  <w:r>
        <w:rPr>
          <w:rFonts w:cs="Guttman Keren"/>
          <w:sz w:val="24"/>
          <w:szCs w:val="24"/>
        </w:rPr>
        <w:t>,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  <w:r>
        <w:rPr>
          <w:rFonts w:cs="Guttman Keren"/>
          <w:sz w:val="24"/>
          <w:szCs w:val="24"/>
        </w:rPr>
        <w:t>)</w:t>
      </w:r>
    </w:p>
  </w:footnote>
  <w:footnote w:id="1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|h</w:t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“one who solves”, </w:t>
      </w:r>
      <w:r>
        <w:rPr>
          <w:rFonts w:cs="Guttman Keren" w:ascii="HUBPSigla" w:hAnsi="HUBPSigla"/>
          <w:sz w:val="24"/>
          <w:szCs w:val="24"/>
        </w:rPr>
        <w:t>9h</w:t>
      </w:r>
      <w:r>
        <w:rPr>
          <w:rFonts w:cs="Times New Roman"/>
          <w:sz w:val="24"/>
          <w:szCs w:val="24"/>
        </w:rPr>
        <w:t xml:space="preserve"> “solution”; p etym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פתר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~</w:t>
      </w:r>
      <w:r>
        <w:rPr>
          <w:rFonts w:cs="Guttman Keren"/>
          <w:sz w:val="24"/>
          <w:szCs w:val="24"/>
        </w:rPr>
        <w:t xml:space="preserve"> Gen 40</w:t>
      </w:r>
      <w:r>
        <w:rPr>
          <w:rFonts w:cs="Guttman Keren"/>
          <w:sz w:val="24"/>
          <w:szCs w:val="24"/>
          <w:vertAlign w:val="subscript"/>
        </w:rPr>
        <w:t>8</w:t>
      </w:r>
      <w:r>
        <w:rPr>
          <w:rFonts w:cs="Guttman Keren"/>
          <w:sz w:val="24"/>
          <w:szCs w:val="24"/>
        </w:rPr>
        <w:t xml:space="preserve"> 41</w:t>
      </w:r>
      <w:r>
        <w:rPr>
          <w:rFonts w:cs="Guttman Keren"/>
          <w:sz w:val="24"/>
          <w:szCs w:val="24"/>
          <w:vertAlign w:val="subscript"/>
        </w:rPr>
        <w:t>8</w:t>
      </w:r>
    </w:p>
  </w:footnote>
  <w:footnote w:id="1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they will sing praise”, cf Jer 31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ורננו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ונהרו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טוב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יהוה</w:t>
      </w:r>
    </w:p>
  </w:footnote>
  <w:footnote w:id="2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they will know”, reverse case app 4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; </w:t>
      </w:r>
      <w:r>
        <w:rPr>
          <w:rFonts w:cs="Guttman Keren"/>
          <w:sz w:val="24"/>
          <w:sz w:val="24"/>
          <w:szCs w:val="24"/>
          <w:rtl w:val="true"/>
        </w:rPr>
        <w:t>ידע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את</w:t>
      </w:r>
      <w:r>
        <w:rPr>
          <w:rFonts w:cs="Guttman Keren"/>
          <w:sz w:val="24"/>
          <w:szCs w:val="24"/>
          <w:rtl w:val="true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יהוה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אלהים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common in Hos (cf 2</w:t>
      </w:r>
      <w:r>
        <w:rPr>
          <w:rFonts w:cs="Guttman Keren"/>
          <w:sz w:val="24"/>
          <w:szCs w:val="24"/>
          <w:vertAlign w:val="subscript"/>
        </w:rPr>
        <w:t>22</w:t>
      </w:r>
      <w:r>
        <w:rPr>
          <w:rFonts w:cs="Guttman Keren"/>
          <w:sz w:val="24"/>
          <w:szCs w:val="24"/>
        </w:rPr>
        <w:t xml:space="preserve"> 5</w:t>
      </w:r>
      <w:r>
        <w:rPr>
          <w:rFonts w:cs="Guttman Keren"/>
          <w:sz w:val="24"/>
          <w:szCs w:val="24"/>
          <w:vertAlign w:val="subscript"/>
        </w:rPr>
        <w:t>4</w:t>
      </w:r>
      <w:r>
        <w:rPr>
          <w:rFonts w:cs="Guttman Keren"/>
          <w:sz w:val="24"/>
          <w:szCs w:val="24"/>
        </w:rPr>
        <w:t xml:space="preserve"> 6</w:t>
      </w:r>
      <w:r>
        <w:rPr>
          <w:rFonts w:cs="Guttman Keren"/>
          <w:sz w:val="24"/>
          <w:szCs w:val="24"/>
          <w:vertAlign w:val="subscript"/>
        </w:rPr>
        <w:t>3,6</w:t>
      </w:r>
      <w:r>
        <w:rPr>
          <w:rFonts w:cs="Guttman Keren"/>
          <w:sz w:val="24"/>
          <w:szCs w:val="24"/>
        </w:rPr>
        <w:t xml:space="preserve">); hardly inner-Syr </w:t>
      </w:r>
      <w:r>
        <w:rPr>
          <w:rFonts w:cs="Guttman Kere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;Ink Free"/>
          <w:sz w:val="24"/>
          <w:sz w:val="24"/>
          <w:szCs w:val="24"/>
          <w:rtl w:val="true"/>
          <w:lang w:bidi="syr-TR"/>
        </w:rPr>
        <w:t>ܘܢܙܘܥܘܢ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(=</w:t>
      </w:r>
      <w:r>
        <w:rPr>
          <w:rFonts w:cs="David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2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they yearn for”, slot, 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v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2</w:t>
      </w:r>
      <w:r>
        <w:rPr>
          <w:rFonts w:cs="Times New Roma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</w:rPr>
        <w:t xml:space="preserve"> Jer 30</w:t>
      </w:r>
      <w:r>
        <w:rPr>
          <w:rFonts w:cs="Times New Roman"/>
          <w:sz w:val="24"/>
          <w:szCs w:val="24"/>
          <w:vertAlign w:val="subscript"/>
        </w:rPr>
        <w:t>21</w:t>
      </w:r>
      <w:r>
        <w:rPr>
          <w:rFonts w:cs="Times New Roman"/>
          <w:sz w:val="24"/>
          <w:szCs w:val="24"/>
        </w:rPr>
        <w:t xml:space="preserve">; p parall </w:t>
      </w:r>
      <w:r>
        <w:rPr>
          <w:rFonts w:cs="Guttman Keren"/>
          <w:sz w:val="24"/>
          <w:sz w:val="24"/>
          <w:szCs w:val="24"/>
          <w:rtl w:val="true"/>
        </w:rPr>
        <w:t>ובקשו</w:t>
      </w:r>
      <w:r>
        <w:rPr>
          <w:rFonts w:cs="Estrangelo Edessa;Ink Free"/>
          <w:sz w:val="24"/>
          <w:szCs w:val="24"/>
          <w:lang w:bidi="syr-TR"/>
        </w:rPr>
        <w:t>; cf app Mic 7</w:t>
      </w:r>
      <w:r>
        <w:rPr>
          <w:rFonts w:cs="Estrangelo Edessa;Ink Free"/>
          <w:sz w:val="24"/>
          <w:szCs w:val="24"/>
          <w:vertAlign w:val="subscript"/>
          <w:lang w:bidi="syr-TR"/>
        </w:rPr>
        <w:t>17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David"/>
        <w:rtl w:val="true"/>
      </w:rPr>
      <w:fldChar w:fldCharType="begin"/>
    </w:r>
    <w:r>
      <w:rPr>
        <w:rtl w:val="true"/>
        <w:rFonts w:cs="David"/>
      </w:rPr>
      <w:instrText xml:space="preserve"> DATE \@"dd\/MM\/yyyy" </w:instrText>
    </w:r>
    <w:r>
      <w:rPr>
        <w:rtl w:val="true"/>
        <w:rFonts w:cs="David"/>
      </w:rPr>
      <w:fldChar w:fldCharType="separate"/>
    </w:r>
    <w:r>
      <w:rPr>
        <w:rtl w:val="true"/>
        <w:rFonts w:cs="David"/>
      </w:rPr>
      <w:t>10/11/2024</w:t>
    </w:r>
    <w:r>
      <w:rPr>
        <w:rtl w:val="true"/>
        <w:rFonts w:cs="David"/>
      </w:rPr>
      <w:fldChar w:fldCharType="end"/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ג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Miriam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BalloonText">
    <w:name w:val="Balloon Text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2005-11-18T07:57:00Z</dcterms:created>
  <dc:creator>Microsoft Corporation</dc:creator>
  <dc:description/>
  <cp:keywords/>
  <dc:language>en-US</dc:language>
  <cp:lastModifiedBy>Michael Segal</cp:lastModifiedBy>
  <cp:lastPrinted>2010-07-13T16:25:00Z</cp:lastPrinted>
  <dcterms:modified xsi:type="dcterms:W3CDTF">2018-09-04T14:03:00Z</dcterms:modified>
  <cp:revision>101</cp:revision>
  <dc:subject/>
  <dc:title>Hos</dc:title>
</cp:coreProperties>
</file>