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tabs>
          <w:tab w:val="clear" w:pos="720"/>
          <w:tab w:val="left" w:pos="4253" w:leader="none"/>
        </w:tabs>
        <w:spacing w:lineRule="exact" w:line="400"/>
        <w:rPr>
          <w:rFonts w:cs="Guttman Keren;Times New Roman"/>
          <w:sz w:val="28"/>
          <w:szCs w:val="28"/>
        </w:rPr>
      </w:pPr>
      <w:r>
        <w:rPr>
          <w:rFonts w:cs="Guttman Keren;Times New Roman"/>
          <w:i/>
          <w:iCs/>
          <w:sz w:val="28"/>
          <w:szCs w:val="28"/>
        </w:rPr>
        <w:t>Hosea</w:t>
      </w:r>
      <w:r>
        <w:rPr>
          <w:rFonts w:cs="Guttman Keren;Times New Roman"/>
          <w:sz w:val="28"/>
          <w:szCs w:val="28"/>
        </w:rPr>
        <w:t xml:space="preserve"> 1</w:t>
      </w:r>
    </w:p>
    <w:p>
      <w:pPr>
        <w:pStyle w:val="Normal"/>
        <w:bidi w:val="0"/>
        <w:spacing w:lineRule="exact" w:line="400"/>
        <w:jc w:val="left"/>
        <w:rPr>
          <w:rFonts w:cs="Guttman Keren;Times New Roman"/>
          <w:sz w:val="28"/>
          <w:szCs w:val="28"/>
        </w:rPr>
      </w:pPr>
      <w:r>
        <w:rPr>
          <w:rFonts w:cs="Guttman Keren;Times New Roman"/>
          <w:sz w:val="28"/>
          <w:szCs w:val="28"/>
        </w:rPr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b/>
          <w:bCs/>
          <w:sz w:val="28"/>
          <w:szCs w:val="28"/>
        </w:rPr>
        <w:t xml:space="preserve">1 </w:t>
      </w:r>
      <w:r>
        <w:rPr>
          <w:rFonts w:cs="Guttman Keren;Times New Roman"/>
          <w:sz w:val="28"/>
          <w:sz w:val="28"/>
          <w:szCs w:val="28"/>
          <w:rtl w:val="true"/>
        </w:rPr>
        <w:t>יותם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אחז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יחזקיה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מלכי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num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b/>
          <w:bCs/>
          <w:sz w:val="28"/>
          <w:szCs w:val="28"/>
        </w:rPr>
        <w:t>2</w:t>
      </w:r>
      <w:r>
        <w:rPr>
          <w:rFonts w:cs="Guttman Keren;Times New Roman"/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דִּבֶּר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λόγου</w:t>
      </w:r>
      <w:r>
        <w:rPr>
          <w:rStyle w:val="FootnoteCharacters"/>
          <w:rStyle w:val="FootnoteAnchor"/>
          <w:sz w:val="28"/>
          <w:szCs w:val="28"/>
        </w:rPr>
        <w:footnoteReference w:id="3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[T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ב</w:t>
      </w:r>
      <w:r>
        <w:rPr>
          <w:rFonts w:cs="Guttman Keren;Times New Roman"/>
          <w:sz w:val="28"/>
          <w:szCs w:val="28"/>
          <w:rtl w:val="true"/>
        </w:rPr>
        <w:t>(</w:t>
      </w:r>
      <w:r>
        <w:rPr>
          <w:rFonts w:cs="Guttman Keren;Times New Roman"/>
          <w:sz w:val="28"/>
          <w:sz w:val="28"/>
          <w:szCs w:val="28"/>
          <w:rtl w:val="true"/>
        </w:rPr>
        <w:t>הושע</w:t>
      </w:r>
      <w:r>
        <w:rPr>
          <w:rFonts w:cs="Guttman Keren;Times New Roma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πρός</w:t>
      </w:r>
      <w:r>
        <w:rPr>
          <w:rStyle w:val="FootnoteCharacters"/>
          <w:rStyle w:val="FootnoteAnchor"/>
          <w:sz w:val="28"/>
          <w:szCs w:val="28"/>
        </w:rPr>
        <w:footnoteReference w:id="4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 w:ascii="HUBPSigla" w:hAnsi="HUBPSigla"/>
          <w:sz w:val="28"/>
          <w:szCs w:val="28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ܕܗܘܐ</w:t>
      </w:r>
      <w:r>
        <w:rPr>
          <w:rFonts w:eastAsia="Times New Roman" w:cs="Times New Roman"/>
          <w:sz w:val="28"/>
          <w:sz w:val="28"/>
          <w:szCs w:val="28"/>
          <w:rtl w:val="true"/>
          <w:lang w:val="el-GR" w:bidi="syr-TR"/>
        </w:rPr>
        <w:t xml:space="preserve"> </w:t>
      </w:r>
      <w:r>
        <w:rPr>
          <w:rFonts w:cs="Estrangelo Edessa"/>
          <w:sz w:val="28"/>
          <w:sz w:val="28"/>
          <w:szCs w:val="28"/>
          <w:rtl w:val="true"/>
          <w:lang w:val="el-GR" w:bidi="syr-TR"/>
        </w:rPr>
        <w:t>ܥܠ</w:t>
      </w:r>
      <w:r>
        <w:rPr>
          <w:rStyle w:val="FootnoteCharacters"/>
          <w:rStyle w:val="FootnoteAnchor"/>
          <w:rFonts w:cs="Times New Roman"/>
          <w:sz w:val="28"/>
          <w:sz w:val="28"/>
          <w:szCs w:val="28"/>
        </w:rPr>
        <w:footnoteReference w:id="5"/>
      </w:r>
    </w:p>
    <w:p>
      <w:pPr>
        <w:pStyle w:val="Normal"/>
        <w:bidi w:val="0"/>
        <w:spacing w:lineRule="exact" w:line="400"/>
        <w:jc w:val="left"/>
        <w:rPr>
          <w:rFonts w:cs="Estrangelo Edessa"/>
          <w:sz w:val="28"/>
          <w:szCs w:val="28"/>
          <w:lang w:bidi="syr-TR"/>
        </w:rPr>
      </w:pPr>
      <w:r>
        <w:rPr>
          <w:rFonts w:cs="Guttman Keren;Times New Roman"/>
          <w:sz w:val="28"/>
          <w:sz w:val="28"/>
          <w:szCs w:val="28"/>
          <w:rtl w:val="true"/>
          <w:lang w:val="el-GR"/>
        </w:rPr>
        <w:t>ו</w:t>
      </w:r>
      <w:r>
        <w:rPr>
          <w:rFonts w:cs="Guttman Keren;Times New Roman"/>
          <w:sz w:val="28"/>
          <w:szCs w:val="28"/>
          <w:rtl w:val="true"/>
          <w:lang w:val="el-GR"/>
        </w:rPr>
        <w:t>(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יאמר</w:t>
      </w:r>
      <w:r>
        <w:rPr>
          <w:rFonts w:cs="Guttman Keren;Times New Roman"/>
          <w:sz w:val="28"/>
          <w:szCs w:val="28"/>
          <w:rtl w:val="true"/>
          <w:lang w:val="el-GR"/>
        </w:rPr>
        <w:t>)</w:t>
      </w:r>
      <w:r>
        <w:rPr>
          <w:rFonts w:cs="Estrangelo Edessa"/>
          <w:sz w:val="28"/>
          <w:szCs w:val="28"/>
          <w:lang w:bidi="syr-TR"/>
        </w:rPr>
        <w:t xml:space="preserve">] </w:t>
      </w:r>
      <w:r>
        <w:rPr>
          <w:rFonts w:cs="HUBPSigla" w:ascii="HUBPSigla" w:hAnsi="HUBPSigla"/>
          <w:sz w:val="28"/>
          <w:szCs w:val="28"/>
        </w:rPr>
        <w:t>]h[</w:t>
      </w:r>
      <w:r>
        <w:rPr>
          <w:rFonts w:cs="Estrangelo Edessa"/>
          <w:sz w:val="28"/>
          <w:szCs w:val="28"/>
          <w:lang w:bidi="syr-TR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rFonts w:cs="Estrangelo Edessa"/>
          <w:sz w:val="28"/>
          <w:szCs w:val="28"/>
          <w:lang w:bidi="syr-TR"/>
        </w:rPr>
      </w:pPr>
      <w:r>
        <w:rPr>
          <w:rFonts w:cs="Guttman Keren;Times New Roman"/>
          <w:sz w:val="28"/>
          <w:sz w:val="28"/>
          <w:szCs w:val="28"/>
          <w:rtl w:val="true"/>
          <w:lang w:val="el-GR"/>
        </w:rPr>
        <w:t>לֵךְ</w:t>
      </w:r>
      <w:r>
        <w:rPr>
          <w:rFonts w:cs="Estrangelo Edessa"/>
          <w:sz w:val="28"/>
          <w:szCs w:val="28"/>
          <w:lang w:bidi="syr-TR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Estrangelo Edessa"/>
          <w:sz w:val="28"/>
          <w:szCs w:val="28"/>
          <w:lang w:bidi="syr-TR"/>
        </w:rPr>
        <w:t xml:space="preserve"> &gt;</w:t>
      </w:r>
      <w:r>
        <w:rPr>
          <w:rFonts w:cs="Estrangelo Edessa"/>
          <w:sz w:val="28"/>
          <w:szCs w:val="28"/>
          <w:highlight w:val="lightGray"/>
          <w:vertAlign w:val="subscript"/>
          <w:lang w:bidi="syr-TR"/>
        </w:rPr>
        <w:t>II</w:t>
      </w:r>
    </w:p>
    <w:p>
      <w:pPr>
        <w:pStyle w:val="Normal"/>
        <w:bidi w:val="0"/>
        <w:spacing w:lineRule="exact" w:line="400"/>
        <w:jc w:val="left"/>
        <w:rPr>
          <w:rFonts w:cs="David"/>
          <w:sz w:val="28"/>
          <w:szCs w:val="28"/>
          <w:lang w:bidi="ar-SY"/>
        </w:rPr>
      </w:pPr>
      <w:r>
        <w:rPr>
          <w:b/>
          <w:bCs/>
          <w:sz w:val="28"/>
          <w:szCs w:val="28"/>
        </w:rPr>
        <w:t xml:space="preserve">3 </w:t>
      </w:r>
      <w:r>
        <w:rPr>
          <w:rFonts w:cs="Guttman Keren;Times New Roman"/>
          <w:sz w:val="28"/>
          <w:sz w:val="28"/>
          <w:szCs w:val="28"/>
          <w:rtl w:val="true"/>
        </w:rPr>
        <w:t>ויקח</w:t>
      </w:r>
      <w:r>
        <w:rPr>
          <w:sz w:val="28"/>
          <w:szCs w:val="28"/>
          <w:rtl w:val="true"/>
        </w:rPr>
        <w:t xml:space="preserve">] </w:t>
      </w:r>
      <w:r>
        <w:rPr>
          <w:rFonts w:cs="HUBPSigla" w:ascii="HUBPSigla" w:hAnsi="HUBPSigla"/>
          <w:sz w:val="28"/>
          <w:szCs w:val="28"/>
          <w:rtl w:val="true"/>
        </w:rPr>
        <w:t>[</w:t>
      </w:r>
      <w:r>
        <w:rPr>
          <w:rFonts w:cs="Times New Roman"/>
          <w:sz w:val="28"/>
          <w:szCs w:val="28"/>
          <w:rtl w:val="true"/>
        </w:rPr>
        <w:t xml:space="preserve"> + </w:t>
      </w:r>
      <w:r>
        <w:rPr>
          <w:rFonts w:cs="Estrangelo Edessa"/>
          <w:sz w:val="28"/>
          <w:sz w:val="28"/>
          <w:szCs w:val="28"/>
          <w:rtl w:val="true"/>
          <w:lang w:bidi="syr-TR"/>
        </w:rPr>
        <w:t>ܠܗ</w:t>
      </w:r>
      <w:r>
        <w:rPr>
          <w:rStyle w:val="FootnoteCharacters"/>
          <w:rStyle w:val="FootnoteAnchor"/>
          <w:sz w:val="28"/>
          <w:sz w:val="28"/>
          <w:szCs w:val="28"/>
        </w:rPr>
        <w:footnoteReference w:id="6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לו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]h*-</w:t>
      </w:r>
      <w:r>
        <w:rPr>
          <w:sz w:val="28"/>
          <w:szCs w:val="28"/>
        </w:rPr>
        <w:t xml:space="preserve"> &gt;</w:t>
      </w:r>
      <w:r>
        <w:rPr>
          <w:sz w:val="28"/>
          <w:szCs w:val="28"/>
          <w:highlight w:val="lightGray"/>
          <w:vertAlign w:val="subscript"/>
        </w:rPr>
        <w:t>II III IV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7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cs="Guttman Keren;Times New Roman"/>
          <w:sz w:val="28"/>
          <w:sz w:val="28"/>
          <w:szCs w:val="28"/>
          <w:rtl w:val="true"/>
        </w:rPr>
        <w:t>יהוא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Ιουδα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Cs w:val="28"/>
        </w:rPr>
        <w:t>(</w:t>
      </w:r>
      <w:r>
        <w:rPr>
          <w:rFonts w:cs="Guttman Keren;Times New Roman"/>
          <w:sz w:val="28"/>
          <w:sz w:val="28"/>
          <w:szCs w:val="28"/>
          <w:rtl w:val="true"/>
        </w:rPr>
        <w:t>ו</w:t>
      </w:r>
      <w:r>
        <w:rPr>
          <w:rFonts w:cs="Guttman Keren;Times New Roman"/>
          <w:sz w:val="28"/>
          <w:szCs w:val="28"/>
          <w:lang w:bidi="ar-SY"/>
        </w:rPr>
        <w:t>)</w:t>
      </w:r>
      <w:r>
        <w:rPr>
          <w:rFonts w:cs="Guttman Keren;Times New Roman"/>
          <w:sz w:val="28"/>
          <w:sz w:val="28"/>
          <w:szCs w:val="28"/>
          <w:rtl w:val="true"/>
        </w:rPr>
        <w:t>הִשְׁבַּתִּי</w:t>
      </w:r>
      <w:r>
        <w:rPr>
          <w:rFonts w:cs="Times New Roman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ἀποστρέψω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9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בית</w:t>
      </w:r>
      <w:r>
        <w:rPr>
          <w:rFonts w:cs="Guttman Keren;Times New Roman"/>
          <w:sz w:val="28"/>
          <w:szCs w:val="28"/>
          <w:vertAlign w:val="superscript"/>
        </w:rPr>
        <w:t>2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]h*h</w:t>
      </w:r>
      <w:r>
        <w:rPr>
          <w:rFonts w:cs="Times New Roman" w:ascii="HUBPSigla" w:hAnsi="HUBPSigla"/>
          <w:sz w:val="28"/>
          <w:szCs w:val="28"/>
        </w:rPr>
        <w:t>T</w:t>
      </w:r>
      <w:r>
        <w:rPr>
          <w:rFonts w:cs="HUBPSigla" w:ascii="HUBPSigla" w:hAnsi="HUBPSigla"/>
          <w:sz w:val="28"/>
          <w:szCs w:val="28"/>
        </w:rPr>
        <w:t>-</w:t>
      </w:r>
      <w:r>
        <w:rPr>
          <w:rFonts w:cs="Times New Roman"/>
          <w:sz w:val="28"/>
          <w:szCs w:val="28"/>
        </w:rPr>
        <w:t xml:space="preserve"> + prep</w:t>
      </w:r>
      <w:r>
        <w:rPr>
          <w:rStyle w:val="FootnoteCharacters"/>
          <w:rStyle w:val="FootnoteAnchor"/>
          <w:sz w:val="28"/>
          <w:szCs w:val="28"/>
        </w:rPr>
        <w:footnoteReference w:id="10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והיה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;Times New Roman"/>
          <w:sz w:val="28"/>
          <w:szCs w:val="28"/>
          <w:rtl w:val="true"/>
          <w:lang w:val="el-GR"/>
        </w:rPr>
        <w:t>(</w:t>
      </w:r>
      <w:r>
        <w:rPr>
          <w:rFonts w:cs="Guttman Keren;Times New Roman"/>
          <w:sz w:val="28"/>
          <w:sz w:val="28"/>
          <w:szCs w:val="28"/>
          <w:rtl w:val="true"/>
        </w:rPr>
        <w:t>ביום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ההוא</w:t>
      </w:r>
      <w:r>
        <w:rPr>
          <w:rFonts w:cs="Guttman Keren;Times New Roman"/>
          <w:sz w:val="28"/>
          <w:szCs w:val="28"/>
          <w:rtl w:val="true"/>
        </w:rPr>
        <w:t>)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&gt;</w:t>
      </w:r>
      <w:r>
        <w:rPr>
          <w:rStyle w:val="FootnoteCharacters"/>
          <w:rStyle w:val="FootnoteAnchor"/>
          <w:sz w:val="28"/>
          <w:szCs w:val="28"/>
        </w:rPr>
        <w:footnoteReference w:id="11"/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;Times New Roman"/>
          <w:sz w:val="28"/>
          <w:szCs w:val="28"/>
        </w:rPr>
        <w:t>(</w:t>
      </w:r>
      <w:r>
        <w:rPr>
          <w:rFonts w:cs="Guttman Keren;Times New Roman"/>
          <w:sz w:val="28"/>
          <w:sz w:val="28"/>
          <w:szCs w:val="28"/>
          <w:rtl w:val="true"/>
        </w:rPr>
        <w:t>ו</w:t>
      </w:r>
      <w:r>
        <w:rPr>
          <w:rFonts w:cs="Guttman Keren;Times New Roman"/>
          <w:sz w:val="28"/>
          <w:szCs w:val="28"/>
        </w:rPr>
        <w:t>)</w:t>
      </w:r>
      <w:r>
        <w:rPr>
          <w:rFonts w:cs="Guttman Keren;Times New Roman"/>
          <w:sz w:val="28"/>
          <w:sz w:val="28"/>
          <w:szCs w:val="28"/>
          <w:rtl w:val="true"/>
        </w:rPr>
        <w:t>היה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ההוא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i/>
          <w:iCs/>
          <w:sz w:val="28"/>
          <w:szCs w:val="28"/>
        </w:rPr>
        <w:t>dicit dominus</w:t>
      </w:r>
      <w:r>
        <w:rPr>
          <w:rStyle w:val="FootnoteCharacters"/>
          <w:rStyle w:val="FootnoteAnchor"/>
          <w:sz w:val="28"/>
          <w:szCs w:val="28"/>
        </w:rPr>
        <w:footnoteReference w:id="12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עוד</w:t>
      </w:r>
      <w:r>
        <w:rPr>
          <w:rFonts w:cs="Guttman Keren;Times New Roman"/>
          <w:sz w:val="28"/>
          <w:szCs w:val="28"/>
          <w:vertAlign w:val="superscript"/>
        </w:rPr>
        <w:t>1</w:t>
      </w:r>
      <w:r>
        <w:rPr>
          <w:rFonts w:cs="Guttman Keren;Times New Roman"/>
          <w:sz w:val="28"/>
          <w:szCs w:val="28"/>
        </w:rPr>
        <w:t xml:space="preserve">] </w:t>
      </w:r>
      <w:r>
        <w:rPr>
          <w:rFonts w:cs="Guttman Keren;Times New Roman" w:ascii="HUBPSigla" w:hAnsi="HUBPSigla"/>
          <w:sz w:val="28"/>
          <w:szCs w:val="28"/>
        </w:rPr>
        <w:t>*hT-</w:t>
      </w:r>
      <w:r>
        <w:rPr>
          <w:rFonts w:cs="Times New Roman"/>
          <w:sz w:val="28"/>
          <w:szCs w:val="28"/>
        </w:rPr>
        <w:t xml:space="preserve"> &gt;</w:t>
      </w:r>
      <w:r>
        <w:rPr>
          <w:rFonts w:cs="Times New Roman"/>
          <w:sz w:val="28"/>
          <w:szCs w:val="28"/>
          <w:highlight w:val="lightGray"/>
          <w:vertAlign w:val="subscript"/>
        </w:rPr>
        <w:t>II III IV</w:t>
      </w:r>
    </w:p>
    <w:p>
      <w:pPr>
        <w:pStyle w:val="Normal"/>
        <w:bidi w:val="0"/>
        <w:spacing w:lineRule="exact" w:line="400"/>
        <w:jc w:val="left"/>
        <w:rPr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לו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κύριος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sz w:val="28"/>
          <w:szCs w:val="28"/>
        </w:rPr>
        <w:footnoteReference w:id="13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| </w:t>
      </w:r>
      <w:r>
        <w:rPr>
          <w:rFonts w:cs="HUBPSigla" w:ascii="HUBPSigla" w:hAnsi="HUBPSigla"/>
          <w:sz w:val="28"/>
          <w:szCs w:val="28"/>
        </w:rPr>
        <w:t>[</w:t>
      </w:r>
      <w:r>
        <w:rPr>
          <w:sz w:val="28"/>
          <w:szCs w:val="28"/>
        </w:rPr>
        <w:t xml:space="preserve"> pron</w:t>
      </w:r>
      <w:bookmarkStart w:id="0" w:name="_Ref266260269"/>
      <w:r>
        <w:rPr>
          <w:rStyle w:val="FootnoteCharacters"/>
          <w:rStyle w:val="FootnoteAnchor"/>
          <w:sz w:val="28"/>
          <w:szCs w:val="28"/>
        </w:rPr>
        <w:footnoteReference w:id="14"/>
      </w:r>
      <w:bookmarkEnd w:id="0"/>
    </w:p>
    <w:p>
      <w:pPr>
        <w:pStyle w:val="Normal"/>
        <w:bidi w:val="0"/>
        <w:spacing w:lineRule="exact" w:line="400"/>
        <w:jc w:val="left"/>
        <w:rPr>
          <w:i/>
          <w:i/>
          <w:iCs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נש</w:t>
      </w:r>
      <w:r>
        <w:rPr>
          <w:rFonts w:cs="Guttman Keren;Times New Roman"/>
          <w:sz w:val="28"/>
          <w:sz w:val="28"/>
          <w:szCs w:val="28"/>
          <w:rtl w:val="true"/>
        </w:rPr>
        <w:t>ׂ</w:t>
      </w:r>
      <w:r>
        <w:rPr>
          <w:rFonts w:cs="Guttman Keren;Times New Roman"/>
          <w:sz w:val="28"/>
          <w:sz w:val="28"/>
          <w:szCs w:val="28"/>
          <w:rtl w:val="true"/>
        </w:rPr>
        <w:t>א</w:t>
      </w:r>
      <w:r>
        <w:rPr>
          <w:rFonts w:eastAsia="Times New Roman" w:cs="Times New Roman"/>
          <w:sz w:val="28"/>
          <w:sz w:val="28"/>
          <w:szCs w:val="28"/>
          <w:rtl w:val="true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אש</w:t>
      </w:r>
      <w:r>
        <w:rPr>
          <w:rFonts w:cs="Guttman Keren;Times New Roman"/>
          <w:sz w:val="28"/>
          <w:sz w:val="28"/>
          <w:szCs w:val="28"/>
          <w:rtl w:val="true"/>
        </w:rPr>
        <w:t>ׂ</w:t>
      </w:r>
      <w:r>
        <w:rPr>
          <w:rFonts w:cs="Guttman Keren;Times New Roman"/>
          <w:sz w:val="28"/>
          <w:sz w:val="28"/>
          <w:szCs w:val="28"/>
          <w:rtl w:val="true"/>
        </w:rPr>
        <w:t>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ἀντιτασσόμενος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ἀντιτάξομαι</w:t>
      </w:r>
      <w:r>
        <w:rPr>
          <w:rStyle w:val="FootnoteCharacters"/>
          <w:rStyle w:val="FootnoteAnchor"/>
          <w:sz w:val="28"/>
          <w:szCs w:val="28"/>
        </w:rPr>
        <w:footnoteReference w:id="15"/>
      </w:r>
      <w:r>
        <w:rPr>
          <w:sz w:val="28"/>
          <w:szCs w:val="28"/>
        </w:rPr>
        <w:t xml:space="preserve"> | </w:t>
      </w:r>
      <w:r>
        <w:rPr>
          <w:rFonts w:cs="HUBPSigla" w:ascii="HUBPSigla" w:hAnsi="HUBPSigla"/>
          <w:sz w:val="28"/>
          <w:szCs w:val="28"/>
        </w:rPr>
        <w:t>*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oblivione obliviscar</w:t>
      </w:r>
      <w:r>
        <w:rPr>
          <w:rStyle w:val="FootnoteCharacters"/>
          <w:rStyle w:val="FootnoteAnchor"/>
          <w:sz w:val="28"/>
          <w:szCs w:val="28"/>
        </w:rPr>
        <w:footnoteReference w:id="16"/>
      </w:r>
      <w:r>
        <w:rPr>
          <w:i/>
          <w:iCs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  <w:lang w:eastAsia="zh-CN"/>
        </w:rPr>
        <w:t>+</w:t>
      </w:r>
      <w:r>
        <w:rPr>
          <w:i/>
          <w:iCs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~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בית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υἱούς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7"/>
      </w:r>
    </w:p>
    <w:p>
      <w:pPr>
        <w:pStyle w:val="Normal"/>
        <w:bidi w:val="0"/>
        <w:spacing w:lineRule="exact" w:line="400"/>
        <w:jc w:val="left"/>
        <w:rPr>
          <w:rFonts w:cs="Guttman Keren;Times New Roman"/>
          <w:b/>
          <w:b/>
          <w:bCs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  <w:lang w:val="el-GR"/>
        </w:rPr>
        <w:t>י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הודה</w:t>
      </w:r>
      <w:r>
        <w:rPr>
          <w:rFonts w:cs="Guttman Keren;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rFonts w:cs="Guttman Keren;Times New Roman"/>
          <w:sz w:val="28"/>
          <w:szCs w:val="28"/>
        </w:rPr>
        <w:t xml:space="preserve"> &gt;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;Times New Roman"/>
          <w:sz w:val="28"/>
          <w:sz w:val="28"/>
          <w:szCs w:val="28"/>
          <w:rtl w:val="true"/>
        </w:rPr>
        <w:t>ולא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][</w:t>
      </w:r>
      <w:r>
        <w:rPr>
          <w:sz w:val="28"/>
          <w:szCs w:val="28"/>
        </w:rPr>
        <w:t xml:space="preserve"> rep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Cs w:val="28"/>
        </w:rPr>
        <w:t>(</w:t>
      </w:r>
      <w:r>
        <w:rPr>
          <w:rFonts w:cs="Guttman Keren;Times New Roman"/>
          <w:sz w:val="28"/>
          <w:sz w:val="28"/>
          <w:szCs w:val="28"/>
          <w:rtl w:val="true"/>
        </w:rPr>
        <w:t>ו</w:t>
      </w:r>
      <w:r>
        <w:rPr>
          <w:rFonts w:cs="Guttman Keren;Times New Roman"/>
          <w:sz w:val="28"/>
          <w:szCs w:val="28"/>
        </w:rPr>
        <w:t>)</w:t>
      </w:r>
      <w:r>
        <w:rPr>
          <w:rFonts w:cs="Guttman Keren;Times New Roman"/>
          <w:sz w:val="28"/>
          <w:sz w:val="28"/>
          <w:szCs w:val="28"/>
          <w:rtl w:val="true"/>
        </w:rPr>
        <w:t>במלחמה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</w:rPr>
        <w:t>(</w:t>
      </w:r>
      <w:r>
        <w:rPr>
          <w:rFonts w:cs="Times New Roman" w:ascii="GFS Porson" w:hAnsi="GFS Porson"/>
          <w:sz w:val="28"/>
          <w:szCs w:val="28"/>
          <w:lang w:val="el-GR"/>
        </w:rPr>
        <w:t>οὐδὲ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) </w:t>
      </w:r>
      <w:r>
        <w:rPr>
          <w:rFonts w:cs="Times New Roman" w:ascii="GFS Porson" w:hAnsi="GFS Porson"/>
          <w:sz w:val="28"/>
          <w:szCs w:val="28"/>
          <w:lang w:val="el-GR"/>
        </w:rPr>
        <w:t>ἐν</w:t>
      </w:r>
      <w:r>
        <w:rPr>
          <w:rFonts w:cs="Times New Roman" w:ascii="GFS Porson" w:hAnsi="GFS Porson"/>
          <w:sz w:val="28"/>
          <w:szCs w:val="28"/>
          <w:lang w:val="de-DE"/>
        </w:rPr>
        <w:t xml:space="preserve"> </w:t>
      </w:r>
      <w:r>
        <w:rPr>
          <w:rFonts w:cs="Times New Roman" w:ascii="GFS Porson" w:hAnsi="GFS Porson"/>
          <w:sz w:val="28"/>
          <w:szCs w:val="28"/>
          <w:lang w:val="el-GR"/>
        </w:rPr>
        <w:t>ἅρμασιν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8"/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בסוסים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]*[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&amp;</w:t>
      </w:r>
      <w:r>
        <w:rPr>
          <w:rFonts w:cs="Times New Roman"/>
          <w:sz w:val="28"/>
          <w:szCs w:val="28"/>
          <w:highlight w:val="lightGray"/>
          <w:vertAlign w:val="subscript"/>
        </w:rPr>
        <w:t>III IV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ותהר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]-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ἔτι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19"/>
      </w:r>
      <w:r>
        <w:rPr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[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</w:rPr>
        <w:t>ותלד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GFS Porson" w:ascii="GFS Porson" w:hAnsi="GFS Porson"/>
          <w:color w:val="000000"/>
          <w:sz w:val="28"/>
          <w:szCs w:val="28"/>
          <w:shd w:fill="FFFFFF" w:val="clear"/>
        </w:rPr>
        <w:t>αὐτῷ</w:t>
      </w:r>
      <w:r>
        <w:rPr>
          <w:rFonts w:cs="Times New Roman"/>
          <w:sz w:val="28"/>
          <w:szCs w:val="28"/>
          <w:highlight w:val="lightGray"/>
          <w:vertAlign w:val="subscript"/>
        </w:rPr>
        <w:t>IV</w:t>
      </w:r>
      <w:r>
        <w:rPr>
          <w:rStyle w:val="FootnoteCharacters"/>
          <w:rStyle w:val="FootnoteAnchor"/>
          <w:sz w:val="28"/>
          <w:szCs w:val="28"/>
        </w:rPr>
        <w:footnoteReference w:id="20"/>
      </w:r>
      <w:r>
        <w:rPr>
          <w:rFonts w:cs="Times New Roman"/>
          <w:sz w:val="28"/>
          <w:szCs w:val="28"/>
        </w:rPr>
        <w:t xml:space="preserve"> = </w:t>
      </w:r>
      <w:r>
        <w:rPr>
          <w:rFonts w:cs="HUBPSigla" w:ascii="HUBPSigla" w:hAnsi="HUBPSigla"/>
          <w:sz w:val="28"/>
          <w:szCs w:val="28"/>
        </w:rPr>
        <w:t>*h</w:t>
      </w:r>
    </w:p>
    <w:p>
      <w:pPr>
        <w:pStyle w:val="Normal"/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</w:rPr>
        <w:t>ויאמר</w:t>
      </w:r>
      <w:r>
        <w:rPr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κύριος</w:t>
      </w:r>
      <w:r>
        <w:rPr>
          <w:rFonts w:cs="Times New Roman" w:ascii="GFS Porson" w:hAnsi="GFS Porson"/>
          <w:sz w:val="28"/>
          <w:szCs w:val="28"/>
        </w:rPr>
        <w:t xml:space="preserve"> (</w:t>
      </w:r>
      <w:r>
        <w:rPr>
          <w:rFonts w:cs="GFS Porson" w:ascii="GFS Porson" w:hAnsi="GFS Porson"/>
          <w:color w:val="000000"/>
          <w:sz w:val="28"/>
          <w:szCs w:val="28"/>
          <w:shd w:fill="FFFFFF" w:val="clear"/>
        </w:rPr>
        <w:t>αὐτῷ)</w:t>
      </w:r>
      <w:r>
        <w:rPr>
          <w:rFonts w:cs="Times New Roman"/>
          <w:sz w:val="28"/>
          <w:szCs w:val="28"/>
          <w:highlight w:val="lightGray"/>
          <w:vertAlign w:val="subscript"/>
        </w:rPr>
        <w:t>II</w:t>
      </w:r>
      <w:r>
        <w:rPr>
          <w:rStyle w:val="FootnoteCharacters"/>
          <w:rStyle w:val="FootnoteAnchor"/>
          <w:rFonts w:cs="Times New Roman"/>
          <w:sz w:val="28"/>
          <w:szCs w:val="28"/>
        </w:rPr>
        <w:footnoteReference w:id="21"/>
      </w:r>
      <w:r>
        <w:rPr>
          <w:rFonts w:cs="Times New Roman"/>
          <w:sz w:val="28"/>
          <w:szCs w:val="28"/>
        </w:rPr>
        <w:t xml:space="preserve"> = </w:t>
      </w:r>
      <w:r>
        <w:rPr>
          <w:rFonts w:cs="Times New Roman" w:ascii="HUBPSigla" w:hAnsi="HUBPSigla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  <w:lang w:eastAsia="zh-CN"/>
        </w:rPr>
        <w:t>+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[</w:t>
      </w:r>
    </w:p>
    <w:p>
      <w:pPr>
        <w:pStyle w:val="Normal"/>
        <w:tabs>
          <w:tab w:val="clear" w:pos="720"/>
          <w:tab w:val="left" w:pos="567" w:leader="none"/>
        </w:tabs>
        <w:bidi w:val="0"/>
        <w:spacing w:lineRule="exact" w:line="400"/>
        <w:jc w:val="left"/>
        <w:rPr>
          <w:rFonts w:cs="Times New Roman"/>
          <w:sz w:val="28"/>
          <w:szCs w:val="28"/>
        </w:rPr>
      </w:pPr>
      <w:r>
        <w:rPr>
          <w:rFonts w:cs="Guttman Keren;Times New Roman"/>
          <w:sz w:val="28"/>
          <w:sz w:val="28"/>
          <w:szCs w:val="28"/>
          <w:rtl w:val="true"/>
          <w:lang w:val="el-GR"/>
        </w:rPr>
        <w:t>כי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–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עמי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;Times New Roman"/>
          <w:sz w:val="28"/>
          <w:szCs w:val="28"/>
          <w:rtl w:val="true"/>
          <w:lang w:val="el-GR"/>
        </w:rPr>
        <w:t xml:space="preserve">~ 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ואנכי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–</w:t>
      </w:r>
      <w:r>
        <w:rPr>
          <w:rFonts w:eastAsia="Times New Roman" w:cs="Times New Roman"/>
          <w:sz w:val="28"/>
          <w:sz w:val="28"/>
          <w:szCs w:val="28"/>
          <w:rtl w:val="true"/>
          <w:lang w:val="el-GR"/>
        </w:rPr>
        <w:t xml:space="preserve"> </w:t>
      </w:r>
      <w:r>
        <w:rPr>
          <w:rFonts w:cs="Guttman Keren;Times New Roman"/>
          <w:sz w:val="28"/>
          <w:sz w:val="28"/>
          <w:szCs w:val="28"/>
          <w:rtl w:val="true"/>
          <w:lang w:val="el-GR"/>
        </w:rPr>
        <w:t>לכם</w:t>
      </w:r>
      <w:r>
        <w:rPr>
          <w:rFonts w:cs="Guttman Keren;Times New Roman"/>
          <w:sz w:val="28"/>
          <w:szCs w:val="28"/>
          <w:rtl w:val="true"/>
        </w:rPr>
        <w:t xml:space="preserve">] </w:t>
      </w:r>
      <w:r>
        <w:rPr>
          <w:rFonts w:cs="Guttman Keren;Times New Roman" w:ascii="HUBPSigla" w:hAnsi="HUBPSigla"/>
          <w:sz w:val="28"/>
          <w:szCs w:val="28"/>
        </w:rPr>
        <w:t>9</w:t>
      </w:r>
      <w:r>
        <w:rPr>
          <w:rFonts w:cs="Guttman Keren;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~</w:t>
      </w:r>
    </w:p>
    <w:p>
      <w:pPr>
        <w:pStyle w:val="Normal"/>
        <w:bidi w:val="0"/>
        <w:spacing w:lineRule="exact" w:line="400"/>
        <w:jc w:val="left"/>
        <w:rPr/>
      </w:pPr>
      <w:r>
        <w:rPr>
          <w:rFonts w:cs="Guttman Keren;Times New Roman"/>
          <w:sz w:val="28"/>
          <w:sz w:val="28"/>
          <w:szCs w:val="28"/>
          <w:rtl w:val="true"/>
        </w:rPr>
        <w:t>לכם</w:t>
      </w:r>
      <w:r>
        <w:rPr>
          <w:rFonts w:cs="Times New Roman"/>
          <w:sz w:val="28"/>
          <w:szCs w:val="28"/>
        </w:rPr>
        <w:t xml:space="preserve">] </w:t>
      </w:r>
      <w:r>
        <w:rPr>
          <w:rFonts w:cs="HUBPSigla" w:ascii="HUBPSigla" w:hAnsi="HUBPSigla"/>
          <w:sz w:val="28"/>
          <w:szCs w:val="28"/>
        </w:rPr>
        <w:t>]h</w:t>
      </w:r>
      <w:r>
        <w:rPr>
          <w:sz w:val="28"/>
          <w:szCs w:val="28"/>
        </w:rPr>
        <w:t xml:space="preserve"> + </w:t>
      </w:r>
      <w:r>
        <w:rPr>
          <w:rFonts w:cs="Times New Roman" w:ascii="GFS Porson" w:hAnsi="GFS Porson"/>
          <w:sz w:val="28"/>
          <w:szCs w:val="28"/>
          <w:lang w:val="el-GR"/>
        </w:rPr>
        <w:t>θεός</w:t>
      </w:r>
      <w:r>
        <w:rPr>
          <w:rStyle w:val="FootnoteCharacters"/>
          <w:rStyle w:val="FootnoteAnchor"/>
          <w:sz w:val="28"/>
          <w:szCs w:val="28"/>
        </w:rPr>
        <w:footnoteReference w:id="22"/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eastAsia="zh-CN"/>
        </w:rPr>
        <w:t>=</w:t>
      </w:r>
      <w:r>
        <w:rPr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</w:rPr>
        <w:t>*h</w:t>
      </w:r>
      <w:r>
        <w:rPr>
          <w:rFonts w:cs="Times New Roman"/>
          <w:sz w:val="28"/>
          <w:szCs w:val="28"/>
        </w:rPr>
        <w:t xml:space="preserve"> </w:t>
      </w:r>
      <w:r>
        <w:rPr>
          <w:rFonts w:cs="HUBPSigla" w:ascii="HUBPSigla" w:hAnsi="HUBPSigla"/>
          <w:sz w:val="28"/>
          <w:szCs w:val="28"/>
          <w:lang w:eastAsia="zh-CN"/>
        </w:rPr>
        <w:t>+</w:t>
      </w:r>
      <w:r>
        <w:rPr>
          <w:rFonts w:cs="HUBPSigla" w:ascii="HUBPSigla" w:hAnsi="HUBPSigla"/>
          <w:sz w:val="28"/>
          <w:szCs w:val="28"/>
        </w:rPr>
        <w:t xml:space="preserve"> [h</w:t>
      </w:r>
    </w:p>
    <w:sectPr>
      <w:headerReference w:type="default" r:id="rId2"/>
      <w:footerReference w:type="default" r:id="rId3"/>
      <w:footnotePr>
        <w:numFmt w:val="decimal"/>
        <w:numRestart w:val="eachSect"/>
      </w:footnotePr>
      <w:type w:val="nextPage"/>
      <w:pgSz w:w="11906" w:h="16838"/>
      <w:pgMar w:left="1800" w:right="1800" w:gutter="0" w:header="72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HUBPSigla">
    <w:charset w:val="00"/>
    <w:family w:val="auto"/>
    <w:pitch w:val="variable"/>
  </w:font>
  <w:font w:name="GFS Porson">
    <w:charset w:val="a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tl w:val="true"/>
      </w:rPr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8128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jc w:val="left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t>2</w:t>
                          </w:r>
                          <w:r>
                            <w:rPr>
                              <w:rtl w:val="true"/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1.65pt;mso-wrap-distance-left:0pt;mso-wrap-distance-right:0pt;mso-wrap-distance-top:0pt;mso-wrap-distance-bottom:0pt;margin-top:0.05pt;mso-position-vertical-relative:text;margin-left:204.4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Footer"/>
                      <w:jc w:val="left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tl w:val="true"/>
                        <w:rStyle w:val="PageNumber"/>
                      </w:rPr>
                      <w:instrText xml:space="preserve"> PAGE </w:instrText>
                    </w:r>
                    <w:r>
                      <w:rPr>
                        <w:rtl w:val="true"/>
                        <w:rStyle w:val="PageNumber"/>
                      </w:rPr>
                      <w:fldChar w:fldCharType="separate"/>
                    </w:r>
                    <w:r>
                      <w:rPr>
                        <w:rtl w:val="true"/>
                        <w:rStyle w:val="PageNumber"/>
                      </w:rPr>
                      <w:t>2</w:t>
                    </w:r>
                    <w:r>
                      <w:rPr>
                        <w:rtl w:val="true"/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cf app Mic 1</w:t>
      </w:r>
      <w:r>
        <w:rPr>
          <w:sz w:val="24"/>
          <w:szCs w:val="24"/>
          <w:vertAlign w:val="subscript"/>
        </w:rPr>
        <w:t>1</w:t>
      </w:r>
    </w:p>
  </w:footnote>
  <w:footnote w:id="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>(</w:t>
      </w:r>
      <w:r>
        <w:rPr>
          <w:sz w:val="24"/>
          <w:szCs w:val="24"/>
        </w:rPr>
        <w:t xml:space="preserve">a) voc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דְּבַר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;Times New Roman"/>
          <w:sz w:val="24"/>
          <w:szCs w:val="24"/>
          <w:rtl w:val="true"/>
          <w:lang w:val="el-GR"/>
        </w:rPr>
        <w:t>(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יהוה</w:t>
      </w:r>
      <w:r>
        <w:rPr>
          <w:rFonts w:cs="Guttman Keren;Times New Roman"/>
          <w:sz w:val="24"/>
          <w:szCs w:val="24"/>
          <w:rtl w:val="true"/>
          <w:lang w:val="el-GR"/>
        </w:rPr>
        <w:t>)</w:t>
      </w:r>
      <w:r>
        <w:rPr>
          <w:rFonts w:cs="Estrangelo Edessa"/>
          <w:sz w:val="24"/>
          <w:szCs w:val="24"/>
          <w:lang w:bidi="syr-TR"/>
        </w:rPr>
        <w:t>, formula, cf v</w:t>
      </w:r>
      <w:r>
        <w:rPr>
          <w:rFonts w:cs="Estrangelo Edessa"/>
          <w:sz w:val="24"/>
          <w:szCs w:val="24"/>
          <w:vertAlign w:val="subscript"/>
          <w:lang w:bidi="syr-TR"/>
        </w:rPr>
        <w:t>1</w:t>
      </w:r>
      <w:r>
        <w:rPr>
          <w:rFonts w:cs="Estrangelo Edessa"/>
          <w:sz w:val="24"/>
          <w:szCs w:val="24"/>
          <w:lang w:bidi="syr-TR"/>
        </w:rPr>
        <w:t xml:space="preserve"> 4</w:t>
      </w:r>
      <w:r>
        <w:rPr>
          <w:rFonts w:cs="Estrangelo Edessa"/>
          <w:sz w:val="24"/>
          <w:szCs w:val="24"/>
          <w:vertAlign w:val="subscript"/>
          <w:lang w:bidi="syr-TR"/>
        </w:rPr>
        <w:t>1</w:t>
      </w:r>
      <w:r>
        <w:rPr>
          <w:rFonts w:cs="Estrangelo Edessa"/>
          <w:sz w:val="24"/>
          <w:szCs w:val="24"/>
          <w:lang w:bidi="syr-TR"/>
        </w:rPr>
        <w:t xml:space="preserve"> et al; cf app 13</w:t>
      </w:r>
      <w:r>
        <w:rPr>
          <w:rFonts w:cs="Estrangelo Edessa"/>
          <w:sz w:val="24"/>
          <w:szCs w:val="24"/>
          <w:vertAlign w:val="subscript"/>
          <w:lang w:bidi="syr-TR"/>
        </w:rPr>
        <w:t>1</w:t>
      </w:r>
      <w:r>
        <w:rPr>
          <w:rFonts w:cs="Estrangelo Edessa"/>
          <w:sz w:val="24"/>
          <w:szCs w:val="24"/>
          <w:lang w:bidi="syr-TR"/>
        </w:rPr>
        <w:t xml:space="preserve">; cf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תחלת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דִּבְרֵי</w:t>
      </w:r>
      <w:r>
        <w:rPr>
          <w:rFonts w:eastAsia="Times New Roman" w:cs="Times New Roman"/>
          <w:sz w:val="24"/>
          <w:sz w:val="24"/>
          <w:szCs w:val="24"/>
          <w:lang w:bidi="syr-TR"/>
        </w:rPr>
        <w:t xml:space="preserve"> </w:t>
      </w:r>
      <w:r>
        <w:rPr>
          <w:rFonts w:cs="Estrangelo Edessa"/>
          <w:sz w:val="24"/>
          <w:szCs w:val="24"/>
          <w:lang w:bidi="syr-TR"/>
        </w:rPr>
        <w:t>Qoh 10</w:t>
      </w:r>
      <w:r>
        <w:rPr>
          <w:rFonts w:cs="Estrangelo Edessa"/>
          <w:sz w:val="24"/>
          <w:szCs w:val="24"/>
          <w:vertAlign w:val="subscript"/>
          <w:lang w:bidi="syr-TR"/>
        </w:rPr>
        <w:t>13</w:t>
      </w:r>
      <w:r>
        <w:rPr>
          <w:rFonts w:cs="Estrangelo Edessa"/>
          <w:sz w:val="24"/>
          <w:szCs w:val="24"/>
          <w:lang w:bidi="syr-TR"/>
        </w:rPr>
        <w:t xml:space="preserve">; note seq; </w:t>
      </w:r>
      <w:r>
        <w:rPr>
          <w:sz w:val="24"/>
          <w:szCs w:val="24"/>
        </w:rPr>
        <w:t xml:space="preserve">(b) noun </w:t>
      </w:r>
      <w:r>
        <w:rPr>
          <w:rFonts w:cs="Guttman Keren;Times New Roman"/>
          <w:sz w:val="24"/>
          <w:sz w:val="24"/>
          <w:szCs w:val="24"/>
          <w:rtl w:val="true"/>
        </w:rPr>
        <w:t>דִּבֵּר</w:t>
      </w:r>
      <w:r>
        <w:rPr>
          <w:rFonts w:cs="Guttman Keren;Times New Roman"/>
          <w:sz w:val="24"/>
          <w:szCs w:val="24"/>
        </w:rPr>
        <w:t>,</w:t>
      </w:r>
      <w:r>
        <w:rPr>
          <w:sz w:val="24"/>
          <w:szCs w:val="24"/>
        </w:rPr>
        <w:t xml:space="preserve"> cf app Jer 5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and Rabb Heb; cf gerund in </w:t>
      </w:r>
      <w:r>
        <w:rPr>
          <w:rFonts w:cs="HUBPSigla" w:ascii="HUBPSigla" w:hAnsi="HUBPSigl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loquendi</w:t>
      </w:r>
      <w:r>
        <w:rPr>
          <w:sz w:val="24"/>
          <w:szCs w:val="24"/>
        </w:rPr>
        <w:t xml:space="preserve"> “of speaking”</w:t>
      </w:r>
    </w:p>
  </w:footnote>
  <w:footnote w:id="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to”; main evid, cf v</w:t>
      </w:r>
      <w:r>
        <w:rPr>
          <w:sz w:val="24"/>
          <w:szCs w:val="24"/>
          <w:vertAlign w:val="subscript"/>
        </w:rPr>
        <w:t>1</w:t>
      </w:r>
    </w:p>
  </w:footnote>
  <w:footnote w:id="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which was to”, ex v</w:t>
      </w:r>
      <w:r>
        <w:rPr>
          <w:sz w:val="24"/>
          <w:szCs w:val="24"/>
          <w:vertAlign w:val="subscript"/>
        </w:rPr>
        <w:t>1</w:t>
      </w:r>
    </w:p>
  </w:footnote>
  <w:footnote w:id="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r>
        <w:rPr>
          <w:sz w:val="24"/>
          <w:szCs w:val="24"/>
        </w:rPr>
        <w:t>for himself”, cf v</w:t>
      </w:r>
      <w:r>
        <w:rPr>
          <w:sz w:val="24"/>
          <w:szCs w:val="24"/>
          <w:vertAlign w:val="subscript"/>
        </w:rPr>
        <w:t>2</w:t>
      </w:r>
    </w:p>
  </w:footnote>
  <w:footnote w:id="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cf vv</w:t>
      </w:r>
      <w:r>
        <w:rPr>
          <w:sz w:val="24"/>
          <w:szCs w:val="24"/>
          <w:vertAlign w:val="subscript"/>
        </w:rPr>
        <w:t>6,8</w:t>
      </w:r>
      <w:r>
        <w:rPr>
          <w:sz w:val="24"/>
          <w:szCs w:val="24"/>
        </w:rPr>
        <w:t>; contrast Hier 10</w:t>
      </w:r>
      <w:r>
        <w:rPr>
          <w:sz w:val="24"/>
          <w:szCs w:val="24"/>
          <w:vertAlign w:val="subscript"/>
        </w:rPr>
        <w:t>154</w:t>
      </w:r>
    </w:p>
  </w:footnote>
  <w:footnote w:id="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main evid; inner-Grk (</w:t>
      </w:r>
      <w:r>
        <w:rPr>
          <w:rFonts w:cs="Guttman Keren;Times New Roman"/>
          <w:sz w:val="24"/>
          <w:sz w:val="24"/>
          <w:szCs w:val="24"/>
          <w:rtl w:val="true"/>
        </w:rPr>
        <w:t>בית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</w:rPr>
        <w:t>יהודה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common collocation), cf Hier 12</w:t>
      </w:r>
      <w:r>
        <w:rPr>
          <w:sz w:val="24"/>
          <w:szCs w:val="24"/>
          <w:vertAlign w:val="subscript"/>
        </w:rPr>
        <w:t>208−211</w:t>
      </w:r>
    </w:p>
  </w:footnote>
  <w:footnote w:id="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rFonts w:cs="Estrangelo Edessa"/>
          <w:sz w:val="24"/>
          <w:szCs w:val="24"/>
          <w:lang w:bidi="syr-TR"/>
        </w:rPr>
        <w:t xml:space="preserve">voc </w:t>
      </w:r>
      <w:r>
        <w:rPr>
          <w:rFonts w:cs="Guttman Keren;Times New Roman"/>
          <w:sz w:val="24"/>
          <w:sz w:val="24"/>
          <w:szCs w:val="24"/>
          <w:rtl w:val="true"/>
        </w:rPr>
        <w:t>הֲשִׁבֹתִי</w:t>
      </w:r>
      <w:r>
        <w:rPr>
          <w:sz w:val="24"/>
          <w:szCs w:val="24"/>
        </w:rPr>
        <w:t>, similarly app 2</w:t>
      </w:r>
      <w:r>
        <w:rPr>
          <w:sz w:val="24"/>
          <w:szCs w:val="24"/>
          <w:vertAlign w:val="subscript"/>
        </w:rPr>
        <w:t>13</w:t>
      </w:r>
      <w:r>
        <w:rPr>
          <w:sz w:val="24"/>
          <w:szCs w:val="24"/>
        </w:rPr>
        <w:t xml:space="preserve"> Ezek 7</w:t>
      </w:r>
      <w:r>
        <w:rPr>
          <w:sz w:val="24"/>
          <w:szCs w:val="24"/>
          <w:vertAlign w:val="subscript"/>
        </w:rPr>
        <w:t>24</w:t>
      </w:r>
      <w:r>
        <w:rPr>
          <w:sz w:val="24"/>
          <w:szCs w:val="24"/>
        </w:rPr>
        <w:t xml:space="preserve">; for parall </w:t>
      </w:r>
      <w:r>
        <w:rPr>
          <w:rFonts w:cs="Guttman Keren;Times New Roman"/>
          <w:sz w:val="24"/>
          <w:sz w:val="24"/>
          <w:szCs w:val="24"/>
          <w:rtl w:val="true"/>
        </w:rPr>
        <w:t>השיב</w:t>
      </w:r>
      <w:r>
        <w:rPr>
          <w:rFonts w:cs="Guttman Keren;Times New Roman"/>
          <w:sz w:val="24"/>
          <w:szCs w:val="24"/>
          <w:rtl w:val="true"/>
        </w:rPr>
        <w:t>//</w:t>
      </w:r>
      <w:r>
        <w:rPr>
          <w:rFonts w:cs="Guttman Keren;Times New Roman"/>
          <w:sz w:val="24"/>
          <w:sz w:val="24"/>
          <w:szCs w:val="24"/>
          <w:rtl w:val="true"/>
        </w:rPr>
        <w:t>פקד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4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12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; main evid </w:t>
      </w:r>
      <w:r>
        <w:rPr>
          <w:rFonts w:cs="HUBPSigla" w:ascii="HUBPSigla" w:hAnsi="HUBPSigla"/>
          <w:sz w:val="24"/>
          <w:szCs w:val="24"/>
        </w:rPr>
        <w:t>]h</w:t>
      </w:r>
      <w:r>
        <w:rPr>
          <w:sz w:val="24"/>
          <w:szCs w:val="24"/>
          <w:vertAlign w:val="subscript"/>
        </w:rPr>
        <w:t xml:space="preserve"> </w:t>
      </w:r>
      <w:r>
        <w:rPr>
          <w:rFonts w:cs="Times New Roman" w:ascii="GFS Porson" w:hAnsi="GFS Porson"/>
          <w:sz w:val="24"/>
          <w:szCs w:val="24"/>
          <w:lang w:val="el-GR"/>
        </w:rPr>
        <w:t>καταπαύσω</w:t>
      </w:r>
      <w:r>
        <w:rPr>
          <w:sz w:val="24"/>
          <w:szCs w:val="24"/>
        </w:rPr>
        <w:t xml:space="preserve"> (</w:t>
      </w:r>
      <w:r>
        <w:rPr>
          <w:rFonts w:cs="Times New Roman"/>
          <w:sz w:val="24"/>
          <w:szCs w:val="24"/>
        </w:rPr>
        <w:t>=</w:t>
      </w:r>
      <w:r>
        <w:rPr>
          <w:rFonts w:cs="HUBPSigla" w:ascii="HUBPSigla" w:hAnsi="HUBPSigla"/>
          <w:sz w:val="24"/>
          <w:szCs w:val="24"/>
        </w:rPr>
        <w:t>x</w:t>
      </w:r>
      <w:r>
        <w:rPr>
          <w:sz w:val="24"/>
          <w:szCs w:val="24"/>
        </w:rPr>
        <w:t>)</w:t>
      </w:r>
    </w:p>
  </w:footnote>
  <w:footnote w:id="1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formula </w:t>
      </w:r>
      <w:r>
        <w:rPr>
          <w:rFonts w:cs="Guttman Keren;Times New Roman"/>
          <w:sz w:val="24"/>
          <w:sz w:val="24"/>
          <w:szCs w:val="24"/>
          <w:rtl w:val="true"/>
        </w:rPr>
        <w:t>השבית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</w:rPr>
        <w:t>מן</w:t>
      </w:r>
      <w:r>
        <w:rPr>
          <w:rFonts w:cs="Guttman Keren;Times New Roman"/>
          <w:sz w:val="24"/>
          <w:szCs w:val="24"/>
        </w:rPr>
        <w:t>, cf e.g. Lev 26</w:t>
      </w:r>
      <w:r>
        <w:rPr>
          <w:rFonts w:cs="Guttman Keren;Times New Roman"/>
          <w:sz w:val="24"/>
          <w:szCs w:val="24"/>
          <w:vertAlign w:val="subscript"/>
        </w:rPr>
        <w:t>6</w:t>
      </w:r>
      <w:r>
        <w:rPr>
          <w:rFonts w:cs="Guttman Keren;Times New Roman"/>
          <w:sz w:val="24"/>
          <w:szCs w:val="24"/>
        </w:rPr>
        <w:t xml:space="preserve"> Jer 7</w:t>
      </w:r>
      <w:r>
        <w:rPr>
          <w:rFonts w:cs="Guttman Keren;Times New Roman"/>
          <w:sz w:val="24"/>
          <w:szCs w:val="24"/>
          <w:vertAlign w:val="subscript"/>
        </w:rPr>
        <w:t>34</w:t>
      </w:r>
    </w:p>
  </w:footnote>
  <w:footnote w:id="1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formulaic change, cf app Joel 4</w:t>
      </w:r>
      <w:r>
        <w:rPr>
          <w:sz w:val="24"/>
          <w:szCs w:val="24"/>
          <w:vertAlign w:val="subscript"/>
        </w:rPr>
        <w:t>18</w:t>
      </w:r>
      <w:r>
        <w:rPr>
          <w:sz w:val="24"/>
          <w:szCs w:val="24"/>
        </w:rPr>
        <w:t xml:space="preserve"> Mic 5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et al</w:t>
      </w:r>
    </w:p>
  </w:footnote>
  <w:footnote w:id="1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says the Lord”, formula (</w:t>
      </w:r>
      <w:r>
        <w:rPr>
          <w:rFonts w:cs="Guttman Keren;Times New Roman"/>
          <w:sz w:val="24"/>
          <w:sz w:val="24"/>
          <w:szCs w:val="24"/>
          <w:rtl w:val="true"/>
        </w:rPr>
        <w:t>נאם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</w:rPr>
        <w:t>יהוה</w:t>
      </w:r>
      <w:r>
        <w:rPr>
          <w:sz w:val="24"/>
          <w:szCs w:val="24"/>
        </w:rPr>
        <w:t>), cf 2</w:t>
      </w:r>
      <w:r>
        <w:rPr>
          <w:sz w:val="24"/>
          <w:szCs w:val="24"/>
          <w:vertAlign w:val="subscript"/>
        </w:rPr>
        <w:t>18,23</w:t>
      </w:r>
      <w:r>
        <w:rPr>
          <w:sz w:val="24"/>
          <w:szCs w:val="24"/>
        </w:rPr>
        <w:t xml:space="preserve"> et al</w:t>
      </w:r>
    </w:p>
  </w:footnote>
  <w:footnote w:id="13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 Lord”, cf v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, app v</w:t>
      </w:r>
      <w:r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Guttman Keren;Times New Roman"/>
          <w:sz w:val="24"/>
          <w:sz w:val="24"/>
          <w:szCs w:val="24"/>
          <w:rtl w:val="true"/>
        </w:rPr>
        <w:t>ויאמר</w:t>
      </w:r>
      <w:r>
        <w:rPr>
          <w:sz w:val="24"/>
          <w:szCs w:val="24"/>
        </w:rPr>
        <w:t>)</w:t>
      </w:r>
    </w:p>
  </w:footnote>
  <w:footnote w:id="14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1sg, cf 3</w:t>
      </w:r>
      <w:r>
        <w:rPr>
          <w:sz w:val="24"/>
          <w:szCs w:val="24"/>
          <w:vertAlign w:val="subscript"/>
        </w:rPr>
        <w:t>1</w:t>
      </w:r>
    </w:p>
  </w:footnote>
  <w:footnote w:id="15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opposing I shall oppose” </w:t>
      </w:r>
      <w:r>
        <w:rPr>
          <w:rFonts w:cs="Guttman Keren;Times New Roman"/>
          <w:sz w:val="24"/>
          <w:szCs w:val="24"/>
        </w:rPr>
        <w:t xml:space="preserve">(= </w:t>
      </w:r>
      <w:r>
        <w:rPr>
          <w:rFonts w:cs="Guttman Keren;Times New Roman" w:ascii="HUBPSigla" w:hAnsi="HUBPSigla"/>
          <w:sz w:val="24"/>
          <w:szCs w:val="24"/>
        </w:rPr>
        <w:t>]</w:t>
      </w:r>
      <w:r>
        <w:rPr>
          <w:rFonts w:cs="Guttman Keren;Times New Roman"/>
          <w:sz w:val="24"/>
          <w:szCs w:val="24"/>
        </w:rPr>
        <w:t xml:space="preserve"> 1Kgs 11</w:t>
      </w:r>
      <w:r>
        <w:rPr>
          <w:rFonts w:cs="Guttman Keren;Times New Roman"/>
          <w:sz w:val="24"/>
          <w:szCs w:val="24"/>
          <w:vertAlign w:val="subscript"/>
        </w:rPr>
        <w:t>34</w:t>
      </w:r>
      <w:r>
        <w:rPr>
          <w:rFonts w:cs="Guttman Keren;Times New Roman"/>
          <w:sz w:val="24"/>
          <w:szCs w:val="24"/>
        </w:rPr>
        <w:t xml:space="preserve">); </w:t>
      </w:r>
      <w:r>
        <w:rPr>
          <w:sz w:val="24"/>
          <w:szCs w:val="24"/>
        </w:rPr>
        <w:t xml:space="preserve">p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sz w:val="24"/>
          <w:szCs w:val="24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</w:rPr>
        <w:t>נשׁא</w:t>
      </w:r>
      <w:r>
        <w:rPr>
          <w:rFonts w:cs="Times New Roman"/>
          <w:sz w:val="24"/>
          <w:sz w:val="24"/>
          <w:szCs w:val="24"/>
        </w:rPr>
        <w:t>“</w:t>
      </w:r>
      <w:r>
        <w:rPr>
          <w:rFonts w:cs="Times New Roman"/>
          <w:sz w:val="24"/>
          <w:szCs w:val="24"/>
        </w:rPr>
        <w:t>oppress, set against” (cf Ps 89</w:t>
      </w:r>
      <w:r>
        <w:rPr>
          <w:rFonts w:cs="Times New Roman"/>
          <w:sz w:val="24"/>
          <w:szCs w:val="24"/>
          <w:vertAlign w:val="subscript"/>
        </w:rPr>
        <w:t>23</w:t>
      </w:r>
      <w:r>
        <w:rPr>
          <w:rFonts w:cs="Guttman Keren;Times New Roman"/>
          <w:sz w:val="24"/>
          <w:szCs w:val="24"/>
        </w:rPr>
        <w:t xml:space="preserve">), cf Obad </w:t>
      </w:r>
      <w:r>
        <w:rPr>
          <w:rFonts w:cs="Guttman Keren;Times New Roman"/>
          <w:sz w:val="24"/>
          <w:szCs w:val="24"/>
          <w:vertAlign w:val="subscript"/>
        </w:rPr>
        <w:t>7</w:t>
      </w:r>
      <w:r>
        <w:rPr>
          <w:rFonts w:cs="Guttman Keren;Times New Roman"/>
          <w:sz w:val="24"/>
          <w:szCs w:val="24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הִשִּׁיאוּךָ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rFonts w:cs="Guttman Keren;Times New Roman" w:ascii="HUBPSigla" w:hAnsi="HUBPSigla"/>
          <w:sz w:val="24"/>
          <w:szCs w:val="24"/>
        </w:rPr>
        <w:t>J</w:t>
      </w:r>
      <w:r>
        <w:rPr>
          <w:rFonts w:cs="Guttman Keren;Times New Roman"/>
          <w:sz w:val="24"/>
          <w:szCs w:val="24"/>
        </w:rPr>
        <w:t xml:space="preserve"> </w:t>
      </w:r>
      <w:r>
        <w:rPr>
          <w:rFonts w:cs="Guttman Keren;Times New Roman" w:ascii="HUBPSigla" w:hAnsi="HUBPSigla"/>
          <w:sz w:val="24"/>
          <w:szCs w:val="24"/>
        </w:rPr>
        <w:t>]</w:t>
      </w:r>
      <w:r>
        <w:rPr>
          <w:rFonts w:cs="Guttman Keren;Times New Roman"/>
          <w:sz w:val="24"/>
          <w:szCs w:val="24"/>
        </w:rPr>
        <w:t xml:space="preserve"> </w:t>
      </w:r>
      <w:r>
        <w:rPr>
          <w:rFonts w:cs="Segoe UI" w:ascii="GFS Porson" w:hAnsi="GFS Porson"/>
          <w:color w:val="000000"/>
          <w:sz w:val="24"/>
          <w:szCs w:val="24"/>
        </w:rPr>
        <w:t>ἀντέστησάν σοι</w:t>
      </w:r>
      <w:r>
        <w:rPr>
          <w:rFonts w:cs="Times New Roman"/>
          <w:sz w:val="24"/>
          <w:szCs w:val="24"/>
        </w:rPr>
        <w:t xml:space="preserve"> “they opposed you” (for interchange of </w:t>
      </w:r>
      <w:r>
        <w:rPr>
          <w:rFonts w:cs="Times New Roman" w:ascii="GFS Porson" w:hAnsi="GFS Porson"/>
          <w:sz w:val="24"/>
          <w:szCs w:val="24"/>
        </w:rPr>
        <w:t>ἀντιτάσσεσθαι</w:t>
      </w:r>
      <w:r>
        <w:rPr>
          <w:rFonts w:cs="Times New Roman"/>
          <w:sz w:val="24"/>
          <w:szCs w:val="24"/>
        </w:rPr>
        <w:t xml:space="preserve"> “to oppose” / </w:t>
      </w:r>
      <w:r>
        <w:rPr>
          <w:rFonts w:cs="Times New Roman" w:ascii="GFS Porson" w:hAnsi="GFS Porson"/>
          <w:sz w:val="24"/>
          <w:szCs w:val="24"/>
        </w:rPr>
        <w:t>ἀνθίστασθαι</w:t>
      </w:r>
      <w:r>
        <w:rPr>
          <w:rFonts w:cs="Times New Roman"/>
          <w:sz w:val="24"/>
          <w:szCs w:val="24"/>
        </w:rPr>
        <w:t xml:space="preserve"> “to stand against” cf </w:t>
      </w:r>
      <w:r>
        <w:rPr>
          <w:rFonts w:cs="Times New Roman" w:ascii="HUBPSigla" w:hAnsi="HUBPSigla"/>
          <w:sz w:val="24"/>
          <w:szCs w:val="24"/>
        </w:rPr>
        <w:t>]i</w:t>
      </w:r>
      <w:r>
        <w:rPr>
          <w:rFonts w:cs="Times New Roman"/>
          <w:sz w:val="24"/>
          <w:szCs w:val="24"/>
        </w:rPr>
        <w:t xml:space="preserve"> 4Macc 16</w:t>
      </w:r>
      <w:r>
        <w:rPr>
          <w:rFonts w:cs="Times New Roman"/>
          <w:sz w:val="24"/>
          <w:szCs w:val="24"/>
          <w:vertAlign w:val="subscript"/>
        </w:rPr>
        <w:t>23</w:t>
      </w:r>
      <w:r>
        <w:rPr>
          <w:rFonts w:cs="Times New Roman"/>
          <w:sz w:val="24"/>
          <w:szCs w:val="24"/>
        </w:rPr>
        <w:t>); cf also Jer 49</w:t>
      </w:r>
      <w:r>
        <w:rPr>
          <w:rFonts w:cs="Times New Roman"/>
          <w:sz w:val="24"/>
          <w:szCs w:val="24"/>
          <w:vertAlign w:val="subscript"/>
        </w:rPr>
        <w:t>16</w:t>
      </w:r>
      <w:r>
        <w:rPr>
          <w:rFonts w:cs="Times New Roman"/>
          <w:sz w:val="24"/>
          <w:szCs w:val="24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הִשִּׁיא</w:t>
      </w:r>
      <w:r>
        <w:rPr>
          <w:rFonts w:eastAsia="Times New Roman" w:cs="Times New Roman"/>
          <w:sz w:val="24"/>
          <w:sz w:val="24"/>
          <w:szCs w:val="24"/>
          <w:rtl w:val="true"/>
        </w:rPr>
        <w:t xml:space="preserve"> </w:t>
      </w:r>
      <w:r>
        <w:rPr>
          <w:rFonts w:cs="Guttman Keren;Times New Roman"/>
          <w:sz w:val="24"/>
          <w:szCs w:val="24"/>
          <w:rtl w:val="true"/>
        </w:rPr>
        <w:t xml:space="preserve">= </w:t>
      </w:r>
      <w:r>
        <w:rPr>
          <w:rFonts w:cs="Guttman Keren;Times New Roman" w:ascii="HUBPSigla" w:hAnsi="HUBPSigla"/>
          <w:sz w:val="24"/>
          <w:szCs w:val="24"/>
          <w:rtl w:val="true"/>
        </w:rPr>
        <w:t>]</w:t>
      </w:r>
      <w:r>
        <w:rPr>
          <w:rFonts w:cs="Guttman Keren;Times New Roman"/>
          <w:sz w:val="24"/>
          <w:szCs w:val="24"/>
          <w:rtl w:val="true"/>
        </w:rPr>
        <w:t xml:space="preserve"> </w:t>
      </w:r>
      <w:r>
        <w:rPr>
          <w:rFonts w:cs="Times New Roman"/>
          <w:sz w:val="24"/>
          <w:szCs w:val="24"/>
          <w:rtl w:val="true"/>
        </w:rPr>
        <w:t>[</w:t>
      </w:r>
      <w:r>
        <w:rPr>
          <w:rFonts w:cs="Times New Roman"/>
          <w:sz w:val="24"/>
          <w:szCs w:val="24"/>
        </w:rPr>
        <w:t>29</w:t>
      </w:r>
      <w:r>
        <w:rPr>
          <w:rFonts w:cs="Times New Roman"/>
          <w:sz w:val="24"/>
          <w:szCs w:val="24"/>
          <w:vertAlign w:val="subscript"/>
        </w:rPr>
        <w:t>17</w:t>
      </w:r>
      <w:r>
        <w:rPr>
          <w:rFonts w:cs="Times New Roman"/>
          <w:sz w:val="24"/>
          <w:szCs w:val="24"/>
          <w:rtl w:val="true"/>
        </w:rPr>
        <w:t>]</w:t>
      </w:r>
      <w:r>
        <w:rPr>
          <w:rFonts w:cs="Times New Roman"/>
          <w:sz w:val="24"/>
          <w:szCs w:val="24"/>
        </w:rPr>
        <w:t xml:space="preserve"> </w:t>
      </w:r>
      <w:r>
        <w:rPr>
          <w:rFonts w:cs="Arial" w:ascii="GFS Porson" w:hAnsi="GFS Porson"/>
          <w:color w:val="222222"/>
          <w:sz w:val="24"/>
          <w:szCs w:val="24"/>
          <w:shd w:fill="FFFFFF" w:val="clear"/>
        </w:rPr>
        <w:t>ἐνεχείρησε</w:t>
      </w:r>
      <w:r>
        <w:rPr>
          <w:rFonts w:cs="Times New Roman"/>
          <w:sz w:val="24"/>
          <w:szCs w:val="24"/>
        </w:rPr>
        <w:t xml:space="preserve"> “(it) attacked” (contrast etym </w:t>
      </w:r>
      <w:r>
        <w:rPr>
          <w:rFonts w:cs="Times New Roman" w:ascii="HUBPSigla" w:hAnsi="HUBPSigla"/>
          <w:sz w:val="24"/>
          <w:szCs w:val="24"/>
        </w:rPr>
        <w:t>\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נשׂא</w:t>
      </w:r>
      <w:r>
        <w:rPr>
          <w:rFonts w:ascii="HUBPSigla" w:hAnsi="HUBPSigla" w:eastAsia="HUBPSigla" w:cs="HUBPSigla"/>
          <w:sz w:val="24"/>
          <w:sz w:val="24"/>
          <w:szCs w:val="24"/>
          <w:rtl w:val="true"/>
        </w:rPr>
        <w:t xml:space="preserve"> </w:t>
      </w:r>
      <w:r>
        <w:rPr>
          <w:rFonts w:cs="Times New Roman" w:ascii="HUBPSigla" w:hAnsi="HUBPSigla"/>
          <w:sz w:val="24"/>
          <w:szCs w:val="24"/>
          <w:rtl w:val="true"/>
        </w:rPr>
        <w:t>~</w:t>
      </w:r>
      <w:r>
        <w:rPr>
          <w:rFonts w:cs="Times New Roman" w:ascii="HUBPSigla" w:hAnsi="HUBPSigla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and </w:t>
      </w:r>
      <w:r>
        <w:rPr>
          <w:rFonts w:cs="Times New Roman"/>
          <w:sz w:val="24"/>
          <w:szCs w:val="24"/>
          <w:vertAlign w:val="subscript"/>
        </w:rPr>
        <w:t>p</w:t>
      </w:r>
      <w:r>
        <w:rPr>
          <w:rFonts w:cs="Times New Roman"/>
          <w:sz w:val="24"/>
          <w:szCs w:val="24"/>
        </w:rPr>
        <w:t xml:space="preserve">Obad </w:t>
      </w:r>
      <w:r>
        <w:rPr>
          <w:rFonts w:cs="Times New Roman"/>
          <w:sz w:val="24"/>
          <w:szCs w:val="24"/>
          <w:vertAlign w:val="subscript"/>
        </w:rPr>
        <w:t>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 w:ascii="HUBPSigla" w:hAnsi="HUBPSigla"/>
          <w:sz w:val="24"/>
          <w:szCs w:val="24"/>
        </w:rPr>
        <w:t>]</w:t>
      </w:r>
      <w:r>
        <w:rPr>
          <w:rFonts w:cs="Times New Roman"/>
          <w:sz w:val="24"/>
          <w:szCs w:val="24"/>
        </w:rPr>
        <w:t>)</w:t>
      </w:r>
      <w:r>
        <w:rPr>
          <w:rFonts w:cs="Guttman Keren;Times New Roman"/>
          <w:sz w:val="24"/>
          <w:szCs w:val="24"/>
        </w:rPr>
        <w:t xml:space="preserve"> </w:t>
      </w:r>
    </w:p>
  </w:footnote>
  <w:footnote w:id="16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by forgetfulness I shall forget”, etym </w:t>
      </w:r>
      <w:r>
        <w:rPr>
          <w:rFonts w:cs="HUBPSigla" w:ascii="HUBPSigla" w:hAnsi="HUBPSigla"/>
          <w:sz w:val="24"/>
          <w:szCs w:val="24"/>
        </w:rPr>
        <w:t>\</w:t>
      </w:r>
      <w:r>
        <w:rPr>
          <w:rFonts w:cs="Guttman Keren;Times New Roman"/>
          <w:sz w:val="24"/>
          <w:sz w:val="24"/>
          <w:szCs w:val="24"/>
          <w:rtl w:val="true"/>
        </w:rPr>
        <w:t>נש</w:t>
      </w:r>
      <w:r>
        <w:rPr>
          <w:rFonts w:cs="Guttman Keren;Times New Roman"/>
          <w:sz w:val="24"/>
          <w:sz w:val="24"/>
          <w:szCs w:val="24"/>
          <w:rtl w:val="true"/>
        </w:rPr>
        <w:t>ׁ</w:t>
      </w:r>
      <w:r>
        <w:rPr>
          <w:rFonts w:cs="Guttman Keren;Times New Roman"/>
          <w:sz w:val="24"/>
          <w:sz w:val="24"/>
          <w:szCs w:val="24"/>
          <w:rtl w:val="true"/>
        </w:rPr>
        <w:t>ה</w:t>
      </w:r>
      <w:r>
        <w:rPr>
          <w:rFonts w:cs="Guttman Keren;Times New Roman"/>
          <w:sz w:val="24"/>
          <w:szCs w:val="24"/>
        </w:rPr>
        <w:t>, contrast app Jer 23</w:t>
      </w:r>
      <w:r>
        <w:rPr>
          <w:rFonts w:cs="Guttman Keren;Times New Roman"/>
          <w:sz w:val="24"/>
          <w:szCs w:val="24"/>
          <w:vertAlign w:val="subscript"/>
        </w:rPr>
        <w:t>39</w:t>
      </w:r>
    </w:p>
  </w:footnote>
  <w:footnote w:id="17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sons (of)”, for </w:t>
      </w:r>
      <w:r>
        <w:rPr>
          <w:rFonts w:cs="Guttman Keren;Times New Roman"/>
          <w:sz w:val="24"/>
          <w:sz w:val="24"/>
          <w:szCs w:val="24"/>
          <w:rtl w:val="true"/>
        </w:rPr>
        <w:t>בני</w:t>
      </w:r>
      <w:r>
        <w:rPr>
          <w:rFonts w:cs="Times New Roman"/>
          <w:sz w:val="24"/>
          <w:szCs w:val="24"/>
          <w:rtl w:val="true"/>
        </w:rPr>
        <w:t>/</w:t>
      </w:r>
      <w:r>
        <w:rPr>
          <w:rFonts w:cs="Guttman Keren;Times New Roman"/>
          <w:sz w:val="24"/>
          <w:sz w:val="24"/>
          <w:szCs w:val="24"/>
          <w:rtl w:val="true"/>
        </w:rPr>
        <w:t>בית</w:t>
      </w:r>
      <w:r>
        <w:rPr>
          <w:rFonts w:eastAsia="Times New Roman" w:cs="Times New Roman"/>
          <w:sz w:val="24"/>
          <w:sz w:val="24"/>
          <w:szCs w:val="24"/>
        </w:rPr>
        <w:t xml:space="preserve"> </w:t>
      </w:r>
      <w:r>
        <w:rPr>
          <w:sz w:val="24"/>
          <w:szCs w:val="24"/>
        </w:rPr>
        <w:t>cf app Amos 1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3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Zeph 1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 </w:t>
      </w:r>
    </w:p>
  </w:footnote>
  <w:footnote w:id="18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 </w:t>
      </w:r>
      <w:r>
        <w:rPr>
          <w:rFonts w:cs="Guttman Keren;Times New Roman"/>
          <w:sz w:val="24"/>
          <w:szCs w:val="24"/>
        </w:rPr>
        <w:t>(</w:t>
      </w:r>
      <w:r>
        <w:rPr>
          <w:rFonts w:cs="Guttman Keren;Times New Roman"/>
          <w:sz w:val="24"/>
          <w:sz w:val="24"/>
          <w:szCs w:val="24"/>
          <w:rtl w:val="true"/>
        </w:rPr>
        <w:t>ו</w:t>
      </w:r>
      <w:r>
        <w:rPr>
          <w:rFonts w:cs="Guttman Keren;Times New Roman"/>
          <w:sz w:val="24"/>
          <w:szCs w:val="24"/>
        </w:rPr>
        <w:t>)</w:t>
      </w:r>
      <w:r>
        <w:rPr>
          <w:rFonts w:cs="Guttman Keren;Times New Roman"/>
          <w:sz w:val="24"/>
          <w:sz w:val="24"/>
          <w:szCs w:val="24"/>
          <w:rtl w:val="true"/>
        </w:rPr>
        <w:t>ברכב</w:t>
      </w:r>
      <w:r>
        <w:rPr>
          <w:sz w:val="24"/>
          <w:szCs w:val="24"/>
        </w:rPr>
        <w:t>; common collocation, cf e.g. Ezek 26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בסוס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וברכב</w:t>
      </w:r>
      <w:r>
        <w:rPr>
          <w:rFonts w:eastAsia="Times New Roman" w:cs="Times New Roman"/>
          <w:sz w:val="24"/>
          <w:sz w:val="24"/>
          <w:szCs w:val="24"/>
          <w:rtl w:val="true"/>
          <w:lang w:val="el-GR"/>
        </w:rPr>
        <w:t xml:space="preserve"> </w:t>
      </w:r>
      <w:r>
        <w:rPr>
          <w:rFonts w:cs="Guttman Keren;Times New Roman"/>
          <w:sz w:val="24"/>
          <w:sz w:val="24"/>
          <w:szCs w:val="24"/>
          <w:rtl w:val="true"/>
          <w:lang w:val="el-GR"/>
        </w:rPr>
        <w:t>ובפרשים</w:t>
      </w:r>
    </w:p>
  </w:footnote>
  <w:footnote w:id="19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again”, cf v</w:t>
      </w:r>
      <w:r>
        <w:rPr>
          <w:sz w:val="24"/>
          <w:szCs w:val="24"/>
          <w:vertAlign w:val="subscript"/>
        </w:rPr>
        <w:t>6</w:t>
      </w:r>
    </w:p>
  </w:footnote>
  <w:footnote w:id="20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(to) him”, cf v</w:t>
      </w:r>
      <w:r>
        <w:rPr>
          <w:sz w:val="24"/>
          <w:szCs w:val="24"/>
          <w:vertAlign w:val="subscript"/>
        </w:rPr>
        <w:t>3</w:t>
      </w:r>
    </w:p>
  </w:footnote>
  <w:footnote w:id="21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the Lord (to him)”, cf app v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 xml:space="preserve"> (</w:t>
      </w:r>
      <w:r>
        <w:rPr>
          <w:rFonts w:cs="Guttman Keren;Times New Roman"/>
          <w:sz w:val="24"/>
          <w:sz w:val="24"/>
          <w:szCs w:val="24"/>
          <w:rtl w:val="true"/>
        </w:rPr>
        <w:t>לו</w:t>
      </w:r>
      <w:r>
        <w:rPr>
          <w:sz w:val="24"/>
          <w:szCs w:val="24"/>
        </w:rPr>
        <w:t xml:space="preserve">); for </w:t>
      </w:r>
      <w:r>
        <w:rPr>
          <w:rFonts w:cs="HUBPSigla"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pron cf n</w:t>
      </w:r>
      <w:r>
        <w:rPr>
          <w:rFonts w:cs="Times New Roman"/>
          <w:sz w:val="24"/>
          <w:szCs w:val="24"/>
        </w:rPr>
        <w:fldChar w:fldCharType="begin"/>
      </w:r>
      <w:r>
        <w:rPr>
          <w:sz w:val="24"/>
          <w:szCs w:val="24"/>
          <w:rFonts w:cs="Times New Roman"/>
        </w:rPr>
        <w:instrText xml:space="preserve"> REF _RefF0 \h </w:instrText>
      </w:r>
      <w:r>
        <w:rPr>
          <w:sz w:val="24"/>
          <w:szCs w:val="24"/>
          <w:rFonts w:cs="Times New Roman"/>
        </w:rPr>
        <w:fldChar w:fldCharType="separate"/>
      </w:r>
      <w:r>
        <w:rPr>
          <w:sz w:val="24"/>
          <w:szCs w:val="24"/>
          <w:rFonts w:cs="Times New Roman"/>
        </w:rPr>
        <w:t>Error: Reference source not found</w:t>
      </w:r>
      <w:r>
        <w:rPr>
          <w:sz w:val="24"/>
          <w:szCs w:val="24"/>
          <w:rFonts w:cs="Times New Roman"/>
        </w:rPr>
        <w:fldChar w:fldCharType="end"/>
      </w:r>
    </w:p>
  </w:footnote>
  <w:footnote w:id="22">
    <w:p>
      <w:pPr>
        <w:pStyle w:val="Footnote"/>
        <w:bidi w:val="0"/>
        <w:spacing w:lineRule="exact" w:line="400"/>
        <w:jc w:val="left"/>
        <w:rPr/>
      </w:pPr>
      <w:r>
        <w:rPr>
          <w:rStyle w:val="FootnoteCharacters"/>
        </w:rPr>
        <w:footnoteRef/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>God”, cf e.g. Exod 6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Lev 26</w:t>
      </w:r>
      <w:r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Zech 8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; </w:t>
      </w:r>
      <w:r>
        <w:rPr>
          <w:rFonts w:cs="Times New Roman"/>
          <w:sz w:val="24"/>
          <w:szCs w:val="24"/>
        </w:rPr>
        <w:t xml:space="preserve">note diverse word-order in </w:t>
      </w:r>
      <w:r>
        <w:rPr>
          <w:rFonts w:cs="Times New Roman" w:ascii="HUBPSigla" w:hAnsi="HUBPSigla"/>
          <w:sz w:val="24"/>
          <w:szCs w:val="24"/>
        </w:rPr>
        <w:t>]h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David"/>
        <w:rtl w:val="true"/>
      </w:rPr>
      <w:fldChar w:fldCharType="begin"/>
    </w:r>
    <w:r>
      <w:rPr>
        <w:rtl w:val="true"/>
        <w:rFonts w:cs="David"/>
      </w:rPr>
      <w:instrText xml:space="preserve"> DATE \@"dd\/MM\/yyyy" </w:instrText>
    </w:r>
    <w:r>
      <w:rPr>
        <w:rtl w:val="true"/>
        <w:rFonts w:cs="David"/>
      </w:rPr>
      <w:fldChar w:fldCharType="separate"/>
    </w:r>
    <w:r>
      <w:rPr>
        <w:rtl w:val="true"/>
        <w:rFonts w:cs="David"/>
      </w:rPr>
      <w:t>10/11/2024</w:t>
    </w:r>
    <w:r>
      <w:rPr>
        <w:rtl w:val="true"/>
        <w:rFonts w:cs="David"/>
      </w:rPr>
      <w:fldChar w:fldCharType="end"/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הושע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א</w:t>
    </w:r>
    <w:r>
      <w:rPr>
        <w:rFonts w:cs="David"/>
        <w:rtl w:val="true"/>
      </w:rPr>
      <w:t xml:space="preserve">, </w:t>
    </w:r>
    <w:r>
      <w:rPr>
        <w:rFonts w:cs="David"/>
        <w:rtl w:val="true"/>
      </w:rPr>
      <w:t>אפ</w:t>
    </w:r>
    <w:r>
      <w:rPr>
        <w:rFonts w:cs="David"/>
        <w:rtl w:val="true"/>
      </w:rPr>
      <w:t xml:space="preserve">' </w:t>
    </w:r>
    <w:r>
      <w:rPr>
        <w:rFonts w:cs="David"/>
        <w:rtl w:val="true"/>
      </w:rPr>
      <w:t>א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 xml:space="preserve">+ </w:t>
    </w:r>
    <w:r>
      <w:rPr>
        <w:rFonts w:cs="David"/>
        <w:rtl w:val="true"/>
      </w:rPr>
      <w:t>ה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(</w:t>
    </w:r>
    <w:r>
      <w:rPr>
        <w:rFonts w:cs="David"/>
        <w:rtl w:val="true"/>
      </w:rPr>
      <w:t>הערות</w:t>
    </w:r>
    <w:r>
      <w:rPr>
        <w:rFonts w:eastAsia="Times New Roman" w:cs="Times New Roman"/>
        <w:rtl w:val="true"/>
      </w:rPr>
      <w:t xml:space="preserve"> </w:t>
    </w:r>
    <w:r>
      <w:rPr>
        <w:rFonts w:cs="David"/>
        <w:rtl w:val="true"/>
      </w:rPr>
      <w:t>באנגלית</w:t>
    </w:r>
    <w:r>
      <w:rPr>
        <w:rFonts w:cs="David"/>
        <w:rtl w:val="true"/>
      </w:rPr>
      <w:t>)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SimSun;ֻ־ּו" w:cs="Miriam"/>
      <w:color w:val="auto"/>
      <w:sz w:val="20"/>
      <w:szCs w:val="20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basedOn w:val="Style14"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bidi w:val="0"/>
      <w:spacing w:lineRule="auto" w:line="480"/>
      <w:jc w:val="center"/>
    </w:pPr>
    <w:rPr>
      <w:rFonts w:cs="FrankRuehl"/>
      <w:sz w:val="24"/>
      <w:szCs w:val="24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ootnote">
    <w:name w:val="Footnote Text"/>
    <w:basedOn w:val="Normal"/>
    <w:pPr/>
    <w:rPr/>
  </w:style>
  <w:style w:type="paragraph" w:styleId="Style15">
    <w:name w:val="טקסט בלונים"/>
    <w:basedOn w:val="Normal"/>
    <w:qFormat/>
    <w:pPr>
      <w:ind w:left="0" w:right="0" w:hanging="0"/>
      <w:jc w:val="left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ind w:left="0" w:right="0" w:hanging="0"/>
      <w:jc w:val="left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2004-08-04T12:04:00Z</dcterms:created>
  <dc:creator>Microsoft Corporation</dc:creator>
  <dc:description/>
  <cp:keywords/>
  <dc:language>en-US</dc:language>
  <cp:lastModifiedBy>Rafael Zer</cp:lastModifiedBy>
  <cp:lastPrinted>2010-07-13T16:24:00Z</cp:lastPrinted>
  <dcterms:modified xsi:type="dcterms:W3CDTF">2019-04-16T11:02:00Z</dcterms:modified>
  <cp:revision>154</cp:revision>
  <dc:subject/>
  <dc:title>Hos</dc:title>
</cp:coreProperties>
</file>