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exact" w:line="400"/>
        <w:rPr>
          <w:rFonts w:cs="Guttman Keren"/>
          <w:sz w:val="28"/>
          <w:szCs w:val="28"/>
        </w:rPr>
      </w:pPr>
      <w:r>
        <w:rPr>
          <w:rFonts w:cs="Guttman Keren"/>
          <w:i/>
          <w:iCs/>
          <w:sz w:val="28"/>
          <w:szCs w:val="28"/>
        </w:rPr>
        <w:t>Hosea</w:t>
      </w:r>
      <w:r>
        <w:rPr>
          <w:rFonts w:cs="Guttman Keren"/>
          <w:sz w:val="28"/>
          <w:szCs w:val="28"/>
        </w:rPr>
        <w:t xml:space="preserve"> 14</w:t>
      </w:r>
    </w:p>
    <w:p>
      <w:pPr>
        <w:pStyle w:val="Heading"/>
        <w:spacing w:lineRule="exact" w:line="400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1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תאשם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bookmarkStart w:id="0" w:name="_Ref180398066"/>
      <w:r>
        <w:rPr>
          <w:rFonts w:cs="Times New Roman" w:ascii="GFS Porson" w:hAnsi="GFS Porson"/>
          <w:sz w:val="28"/>
          <w:szCs w:val="28"/>
          <w:lang w:val="el-GR"/>
        </w:rPr>
        <w:t>ἀφανισθήσεται</w:t>
      </w:r>
      <w:r>
        <w:rPr>
          <w:rStyle w:val="FootnoteCharacters"/>
          <w:rStyle w:val="FootnoteAnchor"/>
          <w:sz w:val="28"/>
          <w:szCs w:val="28"/>
        </w:rPr>
        <w:footnoteReference w:id="2"/>
      </w:r>
      <w:bookmarkEnd w:id="0"/>
      <w:r>
        <w:rPr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pereat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מרתה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ad amaritudinem concitavit</w:t>
      </w:r>
      <w:r>
        <w:rPr>
          <w:rStyle w:val="FootnoteCharacters"/>
          <w:rStyle w:val="FootnoteAnchor"/>
          <w:sz w:val="28"/>
          <w:szCs w:val="28"/>
        </w:rPr>
        <w:footnoteReference w:id="3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יפלו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αὐτοί</w:t>
      </w:r>
      <w:r>
        <w:rPr>
          <w:rStyle w:val="FootnoteCharacters"/>
          <w:rStyle w:val="FootnoteAnchor"/>
          <w:sz w:val="28"/>
          <w:szCs w:val="28"/>
        </w:rPr>
        <w:footnoteReference w:id="4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pereat</w:t>
      </w:r>
      <w:r>
        <w:rPr>
          <w:rStyle w:val="FootnoteCharacters"/>
          <w:rStyle w:val="FootnoteAnchor"/>
          <w:sz w:val="28"/>
          <w:szCs w:val="28"/>
        </w:rPr>
        <w:footnoteReference w:id="5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עלליהם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III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והריותיו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][T</w:t>
      </w:r>
      <w:r>
        <w:rPr>
          <w:sz w:val="28"/>
          <w:szCs w:val="28"/>
        </w:rPr>
        <w:t xml:space="preserve"> pron</w:t>
      </w:r>
      <w:r>
        <w:rPr>
          <w:rStyle w:val="FootnoteCharacters"/>
          <w:rStyle w:val="FootnoteAnchor"/>
          <w:sz w:val="28"/>
          <w:szCs w:val="28"/>
        </w:rPr>
        <w:footnoteReference w:id="6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דברים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>
        <w:rPr>
          <w:rFonts w:cs="Segoe UI" w:ascii="GFS Porson" w:hAnsi="GFS Porson"/>
          <w:color w:val="000000"/>
          <w:sz w:val="28"/>
          <w:szCs w:val="28"/>
        </w:rPr>
        <w:t>πολλούς</w:t>
      </w:r>
      <w:r>
        <w:rPr>
          <w:rStyle w:val="FootnoteCharacters"/>
          <w:rStyle w:val="FootnoteAnchor"/>
          <w:sz w:val="28"/>
          <w:szCs w:val="28"/>
        </w:rPr>
        <w:footnoteReference w:id="7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יהוה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div + pron</w:t>
      </w:r>
      <w:r>
        <w:rPr>
          <w:rFonts w:cs="Times New Roman"/>
          <w:sz w:val="28"/>
          <w:szCs w:val="28"/>
          <w:highlight w:val="lightGray"/>
          <w:vertAlign w:val="subscript"/>
        </w:rPr>
        <w:t>II</w:t>
      </w:r>
      <w:r>
        <w:rPr>
          <w:rStyle w:val="FootnoteCharacters"/>
          <w:rStyle w:val="FootnoteAnchor"/>
          <w:sz w:val="28"/>
          <w:szCs w:val="28"/>
        </w:rPr>
        <w:footnoteReference w:id="8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תשא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עון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 w:ascii="HUBPSigla" w:hAnsi="HUBPSigla"/>
          <w:sz w:val="28"/>
          <w:szCs w:val="28"/>
        </w:rPr>
        <w:t>h</w:t>
      </w:r>
      <w:r>
        <w:rPr>
          <w:rFonts w:cs="Times New Roman"/>
          <w:sz w:val="28"/>
          <w:szCs w:val="28"/>
        </w:rPr>
        <w:t xml:space="preserve"> pr </w:t>
      </w:r>
      <w:r>
        <w:rPr>
          <w:rFonts w:cs="Segoe UI" w:ascii="GFS Porson" w:hAnsi="GFS Porson"/>
          <w:color w:val="000000"/>
          <w:sz w:val="28"/>
          <w:szCs w:val="28"/>
        </w:rPr>
        <w:t>δύνασαι ἀφι</w:t>
      </w:r>
      <w:r>
        <w:rPr>
          <w:rFonts w:cs="Times New Roman" w:ascii="GFS Porson" w:hAnsi="GFS Porson"/>
          <w:sz w:val="28"/>
          <w:szCs w:val="28"/>
          <w:lang w:val="el-GR"/>
        </w:rPr>
        <w:t>έ</w:t>
      </w:r>
      <w:r>
        <w:rPr>
          <w:rFonts w:cs="Segoe UI" w:ascii="GFS Porson" w:hAnsi="GFS Porson"/>
          <w:color w:val="000000"/>
          <w:sz w:val="28"/>
          <w:szCs w:val="28"/>
        </w:rPr>
        <w:t>ναι</w:t>
      </w:r>
      <w:r>
        <w:rPr>
          <w:rStyle w:val="FootnoteCharacters"/>
          <w:rStyle w:val="FootnoteAnchor"/>
          <w:sz w:val="28"/>
          <w:szCs w:val="28"/>
        </w:rPr>
        <w:footnoteReference w:id="9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כָּל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ὅπως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μὴ</w:t>
      </w:r>
      <w:r>
        <w:rPr>
          <w:rFonts w:cs="Times New Roman"/>
          <w:sz w:val="28"/>
          <w:szCs w:val="28"/>
          <w:highlight w:val="lightGray"/>
          <w:vertAlign w:val="subscript"/>
        </w:rPr>
        <w:t>III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0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val="el-GR" w:bidi="syr-TR"/>
        </w:rPr>
        <w:t>ܕ</w:t>
      </w:r>
      <w:r>
        <w:rPr>
          <w:rFonts w:cs="Estrangelo Edessa"/>
          <w:sz w:val="28"/>
          <w:szCs w:val="28"/>
          <w:rtl w:val="true"/>
          <w:lang w:val="el-GR" w:bidi="syr-TR"/>
        </w:rPr>
        <w:t>(</w:t>
      </w:r>
      <w:r>
        <w:rPr>
          <w:rFonts w:cs="Estrangelo Edessa"/>
          <w:sz w:val="28"/>
          <w:sz w:val="28"/>
          <w:szCs w:val="28"/>
          <w:rtl w:val="true"/>
          <w:lang w:val="el-GR" w:bidi="syr-TR"/>
        </w:rPr>
        <w:t>ܢܫܒܘܩ</w:t>
      </w:r>
      <w:r>
        <w:rPr>
          <w:rFonts w:cs="Estrangelo Edessa"/>
          <w:sz w:val="28"/>
          <w:szCs w:val="28"/>
          <w:rtl w:val="true"/>
          <w:lang w:val="el-GR" w:bidi="syr-TR"/>
        </w:rPr>
        <w:t>)</w:t>
      </w:r>
      <w:r>
        <w:rPr>
          <w:rStyle w:val="FootnoteCharacters"/>
          <w:rStyle w:val="FootnoteAnchor"/>
          <w:sz w:val="28"/>
          <w:szCs w:val="28"/>
        </w:rPr>
        <w:footnoteReference w:id="11"/>
      </w:r>
      <w:r>
        <w:rPr>
          <w:sz w:val="28"/>
          <w:szCs w:val="28"/>
        </w:rPr>
        <w:t xml:space="preserve"> | </w:t>
      </w:r>
      <w:r>
        <w:rPr>
          <w:rFonts w:cs="HUBPSigla" w:ascii="HUBPSigla" w:hAnsi="HUBPSigla"/>
          <w:sz w:val="28"/>
          <w:szCs w:val="28"/>
        </w:rPr>
        <w:t>T</w:t>
      </w:r>
      <w:r>
        <w:rPr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&gt;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תשא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>... 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 w:val="28"/>
          <w:szCs w:val="28"/>
          <w:rtl w:val="true"/>
        </w:rPr>
        <w:t>קח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pers</w:t>
      </w:r>
      <w:bookmarkStart w:id="1" w:name="_Ref256691041"/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2"/>
      </w:r>
      <w:bookmarkEnd w:id="1"/>
    </w:p>
    <w:p>
      <w:pPr>
        <w:pStyle w:val="Normal"/>
        <w:bidi w:val="0"/>
        <w:spacing w:lineRule="exact" w:line="400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תשא</w:t>
      </w:r>
      <w:r>
        <w:rPr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pers</w:t>
      </w:r>
      <w:bookmarkStart w:id="2" w:name="_Ref180399271"/>
      <w:r>
        <w:rPr>
          <w:rStyle w:val="FootnoteCharacters"/>
          <w:rStyle w:val="FootnoteAnchor"/>
          <w:sz w:val="28"/>
          <w:szCs w:val="28"/>
        </w:rPr>
        <w:footnoteReference w:id="13"/>
      </w:r>
      <w:bookmarkEnd w:id="2"/>
      <w:r>
        <w:rPr>
          <w:rFonts w:cs="Times New Roman"/>
          <w:sz w:val="28"/>
          <w:szCs w:val="28"/>
        </w:rPr>
        <w:t xml:space="preserve">, +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ܠܟܘܢ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14"/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עון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sz w:val="28"/>
          <w:szCs w:val="28"/>
        </w:rPr>
        <w:t xml:space="preserve"> + pron</w:t>
      </w:r>
      <w:r>
        <w:rPr>
          <w:rStyle w:val="FootnoteCharacters"/>
          <w:rStyle w:val="FootnoteAnchor"/>
          <w:sz w:val="28"/>
          <w:szCs w:val="28"/>
        </w:rPr>
        <w:footnoteReference w:id="15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lang w:val="el-GR"/>
        </w:rPr>
        <w:t>(</w:t>
      </w:r>
      <w:r>
        <w:rPr>
          <w:rFonts w:cs="Guttman Keren"/>
          <w:sz w:val="28"/>
          <w:sz w:val="28"/>
          <w:szCs w:val="28"/>
          <w:rtl w:val="true"/>
          <w:lang w:val="el-GR"/>
        </w:rPr>
        <w:t>ו</w:t>
      </w:r>
      <w:r>
        <w:rPr>
          <w:rFonts w:cs="Guttman Keren"/>
          <w:sz w:val="28"/>
          <w:szCs w:val="28"/>
          <w:lang w:val="el-GR"/>
        </w:rPr>
        <w:t>)</w:t>
      </w:r>
      <w:r>
        <w:rPr>
          <w:rFonts w:cs="Guttman Keren"/>
          <w:sz w:val="28"/>
          <w:sz w:val="28"/>
          <w:szCs w:val="28"/>
          <w:rtl w:val="true"/>
        </w:rPr>
        <w:t>קח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sz w:val="28"/>
          <w:szCs w:val="28"/>
        </w:rPr>
        <w:t xml:space="preserve"> pers</w:t>
      </w:r>
      <w:r>
        <w:rPr>
          <w:rStyle w:val="FootnoteCharacters"/>
          <w:rStyle w:val="FootnoteAnchor"/>
          <w:sz w:val="28"/>
          <w:szCs w:val="28"/>
        </w:rPr>
        <w:footnoteReference w:id="16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נשלמה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sz w:val="28"/>
          <w:szCs w:val="28"/>
        </w:rPr>
        <w:t xml:space="preserve"> pers</w:t>
      </w:r>
      <w:r>
        <w:rPr>
          <w:rStyle w:val="FootnoteCharacters"/>
          <w:rStyle w:val="FootnoteAnchor"/>
          <w:sz w:val="28"/>
          <w:szCs w:val="28"/>
        </w:rPr>
        <w:footnoteReference w:id="17"/>
      </w:r>
      <w:r>
        <w:rPr>
          <w:sz w:val="28"/>
          <w:szCs w:val="28"/>
        </w:rPr>
        <w:t>, + pron</w:t>
      </w:r>
      <w:r>
        <w:rPr>
          <w:rStyle w:val="FootnoteCharacters"/>
          <w:rStyle w:val="FootnoteAnchor"/>
          <w:sz w:val="28"/>
          <w:szCs w:val="28"/>
        </w:rPr>
        <w:footnoteReference w:id="18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פָרים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שפתינו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καρπόν</w:t>
      </w:r>
      <w:r>
        <w:rPr>
          <w:rStyle w:val="FootnoteCharacters"/>
          <w:rStyle w:val="FootnoteAnchor"/>
          <w:sz w:val="28"/>
          <w:szCs w:val="28"/>
        </w:rPr>
        <w:footnoteReference w:id="19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שפתינו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sz w:val="28"/>
          <w:szCs w:val="28"/>
        </w:rPr>
        <w:t xml:space="preserve"> pron</w:t>
      </w:r>
      <w:r>
        <w:rPr>
          <w:rStyle w:val="FootnoteCharacters"/>
          <w:rStyle w:val="FootnoteAnchor"/>
          <w:sz w:val="28"/>
          <w:szCs w:val="28"/>
        </w:rPr>
        <w:footnoteReference w:id="20"/>
      </w:r>
      <w:r>
        <w:rPr>
          <w:sz w:val="28"/>
          <w:szCs w:val="28"/>
        </w:rPr>
        <w:t xml:space="preserve"> |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ἐντρυφήσει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ἐν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ἀγαθοῖς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ἡ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καρδία</w:t>
      </w:r>
      <w:r>
        <w:rPr>
          <w:rFonts w:cs="Times New Roman"/>
          <w:sz w:val="28"/>
          <w:szCs w:val="28"/>
        </w:rPr>
        <w:t>/</w:t>
      </w:r>
      <w:r>
        <w:rPr>
          <w:rFonts w:cs="Times New Roman" w:ascii="GFS Porson" w:hAnsi="GFS Porson"/>
          <w:sz w:val="28"/>
          <w:szCs w:val="28"/>
          <w:lang w:val="el-GR"/>
        </w:rPr>
        <w:t>ψυχὴ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ἡμῶν</w:t>
      </w:r>
      <w:r>
        <w:rPr>
          <w:rFonts w:cs="Times New Roman" w:ascii="GFS Porson" w:hAnsi="GFS Porson"/>
          <w:sz w:val="28"/>
          <w:szCs w:val="28"/>
        </w:rPr>
        <w:t>/</w:t>
      </w:r>
      <w:r>
        <w:rPr>
          <w:rFonts w:cs="Times New Roman" w:ascii="GFS Porson" w:hAnsi="GFS Porson"/>
          <w:sz w:val="28"/>
          <w:szCs w:val="28"/>
          <w:lang w:val="el-GR"/>
        </w:rPr>
        <w:t>ὑμῶν</w:t>
      </w:r>
      <w:r>
        <w:rPr>
          <w:rStyle w:val="FootnoteCharacters"/>
          <w:rStyle w:val="FootnoteAnchor"/>
          <w:sz w:val="28"/>
          <w:szCs w:val="28"/>
        </w:rPr>
        <w:footnoteReference w:id="21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expans</w:t>
      </w:r>
      <w:r>
        <w:rPr>
          <w:rStyle w:val="FootnoteCharacters"/>
          <w:rStyle w:val="FootnoteAnchor"/>
          <w:sz w:val="28"/>
          <w:szCs w:val="28"/>
        </w:rPr>
        <w:footnoteReference w:id="22"/>
      </w:r>
    </w:p>
    <w:p>
      <w:pPr>
        <w:pStyle w:val="Normal"/>
        <w:bidi w:val="0"/>
        <w:spacing w:lineRule="exact" w:line="400"/>
        <w:jc w:val="left"/>
        <w:rPr>
          <w:rFonts w:cs="David"/>
          <w:sz w:val="28"/>
          <w:szCs w:val="28"/>
        </w:rPr>
      </w:pPr>
      <w:r>
        <w:rPr>
          <w:b/>
          <w:bCs/>
          <w:sz w:val="28"/>
          <w:szCs w:val="28"/>
        </w:rPr>
        <w:t xml:space="preserve">4 </w:t>
      </w:r>
      <w:r>
        <w:rPr>
          <w:rFonts w:cs="Guttman Keren"/>
          <w:sz w:val="28"/>
          <w:sz w:val="28"/>
          <w:szCs w:val="28"/>
          <w:rtl w:val="true"/>
        </w:rPr>
        <w:t>אשור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pr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ܘܐܡܪܘ</w:t>
      </w:r>
      <w:r>
        <w:rPr>
          <w:rStyle w:val="FootnoteCharacters"/>
          <w:rStyle w:val="FootnoteAnchor"/>
          <w:rFonts w:cs="David"/>
          <w:sz w:val="28"/>
          <w:sz w:val="28"/>
          <w:szCs w:val="28"/>
        </w:rPr>
        <w:footnoteReference w:id="23"/>
      </w:r>
    </w:p>
    <w:p>
      <w:pPr>
        <w:pStyle w:val="Normal"/>
        <w:bidi w:val="0"/>
        <w:spacing w:lineRule="exact" w:line="400"/>
        <w:jc w:val="left"/>
        <w:rPr>
          <w:sz w:val="28"/>
          <w:szCs w:val="28"/>
          <w:lang w:val="el-GR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נרכב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T</w:t>
      </w:r>
      <w:r>
        <w:rPr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  <w:lang w:val="el-GR"/>
        </w:rPr>
        <w:t>נתרחיץ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24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לא</w:t>
      </w:r>
      <w:r>
        <w:rPr>
          <w:rFonts w:cs="Guttman Keren"/>
          <w:sz w:val="28"/>
          <w:szCs w:val="28"/>
          <w:rtl w:val="true"/>
        </w:rPr>
        <w:t>)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]Th</w:t>
      </w:r>
      <w:r>
        <w:rPr>
          <w:rFonts w:cs="Times New Roman"/>
          <w:sz w:val="28"/>
          <w:szCs w:val="28"/>
        </w:rPr>
        <w:t xml:space="preserve"> &gt;</w:t>
      </w:r>
    </w:p>
    <w:p>
      <w:pPr>
        <w:pStyle w:val="Normal"/>
        <w:bidi w:val="0"/>
        <w:spacing w:lineRule="exact" w:line="400"/>
        <w:jc w:val="left"/>
        <w:rPr>
          <w:rFonts w:cs="Times New Roman"/>
          <w:i/>
          <w:i/>
          <w:iCs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אלהינו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&gt; pron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5"/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ל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מעשה</w:t>
      </w:r>
      <w:r>
        <w:rPr>
          <w:rFonts w:cs="Guttman Keren"/>
          <w:sz w:val="28"/>
          <w:szCs w:val="28"/>
          <w:rtl w:val="true"/>
        </w:rPr>
        <w:t>)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ptcl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ל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מעשה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]*T</w:t>
      </w:r>
      <w:r>
        <w:rPr>
          <w:rFonts w:cs="Times New Roman"/>
          <w:sz w:val="28"/>
          <w:szCs w:val="28"/>
        </w:rPr>
        <w:t xml:space="preserve"> num</w:t>
      </w:r>
    </w:p>
    <w:p>
      <w:pPr>
        <w:pStyle w:val="Normal"/>
        <w:bidi w:val="0"/>
        <w:spacing w:lineRule="exact" w:line="400"/>
        <w:jc w:val="left"/>
        <w:rPr>
          <w:i/>
          <w:i/>
          <w:iCs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ירֻחם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]*[</w:t>
      </w:r>
      <w:r>
        <w:rPr>
          <w:sz w:val="28"/>
          <w:szCs w:val="28"/>
        </w:rPr>
        <w:t xml:space="preserve"> diath</w:t>
      </w:r>
    </w:p>
    <w:p>
      <w:pPr>
        <w:pStyle w:val="Normal"/>
        <w:bidi w:val="0"/>
        <w:spacing w:lineRule="exact" w:line="400"/>
        <w:jc w:val="left"/>
        <w:rPr>
          <w:rFonts w:cs="David"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משובתם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]*:</w:t>
      </w:r>
      <w:r>
        <w:rPr>
          <w:rFonts w:cs="Times New Roman"/>
          <w:sz w:val="28"/>
          <w:szCs w:val="28"/>
        </w:rPr>
        <w:t xml:space="preserve"> num</w:t>
      </w:r>
      <w:r>
        <w:rPr>
          <w:rFonts w:cs="Times New Roman"/>
          <w:sz w:val="28"/>
          <w:szCs w:val="28"/>
          <w:highlight w:val="lightGray"/>
          <w:vertAlign w:val="subscript"/>
        </w:rPr>
        <w:t>II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τὰς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κατοικίας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αὐτῶν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6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contritiones eorum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7"/>
      </w:r>
      <w:r>
        <w:rPr>
          <w:rFonts w:cs="Times New Roman"/>
          <w:sz w:val="28"/>
          <w:szCs w:val="28"/>
        </w:rPr>
        <w:t xml:space="preserve"> | </w:t>
      </w:r>
      <w:r>
        <w:rPr>
          <w:rFonts w:cs="HUBPSigla" w:ascii="HUBPSigla" w:hAnsi="HUBPSigla"/>
          <w:sz w:val="28"/>
          <w:szCs w:val="28"/>
        </w:rPr>
        <w:t>: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ܡܬܦܢ̈ܝܢܘܬܐ</w:t>
      </w:r>
      <w:r>
        <w:rPr>
          <w:rStyle w:val="FootnoteCharacters"/>
          <w:rStyle w:val="FootnoteAnchor"/>
          <w:rFonts w:cs="David"/>
          <w:sz w:val="28"/>
          <w:sz w:val="28"/>
          <w:szCs w:val="28"/>
        </w:rPr>
        <w:footnoteReference w:id="28"/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שב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rFonts w:cs="Times New Roman" w:ascii="HUBPSigla" w:hAnsi="HUBPSigla"/>
          <w:sz w:val="28"/>
          <w:szCs w:val="28"/>
        </w:rPr>
        <w:t>h</w:t>
      </w:r>
      <w:r>
        <w:rPr>
          <w:rFonts w:cs="Times New Roman"/>
          <w:sz w:val="28"/>
          <w:szCs w:val="28"/>
        </w:rPr>
        <w:t xml:space="preserve"> diath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ממנו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]-*h[T</w:t>
      </w:r>
      <w:r>
        <w:rPr>
          <w:sz w:val="28"/>
          <w:szCs w:val="28"/>
        </w:rPr>
        <w:t xml:space="preserve"> pron</w:t>
      </w:r>
      <w:r>
        <w:rPr>
          <w:sz w:val="28"/>
          <w:szCs w:val="28"/>
          <w:highlight w:val="lightGray"/>
          <w:vertAlign w:val="subscript"/>
        </w:rPr>
        <w:t>II</w:t>
      </w:r>
      <w:r>
        <w:rPr>
          <w:rStyle w:val="FootnoteCharacters"/>
          <w:rStyle w:val="FootnoteAnchor"/>
          <w:sz w:val="28"/>
          <w:szCs w:val="28"/>
        </w:rPr>
        <w:footnoteReference w:id="29"/>
      </w:r>
    </w:p>
    <w:p>
      <w:pPr>
        <w:pStyle w:val="Normal"/>
        <w:bidi w:val="0"/>
        <w:spacing w:lineRule="exact" w:line="400"/>
        <w:jc w:val="left"/>
        <w:rPr>
          <w:rFonts w:ascii="HUBPSigla" w:hAnsi="HUBPSigla" w:cs="Times New Roman"/>
          <w:sz w:val="28"/>
          <w:szCs w:val="28"/>
        </w:rPr>
      </w:pPr>
      <w:r>
        <w:rPr>
          <w:b/>
          <w:bCs/>
          <w:sz w:val="28"/>
          <w:szCs w:val="28"/>
        </w:rPr>
        <w:t xml:space="preserve">6 </w:t>
      </w:r>
      <w:r>
        <w:rPr>
          <w:rFonts w:cs="Guttman Keren"/>
          <w:sz w:val="28"/>
          <w:sz w:val="28"/>
          <w:szCs w:val="28"/>
          <w:rtl w:val="true"/>
        </w:rPr>
        <w:t>אהיה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שרשיו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num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0"/>
      </w:r>
    </w:p>
    <w:p>
      <w:pPr>
        <w:pStyle w:val="Normal"/>
        <w:bidi w:val="0"/>
        <w:spacing w:lineRule="exact" w:line="400"/>
        <w:jc w:val="left"/>
        <w:rPr>
          <w:rFonts w:cs="Guttman Keren"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ילכו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הודו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כזית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ὡς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ἐλαία</w:t>
      </w:r>
      <w:r>
        <w:rPr>
          <w:rFonts w:cs="HUBPSigla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κατάκαρπος</w:t>
      </w:r>
      <w:r>
        <w:rPr>
          <w:rStyle w:val="FootnoteCharacters"/>
          <w:rStyle w:val="FootnoteAnchor"/>
          <w:sz w:val="28"/>
          <w:szCs w:val="28"/>
        </w:rPr>
        <w:footnoteReference w:id="31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  <w:lang w:val="el-GR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לבנון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pr </w:t>
      </w:r>
      <w:r>
        <w:rPr>
          <w:rFonts w:cs="Segoe UI" w:ascii="GFS Porson" w:hAnsi="GFS Porson"/>
          <w:color w:val="000000"/>
          <w:sz w:val="28"/>
          <w:szCs w:val="28"/>
        </w:rPr>
        <w:t>οἶνος</w:t>
      </w:r>
      <w:r>
        <w:rPr>
          <w:rStyle w:val="FootnoteCharacters"/>
          <w:rStyle w:val="FootnoteAnchor"/>
          <w:sz w:val="28"/>
          <w:szCs w:val="28"/>
        </w:rPr>
        <w:footnoteReference w:id="32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  <w:lang w:val="el-GR"/>
        </w:rPr>
        <w:t>כריח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sz w:val="28"/>
          <w:sz w:val="28"/>
          <w:szCs w:val="28"/>
          <w:rtl w:val="true"/>
          <w:lang w:val="el-GR"/>
        </w:rPr>
        <w:t>קטורת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sz w:val="28"/>
          <w:sz w:val="28"/>
          <w:szCs w:val="28"/>
          <w:rtl w:val="true"/>
          <w:lang w:val="el-GR"/>
        </w:rPr>
        <w:t>בסמיא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33"/>
      </w:r>
    </w:p>
    <w:p>
      <w:pPr>
        <w:pStyle w:val="Normal"/>
        <w:bidi w:val="0"/>
        <w:spacing w:lineRule="exact" w:line="400"/>
        <w:jc w:val="left"/>
        <w:rPr>
          <w:rFonts w:cs="David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8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ישבו</w:t>
      </w:r>
      <w:r>
        <w:rPr>
          <w:sz w:val="28"/>
          <w:szCs w:val="28"/>
          <w:rtl w:val="true"/>
        </w:rPr>
        <w:t xml:space="preserve">] </w:t>
      </w:r>
      <w:r>
        <w:rPr>
          <w:rFonts w:cs="HUBPSigla" w:ascii="HUBPSigla" w:hAnsi="HUBPSigla"/>
          <w:sz w:val="28"/>
          <w:szCs w:val="28"/>
          <w:rtl w:val="true"/>
        </w:rPr>
        <w:t>[</w:t>
      </w:r>
      <w:r>
        <w:rPr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ܘܢܬܒܢܘܢ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34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ישְׁבֵי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καθιοῦνται</w:t>
      </w:r>
      <w:r>
        <w:rPr>
          <w:rStyle w:val="FootnoteCharacters"/>
          <w:rStyle w:val="FootnoteAnchor"/>
          <w:sz w:val="28"/>
          <w:szCs w:val="28"/>
        </w:rPr>
        <w:footnoteReference w:id="35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+ </w:t>
      </w:r>
      <w:r>
        <w:rPr>
          <w:rFonts w:cs="Segoe UI" w:ascii="GFS Porson" w:hAnsi="GFS Porson"/>
          <w:color w:val="000000"/>
          <w:sz w:val="28"/>
          <w:szCs w:val="28"/>
        </w:rPr>
        <w:t>ἕκαστος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6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יְחַיּוּ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]h[Th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ζήσονται</w:t>
      </w:r>
      <w:r>
        <w:rPr>
          <w:rStyle w:val="FootnoteCharacters"/>
          <w:rStyle w:val="FootnoteAnchor"/>
          <w:sz w:val="28"/>
          <w:szCs w:val="28"/>
        </w:rPr>
        <w:footnoteReference w:id="37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*[T-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μεθυσθήσονται</w:t>
      </w:r>
      <w:r>
        <w:rPr>
          <w:rFonts w:cs="Times New Roman"/>
          <w:sz w:val="28"/>
          <w:szCs w:val="28"/>
        </w:rPr>
        <w:t>,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8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στηριχ</w:t>
      </w:r>
      <w:r>
        <w:rPr>
          <w:rFonts w:cs="Times New Roman" w:ascii="GFS Porson" w:hAnsi="GFS Porson"/>
          <w:sz w:val="28"/>
          <w:szCs w:val="28"/>
          <w:lang w:val="el-GR"/>
        </w:rPr>
        <w:t>θήσονται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9"/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ויפרחו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pers</w:t>
      </w:r>
      <w:r>
        <w:rPr>
          <w:rStyle w:val="FootnoteCharacters"/>
          <w:rStyle w:val="FootnoteAnchor"/>
          <w:sz w:val="28"/>
          <w:szCs w:val="28"/>
        </w:rPr>
        <w:footnoteReference w:id="40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זכרו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],</w:t>
      </w:r>
      <w:r>
        <w:rPr>
          <w:sz w:val="28"/>
          <w:szCs w:val="28"/>
        </w:rPr>
        <w:t xml:space="preserve"> | </w:t>
      </w:r>
      <w:r>
        <w:rPr>
          <w:rFonts w:cs="HUBPSigla" w:ascii="HUBPSigla" w:hAnsi="HUBPSigla"/>
          <w:sz w:val="28"/>
          <w:szCs w:val="28"/>
        </w:rPr>
        <w:t>]h[T</w:t>
      </w:r>
      <w:r>
        <w:rPr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pron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1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אפרים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לי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τῷ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Εφραιμ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... </w:t>
      </w:r>
      <w:r>
        <w:rPr>
          <w:rFonts w:cs="Times New Roman" w:ascii="GFS Porson" w:hAnsi="GFS Porson"/>
          <w:sz w:val="28"/>
          <w:szCs w:val="28"/>
          <w:lang w:val="el-GR"/>
        </w:rPr>
        <w:t>αὐτῷ</w:t>
      </w:r>
      <w:r>
        <w:rPr>
          <w:rStyle w:val="FootnoteCharacters"/>
          <w:rStyle w:val="FootnoteAnchor"/>
          <w:sz w:val="28"/>
          <w:szCs w:val="28"/>
        </w:rPr>
        <w:footnoteReference w:id="42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לעצבים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&amp;</w:t>
      </w:r>
      <w:r>
        <w:rPr>
          <w:rStyle w:val="FootnoteCharacters"/>
          <w:rStyle w:val="FootnoteAnchor"/>
          <w:sz w:val="28"/>
          <w:szCs w:val="28"/>
        </w:rPr>
        <w:footnoteReference w:id="43"/>
      </w:r>
    </w:p>
    <w:p>
      <w:pPr>
        <w:pStyle w:val="Normal"/>
        <w:bidi w:val="0"/>
        <w:spacing w:lineRule="exact" w:line="400"/>
        <w:jc w:val="left"/>
        <w:rPr>
          <w:rFonts w:ascii="HUBPSigla" w:hAnsi="HUBPSigla" w:cs="HUBPSigla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עָנִיתי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ἐταπείνωσα</w:t>
      </w:r>
      <w:r>
        <w:rPr>
          <w:rStyle w:val="FootnoteCharacters"/>
          <w:rStyle w:val="FootnoteAnchor"/>
          <w:sz w:val="28"/>
          <w:szCs w:val="28"/>
        </w:rPr>
        <w:footnoteReference w:id="44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αὐτόν</w:t>
      </w:r>
      <w:r>
        <w:rPr>
          <w:rStyle w:val="FootnoteCharacters"/>
          <w:rStyle w:val="FootnoteAnchor"/>
          <w:sz w:val="28"/>
          <w:szCs w:val="28"/>
        </w:rPr>
        <w:footnoteReference w:id="45"/>
      </w:r>
      <w:r>
        <w:rPr>
          <w:rFonts w:cs="Times New Roman"/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*h[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אשורנו</w:t>
      </w:r>
      <w:r>
        <w:rPr>
          <w:rFonts w:cs="Guttman Keren"/>
          <w:sz w:val="28"/>
          <w:szCs w:val="28"/>
          <w:rtl w:val="true"/>
        </w:rPr>
        <w:t>)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ἐγώ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6"/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אשור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נו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κατισχύσω</w:t>
      </w:r>
      <w:r>
        <w:rPr>
          <w:rStyle w:val="FootnoteCharacters"/>
          <w:rStyle w:val="FootnoteAnchor"/>
          <w:sz w:val="28"/>
          <w:szCs w:val="28"/>
        </w:rPr>
        <w:footnoteReference w:id="47"/>
      </w:r>
      <w:r>
        <w:rPr>
          <w:rFonts w:cs="Times New Roman"/>
          <w:sz w:val="28"/>
          <w:szCs w:val="28"/>
        </w:rPr>
        <w:t xml:space="preserve"> | </w:t>
      </w:r>
      <w:r>
        <w:rPr>
          <w:rFonts w:cs="David" w:ascii="HUBPSigla" w:hAnsi="HUBPSigla"/>
          <w:sz w:val="28"/>
          <w:szCs w:val="28"/>
        </w:rPr>
        <w:t>*</w:t>
      </w:r>
      <w:r>
        <w:rPr>
          <w:rFonts w:cs="David"/>
          <w:sz w:val="28"/>
          <w:szCs w:val="28"/>
        </w:rPr>
        <w:t xml:space="preserve"> </w:t>
      </w:r>
      <w:r>
        <w:rPr>
          <w:rFonts w:cs="David"/>
          <w:i/>
          <w:iCs/>
          <w:sz w:val="28"/>
          <w:szCs w:val="28"/>
        </w:rPr>
        <w:t>dirigam</w:t>
      </w:r>
      <w:r>
        <w:rPr>
          <w:rStyle w:val="FootnoteCharacters"/>
          <w:rStyle w:val="FootnoteAnchor"/>
          <w:sz w:val="28"/>
          <w:szCs w:val="28"/>
        </w:rPr>
        <w:footnoteReference w:id="48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val="el-GR" w:bidi="syr-TR"/>
        </w:rPr>
        <w:t>ܐܫܒܚ</w:t>
      </w:r>
      <w:r>
        <w:rPr>
          <w:rFonts w:cs="Estrangelo Edessa"/>
          <w:sz w:val="28"/>
          <w:szCs w:val="28"/>
          <w:rtl w:val="true"/>
          <w:lang w:val="el-GR" w:bidi="syr-TR"/>
        </w:rPr>
        <w:t>(</w:t>
      </w:r>
      <w:r>
        <w:rPr>
          <w:rFonts w:cs="Estrangelo Edessa"/>
          <w:sz w:val="28"/>
          <w:sz w:val="28"/>
          <w:szCs w:val="28"/>
          <w:rtl w:val="true"/>
          <w:lang w:val="el-GR" w:bidi="syr-TR"/>
        </w:rPr>
        <w:t>ܝܘܗܝ</w:t>
      </w:r>
      <w:r>
        <w:rPr>
          <w:rFonts w:cs="Estrangelo Edessa"/>
          <w:sz w:val="28"/>
          <w:szCs w:val="28"/>
          <w:rtl w:val="true"/>
          <w:lang w:val="el-GR" w:bidi="syr-TR"/>
        </w:rPr>
        <w:t>)</w:t>
      </w:r>
      <w:r>
        <w:rPr>
          <w:rStyle w:val="FootnoteCharacters"/>
          <w:rStyle w:val="FootnoteAnchor"/>
          <w:sz w:val="28"/>
          <w:szCs w:val="28"/>
        </w:rPr>
        <w:footnoteReference w:id="49"/>
      </w:r>
      <w:r>
        <w:rPr>
          <w:rFonts w:cs="David"/>
          <w:sz w:val="28"/>
          <w:szCs w:val="28"/>
        </w:rPr>
        <w:t xml:space="preserve">  </w:t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David" w:ascii="HUBPSigla" w:hAnsi="HUBPSigla"/>
          <w:sz w:val="28"/>
          <w:szCs w:val="28"/>
        </w:rPr>
        <w:t>,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אני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Guttman Keren" w:ascii="HUBPSigla" w:hAnsi="HUBPSigla"/>
          <w:sz w:val="28"/>
          <w:szCs w:val="28"/>
        </w:rPr>
        <w:t>(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ואשורנו</w:t>
      </w:r>
      <w:r>
        <w:rPr>
          <w:rFonts w:cs="Guttman Keren" w:ascii="HUBPSigla" w:hAnsi="HUBPSigla"/>
          <w:sz w:val="28"/>
          <w:szCs w:val="28"/>
        </w:rPr>
        <w:t>)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/>
          <w:i/>
          <w:iCs/>
          <w:sz w:val="28"/>
          <w:szCs w:val="28"/>
        </w:rPr>
        <w:t>ego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Cs w:val="28"/>
          <w:lang w:bidi="syr-TR"/>
        </w:rPr>
        <w:t>(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ܐܫܒܚܝܘܗܝ</w:t>
      </w:r>
      <w:r>
        <w:rPr>
          <w:rFonts w:cs="Estrangelo Edessa"/>
          <w:sz w:val="28"/>
          <w:szCs w:val="28"/>
          <w:lang w:bidi="syr-TR"/>
        </w:rPr>
        <w:t>)</w:t>
      </w:r>
      <w:r>
        <w:rPr>
          <w:rFonts w:cs="David" w:ascii="HUBPSigla" w:hAnsi="HUBPSigla"/>
          <w:sz w:val="28"/>
          <w:szCs w:val="28"/>
        </w:rPr>
        <w:t>,</w:t>
      </w:r>
      <w:r>
        <w:rPr>
          <w:rFonts w:ascii="HUBPSigla" w:hAnsi="HUBPSigla" w:cs="Estrangelo Edessa"/>
          <w:sz w:val="28"/>
          <w:sz w:val="28"/>
          <w:szCs w:val="28"/>
          <w:rtl w:val="true"/>
          <w:lang w:bidi="syr-TR"/>
        </w:rPr>
        <w:t>ܘܐܢܐ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50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 </w:t>
      </w:r>
      <w:r>
        <w:rPr>
          <w:rFonts w:cs="Times New Roman" w:ascii="HUBPSigla" w:hAnsi="HUBPSigla"/>
          <w:sz w:val="28"/>
          <w:szCs w:val="28"/>
        </w:rPr>
        <w:t>]h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כברוש</w:t>
      </w:r>
      <w:r>
        <w:rPr>
          <w:sz w:val="28"/>
          <w:szCs w:val="28"/>
        </w:rPr>
        <w:t>]</w:t>
      </w:r>
      <w:r>
        <w:rPr>
          <w:rStyle w:val="FootnoteCharacters"/>
          <w:rStyle w:val="FootnoteAnchor"/>
          <w:sz w:val="28"/>
          <w:szCs w:val="28"/>
        </w:rPr>
        <w:footnoteReference w:id="51"/>
      </w:r>
      <w:r>
        <w:rPr>
          <w:sz w:val="28"/>
          <w:szCs w:val="28"/>
        </w:rPr>
        <w:t xml:space="preserve"> </w:t>
      </w:r>
      <w:r>
        <w:rPr>
          <w:rFonts w:cs="David" w:ascii="HUBPSigla" w:hAnsi="HUBPSigla"/>
          <w:sz w:val="28"/>
          <w:szCs w:val="28"/>
        </w:rPr>
        <w:t>T</w:t>
      </w:r>
      <w:r>
        <w:rPr>
          <w:rFonts w:cs="David"/>
          <w:sz w:val="28"/>
          <w:szCs w:val="28"/>
        </w:rPr>
        <w:t xml:space="preserve"> pr </w:t>
      </w:r>
      <w:r>
        <w:rPr>
          <w:sz w:val="28"/>
          <w:sz w:val="28"/>
          <w:szCs w:val="28"/>
          <w:rtl w:val="true"/>
          <w:lang w:val="el-GR"/>
        </w:rPr>
        <w:t>אעבדיניה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52"/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פריךָ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pron</w:t>
      </w:r>
      <w:r>
        <w:rPr>
          <w:rStyle w:val="FootnoteCharacters"/>
          <w:rStyle w:val="FootnoteAnchor"/>
          <w:sz w:val="28"/>
          <w:szCs w:val="28"/>
        </w:rPr>
        <w:footnoteReference w:id="53"/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נבון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]-[</w:t>
      </w:r>
      <w:r>
        <w:rPr>
          <w:sz w:val="28"/>
          <w:szCs w:val="28"/>
        </w:rPr>
        <w:t xml:space="preserve"> connect</w:t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"/>
          <w:sz w:val="28"/>
          <w:sz w:val="28"/>
          <w:szCs w:val="28"/>
          <w:rtl w:val="true"/>
          <w:lang w:val="el-GR"/>
        </w:rPr>
        <w:t>ופשעים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det</w:t>
      </w:r>
    </w:p>
    <w:sectPr>
      <w:headerReference w:type="default" r:id="rId2"/>
      <w:footerReference w:type="default" r:id="rId3"/>
      <w:footnotePr>
        <w:numFmt w:val="decimal"/>
        <w:numRestart w:val="eachSect"/>
      </w:footnotePr>
      <w:type w:val="nextPage"/>
      <w:pgSz w:w="11906" w:h="16838"/>
      <w:pgMar w:left="1800" w:right="1800" w:gutter="0" w:header="72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HUBPSigla">
    <w:charset w:val="00"/>
    <w:family w:val="auto"/>
    <w:pitch w:val="variable"/>
  </w:font>
  <w:font w:name="GFS Porson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r>
      <w:rPr>
        <w:rtl w:val="true"/>
      </w:rPr>
    </w:r>
    <w:r>
      <mc:AlternateContent>
        <mc:Choice Requires="wps">
          <w:drawing>
            <wp:anchor behindDoc="0" distT="0" distB="0" distL="0" distR="0" simplePos="0" locked="0" layoutInCell="0" allowOverlap="1" relativeHeight="5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8128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lef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t>4</w: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1.65pt;mso-wrap-distance-left:0pt;mso-wrap-distance-right:0pt;mso-wrap-distance-top:0pt;mso-wrap-distance-bottom:0pt;margin-top:0.05pt;mso-position-vertical-relative:text;margin-left:204.4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jc w:val="lef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tl w:val="true"/>
                        <w:rStyle w:val="PageNumber"/>
                      </w:rPr>
                      <w:instrText xml:space="preserve"> PAGE </w:instrText>
                    </w:r>
                    <w:r>
                      <w:rPr>
                        <w:rtl w:val="true"/>
                        <w:rStyle w:val="PageNumber"/>
                      </w:rPr>
                      <w:fldChar w:fldCharType="separate"/>
                    </w:r>
                    <w:r>
                      <w:rPr>
                        <w:rtl w:val="true"/>
                        <w:rStyle w:val="PageNumber"/>
                      </w:rPr>
                      <w:t>4</w:t>
                    </w:r>
                    <w:r>
                      <w:rPr>
                        <w:rtl w:val="true"/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שמם</w:t>
      </w:r>
      <w:r>
        <w:rPr>
          <w:rFonts w:cs="Guttman Keren"/>
          <w:sz w:val="24"/>
          <w:szCs w:val="24"/>
        </w:rPr>
        <w:t>, cf app 5</w:t>
      </w:r>
      <w:r>
        <w:rPr>
          <w:rFonts w:cs="Guttman Keren"/>
          <w:sz w:val="24"/>
          <w:szCs w:val="24"/>
          <w:vertAlign w:val="subscript"/>
        </w:rPr>
        <w:t>15</w:t>
      </w:r>
    </w:p>
  </w:footnote>
  <w:footnote w:id="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she incited to embitterment</w:t>
      </w:r>
      <w:r>
        <w:rPr>
          <w:rFonts w:cs="Times New Roman"/>
          <w:sz w:val="24"/>
          <w:szCs w:val="24"/>
        </w:rPr>
        <w:t>”</w:t>
      </w:r>
      <w:r>
        <w:rPr>
          <w:rFonts w:cs="Guttman Keren"/>
          <w:sz w:val="24"/>
          <w:szCs w:val="24"/>
        </w:rPr>
        <w:t xml:space="preserve">; </w:t>
      </w:r>
      <w:r>
        <w:rPr>
          <w:rFonts w:cs="Times New Roman"/>
          <w:sz w:val="24"/>
          <w:szCs w:val="24"/>
        </w:rPr>
        <w:t>dupl:</w:t>
      </w:r>
      <w:r>
        <w:rPr>
          <w:rFonts w:cs="Guttman Keren"/>
          <w:sz w:val="24"/>
          <w:szCs w:val="24"/>
        </w:rPr>
        <w:t xml:space="preserve"> etym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מרה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and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מרר</w:t>
      </w:r>
      <w:r>
        <w:rPr>
          <w:rFonts w:cs="Times New Roman"/>
          <w:sz w:val="24"/>
          <w:szCs w:val="24"/>
        </w:rPr>
        <w:t>; p periphrasis,</w:t>
      </w:r>
      <w:r>
        <w:rPr>
          <w:rFonts w:cs="Guttman Keren"/>
          <w:sz w:val="24"/>
          <w:szCs w:val="24"/>
        </w:rPr>
        <w:t xml:space="preserve"> cf </w:t>
      </w:r>
      <w:r>
        <w:rPr>
          <w:rFonts w:cs="Guttman Keren" w:ascii="HUBPSigla" w:hAnsi="HUBPSigla"/>
          <w:sz w:val="24"/>
          <w:szCs w:val="24"/>
        </w:rPr>
        <w:t>*</w:t>
      </w:r>
      <w:r>
        <w:rPr>
          <w:rFonts w:cs="Guttman Keren"/>
          <w:sz w:val="24"/>
          <w:szCs w:val="24"/>
        </w:rPr>
        <w:t xml:space="preserve"> Isa 63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 xml:space="preserve"> Jer 4</w:t>
      </w:r>
      <w:r>
        <w:rPr>
          <w:rFonts w:cs="Guttman Keren"/>
          <w:sz w:val="24"/>
          <w:szCs w:val="24"/>
          <w:vertAlign w:val="subscript"/>
        </w:rPr>
        <w:t>17</w:t>
      </w:r>
      <w:r>
        <w:rPr>
          <w:rFonts w:cs="Guttman Keren"/>
          <w:sz w:val="24"/>
          <w:szCs w:val="24"/>
        </w:rPr>
        <w:t xml:space="preserve"> et al</w:t>
      </w:r>
    </w:p>
  </w:footnote>
  <w:footnote w:id="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themselves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for verb followed by </w:t>
      </w:r>
      <w:r>
        <w:rPr>
          <w:rFonts w:cs="Guttman Keren"/>
          <w:sz w:val="24"/>
          <w:sz w:val="24"/>
          <w:szCs w:val="24"/>
          <w:rtl w:val="true"/>
        </w:rPr>
        <w:t>המה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e.g. Ps 109</w:t>
      </w:r>
      <w:r>
        <w:rPr>
          <w:rFonts w:cs="Guttman Keren"/>
          <w:sz w:val="24"/>
          <w:szCs w:val="24"/>
          <w:vertAlign w:val="subscript"/>
        </w:rPr>
        <w:t>28</w:t>
      </w:r>
    </w:p>
  </w:footnote>
  <w:footnote w:id="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she will be destroyed”, parall prec (see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)</w:t>
      </w:r>
    </w:p>
  </w:footnote>
  <w:footnote w:id="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3pl, parall prec</w:t>
      </w:r>
    </w:p>
  </w:footnote>
  <w:footnote w:id="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many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frequent add in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; hardly ditt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ברים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רבים</w:t>
      </w:r>
    </w:p>
  </w:footnote>
  <w:footnote w:id="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2pl, cf v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יהוה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אלהיך</w:t>
      </w:r>
    </w:p>
  </w:footnote>
  <w:footnote w:id="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you are able to take away (sin)</w:t>
      </w:r>
      <w:r>
        <w:rPr>
          <w:rFonts w:cs="Times New Roman"/>
          <w:sz w:val="24"/>
          <w:szCs w:val="24"/>
        </w:rPr>
        <w:t xml:space="preserve">”; alternative transl; etym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יכל</w:t>
      </w:r>
      <w:r>
        <w:rPr>
          <w:rFonts w:cs="Guttman Keren"/>
          <w:sz w:val="24"/>
          <w:szCs w:val="24"/>
        </w:rPr>
        <w:t xml:space="preserve">; p </w:t>
      </w:r>
      <w:r>
        <w:rPr>
          <w:rFonts w:cs="Guttman Keren"/>
          <w:sz w:val="24"/>
          <w:sz w:val="24"/>
          <w:szCs w:val="24"/>
          <w:rtl w:val="true"/>
        </w:rPr>
        <w:t>תשא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 w:ascii="HUBPSigla" w:hAnsi="HUBPSigla"/>
          <w:sz w:val="24"/>
          <w:szCs w:val="24"/>
          <w:rtl w:val="true"/>
        </w:rPr>
        <w:t>$</w:t>
      </w:r>
      <w:r>
        <w:rPr>
          <w:rFonts w:cs="Times New Roman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שאת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(cf </w:t>
      </w:r>
      <w:r>
        <w:rPr>
          <w:rFonts w:cs="Guttman Keren" w:ascii="HUBPSigla" w:hAnsi="HUBPSigla"/>
          <w:sz w:val="24"/>
          <w:szCs w:val="24"/>
        </w:rPr>
        <w:t>|</w:t>
      </w:r>
      <w:r>
        <w:rPr>
          <w:rFonts w:cs="Times New Roman"/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ܠܡܚܣܝܘ</w:t>
      </w:r>
      <w:r>
        <w:rPr>
          <w:rFonts w:cs="David"/>
          <w:sz w:val="24"/>
          <w:szCs w:val="24"/>
        </w:rPr>
        <w:t xml:space="preserve">), for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ל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שאת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 xml:space="preserve">+ </w:t>
      </w:r>
      <w:r>
        <w:rPr>
          <w:rFonts w:cs="Times New Roman" w:ascii="HUBPSigla" w:hAnsi="HUBPSigla"/>
          <w:sz w:val="24"/>
          <w:szCs w:val="24"/>
          <w:rtl w:val="true"/>
        </w:rPr>
        <w:t>\</w:t>
      </w:r>
      <w:r>
        <w:rPr>
          <w:rFonts w:cs="Guttman Keren"/>
          <w:sz w:val="24"/>
          <w:sz w:val="24"/>
          <w:szCs w:val="24"/>
          <w:rtl w:val="true"/>
        </w:rPr>
        <w:t>יכל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Gen 36</w:t>
      </w:r>
      <w:r>
        <w:rPr>
          <w:rFonts w:cs="Guttman Keren"/>
          <w:sz w:val="24"/>
          <w:szCs w:val="24"/>
          <w:vertAlign w:val="subscript"/>
        </w:rPr>
        <w:t>7</w:t>
      </w:r>
      <w:r>
        <w:rPr>
          <w:rFonts w:cs="Guttman Keren"/>
          <w:sz w:val="24"/>
          <w:szCs w:val="24"/>
        </w:rPr>
        <w:t xml:space="preserve"> Deut 1</w:t>
      </w:r>
      <w:r>
        <w:rPr>
          <w:rFonts w:cs="Guttman Keren"/>
          <w:sz w:val="24"/>
          <w:szCs w:val="24"/>
          <w:vertAlign w:val="subscript"/>
        </w:rPr>
        <w:t>9</w:t>
      </w:r>
      <w:r>
        <w:rPr>
          <w:rFonts w:cs="Guttman Keren"/>
          <w:sz w:val="24"/>
          <w:szCs w:val="24"/>
        </w:rPr>
        <w:t xml:space="preserve"> et al; note </w:t>
      </w:r>
      <w:r>
        <w:rPr>
          <w:rFonts w:cs="Guttman Kere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+ </w:t>
      </w:r>
      <w:r>
        <w:rPr>
          <w:rFonts w:cs="Segoe UI" w:ascii="GFS Porson" w:hAnsi="GFS Porson"/>
          <w:color w:val="000000"/>
          <w:sz w:val="24"/>
          <w:szCs w:val="24"/>
        </w:rPr>
        <w:t>πᾶσαν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+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x</w:t>
      </w:r>
    </w:p>
  </w:footnote>
  <w:footnote w:id="1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ב</w:t>
      </w:r>
      <w:r>
        <w:rPr>
          <w:rFonts w:cs="Guttman Keren"/>
          <w:sz w:val="24"/>
          <w:sz w:val="24"/>
          <w:szCs w:val="24"/>
          <w:rtl w:val="true"/>
        </w:rPr>
        <w:t>ַּל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ב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כ</w:t>
      </w:r>
      <w:r>
        <w:rPr>
          <w:rFonts w:cs="Guttman Keren"/>
          <w:sz w:val="24"/>
          <w:szCs w:val="24"/>
          <w:rtl w:val="true"/>
        </w:rPr>
        <w:t>)</w:t>
      </w:r>
    </w:p>
  </w:footnote>
  <w:footnote w:id="1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  <w:lang w:val="el-GR"/>
        </w:rPr>
        <w:t>כִּי</w:t>
      </w:r>
    </w:p>
  </w:footnote>
  <w:footnote w:id="1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2pl, Israel taken as subject; for </w:t>
      </w:r>
      <w:r>
        <w:rPr>
          <w:rFonts w:cs="Guttman Keren"/>
          <w:sz w:val="24"/>
          <w:sz w:val="24"/>
          <w:szCs w:val="24"/>
          <w:rtl w:val="true"/>
          <w:lang w:val="el-GR"/>
        </w:rPr>
        <w:t>עון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+ </w:t>
      </w:r>
      <w:r>
        <w:rPr>
          <w:rFonts w:cs="Guttman Keren" w:ascii="HUBPSigla" w:hAnsi="HUBPSigla"/>
          <w:sz w:val="24"/>
          <w:szCs w:val="24"/>
          <w:rtl w:val="true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נשא</w:t>
      </w:r>
      <w:r>
        <w:rPr>
          <w:rFonts w:cs="Times New Roman"/>
          <w:sz w:val="24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>bear guilt/punishment” cf Lev 5</w:t>
      </w:r>
      <w:r>
        <w:rPr>
          <w:rFonts w:cs="Times New Roman"/>
          <w:sz w:val="24"/>
          <w:szCs w:val="24"/>
          <w:vertAlign w:val="subscript"/>
        </w:rPr>
        <w:t>1,17</w:t>
      </w:r>
      <w:r>
        <w:rPr>
          <w:rFonts w:cs="Times New Roman"/>
          <w:sz w:val="24"/>
          <w:szCs w:val="24"/>
        </w:rPr>
        <w:t xml:space="preserve"> et al (in contrast to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“forgive”, with</w:t>
      </w:r>
      <w:r>
        <w:rPr>
          <w:rFonts w:cs="Guttman Keren"/>
          <w:sz w:val="24"/>
          <w:szCs w:val="24"/>
        </w:rPr>
        <w:t xml:space="preserve"> God as subject</w:t>
      </w:r>
      <w:r>
        <w:rPr>
          <w:rFonts w:cs="Times New Roman"/>
          <w:sz w:val="24"/>
          <w:szCs w:val="24"/>
        </w:rPr>
        <w:t xml:space="preserve">); similarly </w:t>
      </w:r>
      <w:r>
        <w:rPr>
          <w:rFonts w:cs="Times New Roman" w:ascii="HUBPSigla" w:hAnsi="HUBPSigla"/>
          <w:sz w:val="24"/>
          <w:szCs w:val="24"/>
        </w:rPr>
        <w:t>~</w:t>
      </w:r>
    </w:p>
  </w:footnote>
  <w:footnote w:id="1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3sg, indirect speech</w:t>
      </w:r>
    </w:p>
  </w:footnote>
  <w:footnote w:id="1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(He will forgive) you (pl)”</w:t>
      </w:r>
    </w:p>
  </w:footnote>
  <w:footnote w:id="1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2</w:t>
      </w:r>
      <w:r>
        <w:rPr>
          <w:rFonts w:cs="Guttman Keren"/>
          <w:sz w:val="24"/>
          <w:szCs w:val="24"/>
        </w:rPr>
        <w:t>pl</w:t>
      </w:r>
    </w:p>
  </w:footnote>
  <w:footnote w:id="1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2pl;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</w:p>
  </w:footnote>
  <w:footnote w:id="1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3sg, God as subject; parall prec (cf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)</w:t>
      </w:r>
    </w:p>
  </w:footnote>
  <w:footnote w:id="1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2pl</w:t>
      </w:r>
    </w:p>
  </w:footnote>
  <w:footnote w:id="1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  <w:lang w:val="el-GR"/>
        </w:rPr>
        <w:t>פ</w:t>
      </w:r>
      <w:r>
        <w:rPr>
          <w:rFonts w:cs="Guttman Keren"/>
          <w:sz w:val="24"/>
          <w:sz w:val="24"/>
          <w:szCs w:val="24"/>
          <w:rtl w:val="true"/>
        </w:rPr>
        <w:t>ְ</w:t>
      </w:r>
      <w:r>
        <w:rPr>
          <w:rFonts w:cs="Guttman Keren"/>
          <w:sz w:val="24"/>
          <w:sz w:val="24"/>
          <w:szCs w:val="24"/>
          <w:rtl w:val="true"/>
          <w:lang w:val="el-GR"/>
        </w:rPr>
        <w:t>רִי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Cs w:val="24"/>
          <w:rtl w:val="true"/>
          <w:lang w:val="el-GR"/>
        </w:rPr>
        <w:t>([</w:t>
      </w:r>
      <w:r>
        <w:rPr>
          <w:rFonts w:cs="Guttman Keren"/>
          <w:sz w:val="24"/>
          <w:sz w:val="24"/>
          <w:szCs w:val="24"/>
          <w:rtl w:val="true"/>
          <w:lang w:val="el-GR"/>
        </w:rPr>
        <w:t>מ</w:t>
      </w:r>
      <w:r>
        <w:rPr>
          <w:rFonts w:cs="Guttman Keren"/>
          <w:sz w:val="24"/>
          <w:szCs w:val="24"/>
          <w:rtl w:val="true"/>
          <w:lang w:val="el-GR"/>
        </w:rPr>
        <w:t>]</w:t>
      </w:r>
      <w:r>
        <w:rPr>
          <w:rFonts w:cs="Guttman Keren"/>
          <w:sz w:val="24"/>
          <w:sz w:val="24"/>
          <w:szCs w:val="24"/>
          <w:rtl w:val="true"/>
          <w:lang w:val="el-GR"/>
        </w:rPr>
        <w:t>שפתינו</w:t>
      </w:r>
      <w:r>
        <w:rPr>
          <w:rFonts w:cs="Guttman Keren"/>
          <w:sz w:val="24"/>
          <w:szCs w:val="24"/>
          <w:rtl w:val="true"/>
          <w:lang w:val="el-GR"/>
        </w:rPr>
        <w:t>)</w:t>
      </w:r>
      <w:r>
        <w:rPr>
          <w:rFonts w:cs="Guttman Keren"/>
          <w:sz w:val="24"/>
          <w:szCs w:val="24"/>
        </w:rPr>
        <w:t xml:space="preserve">; for </w:t>
      </w:r>
      <w:r>
        <w:rPr>
          <w:rFonts w:cs="Guttman Keren"/>
          <w:sz w:val="24"/>
          <w:sz w:val="24"/>
          <w:szCs w:val="24"/>
          <w:rtl w:val="true"/>
          <w:lang w:val="el-GR"/>
        </w:rPr>
        <w:t>פ</w:t>
      </w:r>
      <w:r>
        <w:rPr>
          <w:rFonts w:cs="Guttman Keren"/>
          <w:sz w:val="24"/>
          <w:sz w:val="24"/>
          <w:szCs w:val="24"/>
          <w:rtl w:val="true"/>
        </w:rPr>
        <w:t>ְּ</w:t>
      </w:r>
      <w:r>
        <w:rPr>
          <w:rFonts w:cs="Guttman Keren"/>
          <w:sz w:val="24"/>
          <w:sz w:val="24"/>
          <w:szCs w:val="24"/>
          <w:rtl w:val="true"/>
          <w:lang w:val="el-GR"/>
        </w:rPr>
        <w:t>רִי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שפתים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1QH</w:t>
      </w:r>
      <w:r>
        <w:rPr>
          <w:rFonts w:cs="Guttman Keren"/>
          <w:sz w:val="24"/>
          <w:szCs w:val="24"/>
          <w:vertAlign w:val="superscript"/>
        </w:rPr>
        <w:t>a</w:t>
      </w:r>
      <w:r>
        <w:rPr>
          <w:rFonts w:cs="Guttman Keren"/>
          <w:sz w:val="24"/>
          <w:szCs w:val="24"/>
        </w:rPr>
        <w:t xml:space="preserve"> IX</w:t>
      </w:r>
      <w:r>
        <w:rPr>
          <w:rFonts w:cs="Guttman Keren"/>
          <w:sz w:val="24"/>
          <w:szCs w:val="24"/>
          <w:vertAlign w:val="subscript"/>
        </w:rPr>
        <w:t>28</w:t>
      </w:r>
      <w:r>
        <w:rPr>
          <w:rFonts w:cs="Guttman Keren"/>
          <w:sz w:val="24"/>
          <w:szCs w:val="24"/>
        </w:rPr>
        <w:t>, 4Q418 148ii</w:t>
      </w:r>
      <w:r>
        <w:rPr>
          <w:rFonts w:cs="Guttman Keren"/>
          <w:sz w:val="24"/>
          <w:szCs w:val="24"/>
          <w:vertAlign w:val="subscript"/>
        </w:rPr>
        <w:t>8</w:t>
      </w:r>
      <w:r>
        <w:rPr>
          <w:rFonts w:cs="Guttman Keren"/>
          <w:sz w:val="24"/>
          <w:szCs w:val="24"/>
        </w:rPr>
        <w:t>, 4Q424 1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>, PsSol 15</w:t>
      </w:r>
      <w:r>
        <w:rPr>
          <w:rFonts w:cs="Guttman Keren"/>
          <w:sz w:val="24"/>
          <w:szCs w:val="24"/>
          <w:vertAlign w:val="subscript"/>
        </w:rPr>
        <w:t>3</w:t>
      </w:r>
      <w:r>
        <w:rPr>
          <w:rFonts w:cs="Guttman Keren"/>
          <w:sz w:val="24"/>
          <w:szCs w:val="24"/>
        </w:rPr>
        <w:t xml:space="preserve"> Heb 13</w:t>
      </w:r>
      <w:r>
        <w:rPr>
          <w:rFonts w:cs="Guttman Keren"/>
          <w:sz w:val="24"/>
          <w:szCs w:val="24"/>
          <w:vertAlign w:val="subscript"/>
        </w:rPr>
        <w:t>15</w:t>
      </w:r>
      <w:r>
        <w:rPr>
          <w:rFonts w:cs="Guttman Keren"/>
          <w:sz w:val="24"/>
          <w:szCs w:val="24"/>
        </w:rPr>
        <w:t xml:space="preserve"> (note dupl herm; cf Hier 154</w:t>
      </w:r>
      <w:r>
        <w:rPr>
          <w:rFonts w:cs="Guttman Keren"/>
          <w:sz w:val="24"/>
          <w:szCs w:val="24"/>
          <w:vertAlign w:val="subscript"/>
        </w:rPr>
        <w:t>71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rFonts w:cs="Guttman Keren"/>
          <w:sz w:val="24"/>
          <w:szCs w:val="24"/>
          <w:vertAlign w:val="subscript"/>
        </w:rPr>
        <w:t>73</w:t>
      </w:r>
      <w:r>
        <w:rPr>
          <w:rFonts w:cs="Guttman Keren"/>
          <w:sz w:val="24"/>
          <w:szCs w:val="24"/>
        </w:rPr>
        <w:t xml:space="preserve">); cf </w:t>
      </w:r>
      <w:r>
        <w:rPr>
          <w:rFonts w:cs="Guttman Keren"/>
          <w:sz w:val="24"/>
          <w:sz w:val="24"/>
          <w:szCs w:val="24"/>
          <w:rtl w:val="true"/>
          <w:lang w:val="el-GR"/>
        </w:rPr>
        <w:t>נוב</w:t>
      </w:r>
      <w:r>
        <w:rPr>
          <w:rFonts w:cs="Guttman Keren"/>
          <w:sz w:val="24"/>
          <w:szCs w:val="24"/>
          <w:rtl w:val="true"/>
          <w:lang w:val="el-GR"/>
        </w:rPr>
        <w:t>/</w:t>
      </w:r>
      <w:r>
        <w:rPr>
          <w:rFonts w:cs="Guttman Keren"/>
          <w:sz w:val="24"/>
          <w:sz w:val="24"/>
          <w:szCs w:val="24"/>
          <w:rtl w:val="true"/>
          <w:lang w:val="el-GR"/>
        </w:rPr>
        <w:t>ניב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שפתים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Isa 57</w:t>
      </w:r>
      <w:r>
        <w:rPr>
          <w:rFonts w:cs="Guttman Keren"/>
          <w:sz w:val="24"/>
          <w:szCs w:val="24"/>
          <w:vertAlign w:val="subscript"/>
        </w:rPr>
        <w:t>19</w:t>
      </w:r>
      <w:r>
        <w:rPr>
          <w:rFonts w:cs="Guttman Keren"/>
          <w:sz w:val="24"/>
          <w:szCs w:val="24"/>
        </w:rPr>
        <w:t xml:space="preserve">, </w:t>
      </w:r>
      <w:r>
        <w:rPr>
          <w:rFonts w:cs="Guttman Keren"/>
          <w:sz w:val="24"/>
          <w:sz w:val="24"/>
          <w:szCs w:val="24"/>
          <w:rtl w:val="true"/>
        </w:rPr>
        <w:t>פרי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פי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איש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 Prov 12</w:t>
      </w:r>
      <w:r>
        <w:rPr>
          <w:rFonts w:cs="Guttman Keren"/>
          <w:sz w:val="24"/>
          <w:szCs w:val="24"/>
          <w:vertAlign w:val="subscript"/>
        </w:rPr>
        <w:t>14</w:t>
      </w:r>
      <w:r>
        <w:rPr>
          <w:rFonts w:cs="Guttman Keren"/>
          <w:sz w:val="24"/>
          <w:szCs w:val="24"/>
        </w:rPr>
        <w:t xml:space="preserve"> 13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 xml:space="preserve"> 18</w:t>
      </w:r>
      <w:r>
        <w:rPr>
          <w:rFonts w:cs="Guttman Keren"/>
          <w:sz w:val="24"/>
          <w:szCs w:val="24"/>
          <w:vertAlign w:val="subscript"/>
        </w:rPr>
        <w:t>20</w:t>
      </w:r>
      <w:r>
        <w:rPr>
          <w:rFonts w:cs="Guttman Keren"/>
          <w:sz w:val="24"/>
          <w:szCs w:val="24"/>
        </w:rPr>
        <w:t xml:space="preserve">; see </w:t>
      </w:r>
      <w:r>
        <w:rPr>
          <w:rFonts w:cs="Guttman Keren"/>
          <w:color w:val="FF9900"/>
          <w:sz w:val="24"/>
          <w:szCs w:val="24"/>
        </w:rPr>
        <w:t xml:space="preserve">Gordis, </w:t>
      </w:r>
      <w:r>
        <w:rPr>
          <w:rFonts w:cs="Guttman Keren"/>
          <w:i/>
          <w:iCs/>
          <w:color w:val="FF9900"/>
          <w:sz w:val="24"/>
          <w:szCs w:val="24"/>
        </w:rPr>
        <w:t>VT</w:t>
      </w:r>
      <w:r>
        <w:rPr>
          <w:rFonts w:cs="Guttman Keren"/>
          <w:color w:val="FF9900"/>
          <w:sz w:val="24"/>
          <w:szCs w:val="24"/>
        </w:rPr>
        <w:t xml:space="preserve"> 5 (1955), 88</w:t>
      </w:r>
      <w:r>
        <w:rPr>
          <w:rFonts w:cs="Times New Roman"/>
          <w:color w:val="FF9900"/>
          <w:sz w:val="24"/>
          <w:szCs w:val="24"/>
        </w:rPr>
        <w:t>–</w:t>
      </w:r>
      <w:r>
        <w:rPr>
          <w:rFonts w:cs="Guttman Keren"/>
          <w:color w:val="FF9900"/>
          <w:sz w:val="24"/>
          <w:szCs w:val="24"/>
        </w:rPr>
        <w:t xml:space="preserve">89 </w:t>
      </w:r>
    </w:p>
  </w:footnote>
  <w:footnote w:id="2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2pl</w:t>
      </w:r>
    </w:p>
  </w:footnote>
  <w:footnote w:id="2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ex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Isa 55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(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ותתענג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בדשן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נפשכם</w:t>
      </w:r>
      <w:r>
        <w:rPr>
          <w:rFonts w:cs="Guttman Keren"/>
          <w:sz w:val="24"/>
          <w:szCs w:val="24"/>
        </w:rPr>
        <w:t>)</w:t>
      </w:r>
    </w:p>
  </w:footnote>
  <w:footnote w:id="2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Isa 56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 xml:space="preserve"> 60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 xml:space="preserve">; cf also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Deut 33</w:t>
      </w:r>
      <w:r>
        <w:rPr>
          <w:sz w:val="24"/>
          <w:szCs w:val="24"/>
          <w:vertAlign w:val="subscript"/>
        </w:rPr>
        <w:t>10</w:t>
      </w:r>
    </w:p>
  </w:footnote>
  <w:footnote w:id="2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>and say! (pl.)”, cf v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 xml:space="preserve">; </w:t>
      </w:r>
      <w:r>
        <w:rPr>
          <w:sz w:val="24"/>
          <w:szCs w:val="24"/>
          <w:lang w:val="en-US" w:eastAsia="en-US"/>
        </w:rPr>
        <w:t>similarly app Joel 1</w:t>
      </w:r>
      <w:r>
        <w:rPr>
          <w:sz w:val="24"/>
          <w:szCs w:val="24"/>
          <w:vertAlign w:val="subscript"/>
          <w:lang w:val="en-US" w:eastAsia="en-US"/>
        </w:rPr>
        <w:t>14</w:t>
      </w:r>
      <w:r>
        <w:rPr>
          <w:sz w:val="24"/>
          <w:szCs w:val="24"/>
          <w:lang w:val="en-US" w:eastAsia="en-US"/>
        </w:rPr>
        <w:t xml:space="preserve"> Ezek 30</w:t>
      </w:r>
      <w:r>
        <w:rPr>
          <w:sz w:val="24"/>
          <w:szCs w:val="24"/>
          <w:vertAlign w:val="subscript"/>
          <w:lang w:val="en-US" w:eastAsia="en-US"/>
        </w:rPr>
        <w:t>2</w:t>
      </w:r>
      <w:r>
        <w:rPr>
          <w:sz w:val="24"/>
          <w:szCs w:val="24"/>
          <w:lang w:val="en-US" w:eastAsia="en-US"/>
        </w:rPr>
        <w:t xml:space="preserve">, </w:t>
      </w:r>
      <w:r>
        <w:rPr>
          <w:rFonts w:cs="HUBPSigla" w:ascii="HUBPSigla" w:hAnsi="HUBPSigla"/>
          <w:sz w:val="24"/>
          <w:szCs w:val="24"/>
          <w:lang w:val="en-US" w:eastAsia="en-US"/>
        </w:rPr>
        <w:t>[</w:t>
      </w:r>
      <w:r>
        <w:rPr>
          <w:rFonts w:cs="Times New Roman"/>
          <w:sz w:val="24"/>
          <w:szCs w:val="24"/>
          <w:lang w:val="en-US" w:eastAsia="en-US"/>
        </w:rPr>
        <w:t xml:space="preserve"> </w:t>
      </w:r>
      <w:r>
        <w:rPr>
          <w:sz w:val="24"/>
          <w:szCs w:val="24"/>
          <w:lang w:val="en-US" w:eastAsia="en-US"/>
        </w:rPr>
        <w:t>Jer 6</w:t>
      </w:r>
      <w:r>
        <w:rPr>
          <w:sz w:val="24"/>
          <w:szCs w:val="24"/>
          <w:vertAlign w:val="subscript"/>
          <w:lang w:val="en-US" w:eastAsia="en-US"/>
        </w:rPr>
        <w:t>4</w:t>
      </w:r>
    </w:p>
  </w:footnote>
  <w:footnote w:id="2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we will (not) place our trust</w:t>
      </w:r>
      <w:r>
        <w:rPr>
          <w:rFonts w:cs="Times New Roman"/>
          <w:sz w:val="24"/>
          <w:szCs w:val="24"/>
        </w:rPr>
        <w:t>”,</w:t>
      </w:r>
      <w:r>
        <w:rPr>
          <w:sz w:val="24"/>
          <w:szCs w:val="24"/>
        </w:rPr>
        <w:t xml:space="preserve"> cf Isa 31</w:t>
      </w:r>
      <w:r>
        <w:rPr>
          <w:sz w:val="24"/>
          <w:szCs w:val="24"/>
          <w:vertAlign w:val="subscript"/>
        </w:rPr>
        <w:t>1</w:t>
      </w:r>
    </w:p>
  </w:footnote>
  <w:footnote w:id="2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3pl; p lig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נו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ם</w:t>
      </w:r>
      <w:r>
        <w:rPr>
          <w:rFonts w:cs="Times New Roman"/>
          <w:sz w:val="24"/>
          <w:sz w:val="24"/>
          <w:szCs w:val="24"/>
        </w:rPr>
        <w:t xml:space="preserve"> </w:t>
      </w:r>
    </w:p>
  </w:footnote>
  <w:footnote w:id="2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their dwelling-places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ישב</w:t>
      </w:r>
      <w:r>
        <w:rPr>
          <w:rFonts w:cs="Guttman Keren"/>
          <w:sz w:val="24"/>
          <w:szCs w:val="24"/>
        </w:rPr>
        <w:t>, cf app 9</w:t>
      </w:r>
      <w:r>
        <w:rPr>
          <w:rFonts w:cs="Guttman Keren"/>
          <w:sz w:val="24"/>
          <w:szCs w:val="24"/>
          <w:vertAlign w:val="subscript"/>
        </w:rPr>
        <w:t>3</w:t>
      </w:r>
      <w:r>
        <w:rPr>
          <w:rFonts w:cs="Guttman Keren"/>
          <w:sz w:val="24"/>
          <w:szCs w:val="24"/>
        </w:rPr>
        <w:t xml:space="preserve"> </w:t>
      </w:r>
    </w:p>
  </w:footnote>
  <w:footnote w:id="2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their afflictions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שבר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(cf app Jer 3</w:t>
      </w:r>
      <w:r>
        <w:rPr>
          <w:rFonts w:cs="Guttman Keren"/>
          <w:sz w:val="24"/>
          <w:szCs w:val="24"/>
          <w:vertAlign w:val="subscript"/>
        </w:rPr>
        <w:t>22</w:t>
      </w:r>
      <w:r>
        <w:rPr>
          <w:rFonts w:cs="Guttman Keren"/>
          <w:sz w:val="24"/>
          <w:szCs w:val="24"/>
        </w:rPr>
        <w:t xml:space="preserve">), see </w:t>
      </w:r>
      <w:r>
        <w:rPr>
          <w:rFonts w:cs="Guttman Keren"/>
          <w:color w:val="FF9900"/>
          <w:sz w:val="24"/>
          <w:szCs w:val="24"/>
        </w:rPr>
        <w:t xml:space="preserve">Kedar, </w:t>
      </w:r>
      <w:r>
        <w:rPr>
          <w:rFonts w:cs="Guttman Keren"/>
          <w:i/>
          <w:iCs/>
          <w:color w:val="FF9900"/>
          <w:sz w:val="24"/>
          <w:szCs w:val="24"/>
        </w:rPr>
        <w:t>JQR</w:t>
      </w:r>
      <w:r>
        <w:rPr>
          <w:rFonts w:cs="Guttman Keren"/>
          <w:color w:val="FF9900"/>
          <w:sz w:val="24"/>
          <w:szCs w:val="24"/>
        </w:rPr>
        <w:t xml:space="preserve"> 65 (1974), 95</w:t>
      </w:r>
      <w:r>
        <w:rPr>
          <w:rFonts w:cs="Times New Roman"/>
          <w:color w:val="FF9900"/>
          <w:sz w:val="24"/>
          <w:szCs w:val="24"/>
        </w:rPr>
        <w:t>–9</w:t>
      </w:r>
      <w:r>
        <w:rPr>
          <w:rFonts w:cs="Guttman Keren"/>
          <w:color w:val="FF9900"/>
          <w:sz w:val="24"/>
          <w:szCs w:val="24"/>
        </w:rPr>
        <w:t>6</w:t>
      </w:r>
      <w:r>
        <w:rPr>
          <w:rFonts w:cs="Guttman Keren"/>
          <w:sz w:val="24"/>
          <w:szCs w:val="24"/>
        </w:rPr>
        <w:t xml:space="preserve">; for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רפא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Cs w:val="24"/>
          <w:rtl w:val="true"/>
        </w:rPr>
        <w:t xml:space="preserve">+ </w:t>
      </w:r>
      <w:r>
        <w:rPr>
          <w:rFonts w:cs="Guttman Keren" w:ascii="HUBPSigla" w:hAnsi="HUBPSigla"/>
          <w:sz w:val="24"/>
          <w:szCs w:val="24"/>
          <w:rtl w:val="true"/>
        </w:rPr>
        <w:t>\</w:t>
      </w:r>
      <w:r>
        <w:rPr>
          <w:rFonts w:cs="Guttman Keren"/>
          <w:sz w:val="24"/>
          <w:sz w:val="24"/>
          <w:szCs w:val="24"/>
          <w:rtl w:val="true"/>
        </w:rPr>
        <w:t>שבר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Zech 11</w:t>
      </w:r>
      <w:r>
        <w:rPr>
          <w:rFonts w:cs="Guttman Keren"/>
          <w:sz w:val="24"/>
          <w:szCs w:val="24"/>
          <w:vertAlign w:val="subscript"/>
        </w:rPr>
        <w:t>16</w:t>
      </w:r>
      <w:r>
        <w:rPr>
          <w:rFonts w:cs="Guttman Keren"/>
          <w:sz w:val="24"/>
          <w:szCs w:val="24"/>
        </w:rPr>
        <w:t xml:space="preserve"> Jer 6</w:t>
      </w:r>
      <w:r>
        <w:rPr>
          <w:rFonts w:cs="Guttman Keren"/>
          <w:sz w:val="24"/>
          <w:szCs w:val="24"/>
          <w:vertAlign w:val="subscript"/>
        </w:rPr>
        <w:t xml:space="preserve">14 </w:t>
      </w:r>
      <w:r>
        <w:rPr>
          <w:rFonts w:cs="Guttman Keren"/>
          <w:sz w:val="24"/>
          <w:szCs w:val="24"/>
        </w:rPr>
        <w:t>|| 8</w:t>
      </w:r>
      <w:r>
        <w:rPr>
          <w:rFonts w:cs="Guttman Keren"/>
          <w:sz w:val="24"/>
          <w:szCs w:val="24"/>
          <w:vertAlign w:val="subscript"/>
        </w:rPr>
        <w:t>11</w:t>
      </w:r>
      <w:r>
        <w:rPr>
          <w:rFonts w:cs="Guttman Keren"/>
          <w:sz w:val="24"/>
          <w:szCs w:val="24"/>
        </w:rPr>
        <w:t xml:space="preserve"> Ps 147</w:t>
      </w:r>
      <w:r>
        <w:rPr>
          <w:rFonts w:cs="Guttman Keren"/>
          <w:sz w:val="24"/>
          <w:szCs w:val="24"/>
          <w:vertAlign w:val="subscript"/>
        </w:rPr>
        <w:t>3</w:t>
      </w:r>
      <w:r>
        <w:rPr>
          <w:rFonts w:cs="Guttman Keren"/>
          <w:sz w:val="24"/>
          <w:szCs w:val="24"/>
        </w:rPr>
        <w:t xml:space="preserve"> et al</w:t>
      </w:r>
    </w:p>
  </w:footnote>
  <w:footnote w:id="2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turning back (from sinning)</w:t>
      </w:r>
      <w:r>
        <w:rPr>
          <w:rFonts w:cs="Times New Roman"/>
          <w:sz w:val="24"/>
          <w:szCs w:val="24"/>
        </w:rPr>
        <w:t xml:space="preserve">”, cf </w:t>
      </w:r>
      <w:r>
        <w:rPr>
          <w:rFonts w:cs="Times New Roman" w:ascii="HUBPSigla" w:hAnsi="HUBPSigla"/>
          <w:sz w:val="24"/>
          <w:szCs w:val="24"/>
        </w:rPr>
        <w:t>~|</w:t>
      </w:r>
      <w:r>
        <w:rPr>
          <w:rFonts w:cs="Times New Roman"/>
          <w:sz w:val="24"/>
          <w:szCs w:val="24"/>
        </w:rPr>
        <w:t xml:space="preserve"> 11</w:t>
      </w:r>
      <w:r>
        <w:rPr>
          <w:rFonts w:cs="Times New Roman"/>
          <w:sz w:val="24"/>
          <w:szCs w:val="24"/>
          <w:vertAlign w:val="subscript"/>
        </w:rPr>
        <w:t>7</w:t>
      </w:r>
      <w:r>
        <w:rPr>
          <w:rFonts w:cs="Times New Roman"/>
          <w:sz w:val="24"/>
          <w:szCs w:val="24"/>
        </w:rPr>
        <w:t xml:space="preserve">, </w:t>
      </w:r>
      <w:r>
        <w:rPr>
          <w:rFonts w:cs="Times New Roman" w:ascii="HUBPSigla" w:hAnsi="HUBPSigla"/>
          <w:sz w:val="24"/>
          <w:szCs w:val="24"/>
        </w:rPr>
        <w:t>~9</w:t>
      </w:r>
      <w:r>
        <w:rPr>
          <w:rFonts w:cs="Times New Roman"/>
          <w:sz w:val="24"/>
          <w:szCs w:val="24"/>
        </w:rPr>
        <w:t xml:space="preserve"> Jer 3</w:t>
      </w:r>
      <w:r>
        <w:rPr>
          <w:rFonts w:cs="Times New Roman"/>
          <w:sz w:val="24"/>
          <w:szCs w:val="24"/>
          <w:vertAlign w:val="subscript"/>
        </w:rPr>
        <w:t>22</w:t>
      </w:r>
      <w:r>
        <w:rPr>
          <w:rFonts w:cs="Times New Roman"/>
          <w:sz w:val="24"/>
          <w:szCs w:val="24"/>
        </w:rPr>
        <w:t xml:space="preserve"> </w:t>
      </w:r>
    </w:p>
  </w:footnote>
  <w:footnote w:id="2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3pl, parall prec</w:t>
      </w:r>
    </w:p>
  </w:footnote>
  <w:footnote w:id="3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שֹׁרֶשׁ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taken as subject</w:t>
      </w:r>
    </w:p>
  </w:footnote>
  <w:footnote w:id="3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like a fruitful olive-tree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sz w:val="24"/>
          <w:szCs w:val="24"/>
        </w:rPr>
        <w:t xml:space="preserve"> Ps 52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(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כזית</w:t>
      </w:r>
      <w:r>
        <w:rPr>
          <w:rFonts w:ascii="HUBPSigla" w:hAnsi="HUBPSigla" w:eastAsia="HUBPSigla" w:cs="HUBPSigla"/>
          <w:sz w:val="24"/>
          <w:sz w:val="24"/>
          <w:szCs w:val="24"/>
          <w:rtl w:val="true"/>
        </w:rPr>
        <w:t xml:space="preserve"> 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רענן</w:t>
      </w:r>
      <w:r>
        <w:rPr>
          <w:sz w:val="24"/>
          <w:szCs w:val="24"/>
        </w:rPr>
        <w:t xml:space="preserve">); </w:t>
      </w:r>
      <w:r>
        <w:rPr>
          <w:rFonts w:cs="Guttman Keren"/>
          <w:sz w:val="24"/>
          <w:sz w:val="24"/>
          <w:szCs w:val="24"/>
          <w:rtl w:val="true"/>
        </w:rPr>
        <w:t>הודו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taken as attribute</w:t>
      </w:r>
    </w:p>
  </w:footnote>
  <w:footnote w:id="3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wine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; ex v</w:t>
      </w:r>
      <w:r>
        <w:rPr>
          <w:sz w:val="24"/>
          <w:szCs w:val="24"/>
          <w:vertAlign w:val="subscript"/>
        </w:rPr>
        <w:t>8</w:t>
      </w:r>
    </w:p>
  </w:footnote>
  <w:footnote w:id="3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like the fragrance of incense”; </w:t>
      </w:r>
      <w:r>
        <w:rPr>
          <w:sz w:val="24"/>
          <w:szCs w:val="24"/>
        </w:rPr>
        <w:t xml:space="preserve">etym </w:t>
      </w:r>
      <w:r>
        <w:rPr>
          <w:rFonts w:cs="Guttman Keren"/>
          <w:sz w:val="24"/>
          <w:sz w:val="24"/>
          <w:szCs w:val="24"/>
          <w:rtl w:val="true"/>
          <w:lang w:val="el-GR"/>
        </w:rPr>
        <w:t>לְב</w:t>
      </w:r>
      <w:r>
        <w:rPr>
          <w:rFonts w:cs="Guttman Keren"/>
          <w:sz w:val="24"/>
          <w:szCs w:val="24"/>
          <w:rtl w:val="true"/>
          <w:lang w:val="el-GR"/>
        </w:rPr>
        <w:t>(</w:t>
      </w:r>
      <w:r>
        <w:rPr>
          <w:rFonts w:cs="Guttman Keren"/>
          <w:sz w:val="24"/>
          <w:sz w:val="24"/>
          <w:szCs w:val="24"/>
          <w:rtl w:val="true"/>
          <w:lang w:val="el-GR"/>
        </w:rPr>
        <w:t>וֹ</w:t>
      </w:r>
      <w:r>
        <w:rPr>
          <w:rFonts w:cs="Guttman Keren"/>
          <w:sz w:val="24"/>
          <w:szCs w:val="24"/>
          <w:rtl w:val="true"/>
          <w:lang w:val="el-GR"/>
        </w:rPr>
        <w:t>)</w:t>
      </w:r>
      <w:r>
        <w:rPr>
          <w:rFonts w:cs="Guttman Keren"/>
          <w:sz w:val="24"/>
          <w:sz w:val="24"/>
          <w:szCs w:val="24"/>
          <w:rtl w:val="true"/>
          <w:lang w:val="el-GR"/>
        </w:rPr>
        <w:t>נָה</w:t>
      </w:r>
      <w:r>
        <w:rPr>
          <w:rFonts w:cs="Guttman Keren"/>
          <w:sz w:val="24"/>
          <w:szCs w:val="24"/>
        </w:rPr>
        <w:t xml:space="preserve">;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“Lebanon” or “frankincense”, cf Hier 156</w:t>
      </w:r>
      <w:r>
        <w:rPr>
          <w:rFonts w:cs="Times New Roman"/>
          <w:sz w:val="24"/>
          <w:szCs w:val="24"/>
          <w:vertAlign w:val="subscript"/>
        </w:rPr>
        <w:t>165–167</w:t>
      </w:r>
      <w:r>
        <w:rPr>
          <w:rFonts w:cs="Times New Roman"/>
          <w:sz w:val="24"/>
          <w:szCs w:val="24"/>
        </w:rPr>
        <w:t xml:space="preserve">, </w:t>
      </w:r>
      <w:r>
        <w:rPr>
          <w:color w:val="FF9900"/>
          <w:sz w:val="24"/>
          <w:szCs w:val="24"/>
        </w:rPr>
        <w:t>Išo‘dad</w:t>
      </w:r>
      <w:r>
        <w:rPr>
          <w:rFonts w:cs="Times New Roman"/>
          <w:color w:val="FF9900"/>
          <w:sz w:val="24"/>
          <w:szCs w:val="24"/>
        </w:rPr>
        <w:t xml:space="preserve"> 77</w:t>
      </w:r>
      <w:r>
        <w:rPr>
          <w:rFonts w:cs="Times New Roman"/>
          <w:color w:val="FF9900"/>
          <w:sz w:val="24"/>
          <w:szCs w:val="24"/>
          <w:vertAlign w:val="subscript"/>
        </w:rPr>
        <w:t>24</w:t>
      </w:r>
      <w:r>
        <w:rPr>
          <w:rFonts w:cs="Times New Roman"/>
          <w:color w:val="FF9900"/>
          <w:sz w:val="24"/>
          <w:szCs w:val="24"/>
        </w:rPr>
        <w:t>, Bar Hebraeus</w:t>
      </w:r>
      <w:r>
        <w:rPr>
          <w:rFonts w:cs="Times New Roman"/>
          <w:sz w:val="24"/>
          <w:szCs w:val="24"/>
        </w:rPr>
        <w:t xml:space="preserve"> 8</w:t>
      </w:r>
      <w:r>
        <w:rPr>
          <w:rFonts w:cs="Times New Roman"/>
          <w:sz w:val="24"/>
          <w:szCs w:val="24"/>
          <w:vertAlign w:val="subscript"/>
        </w:rPr>
        <w:t>24</w:t>
      </w:r>
    </w:p>
  </w:footnote>
  <w:footnote w:id="3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 xml:space="preserve">and they will be built”; </w:t>
      </w:r>
      <w:r>
        <w:rPr>
          <w:sz w:val="24"/>
          <w:szCs w:val="24"/>
        </w:rPr>
        <w:t>inner-</w:t>
      </w:r>
      <w:r>
        <w:rPr>
          <w:rFonts w:cs="Times New Roman"/>
          <w:sz w:val="24"/>
          <w:szCs w:val="24"/>
        </w:rPr>
        <w:t>Syr</w:t>
      </w:r>
      <w:r>
        <w:rPr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#</w:t>
      </w:r>
      <w:r>
        <w:rPr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ܘܢܬܦܢܘܢ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>(=</w:t>
      </w:r>
      <w:r>
        <w:rPr>
          <w:rFonts w:cs="David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>)</w:t>
      </w:r>
    </w:p>
  </w:footnote>
  <w:footnote w:id="3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וְיֵשְׁבוּ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</w:p>
  </w:footnote>
  <w:footnote w:id="3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every man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; cf Mic 4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1Kgs 5</w:t>
      </w:r>
      <w:r>
        <w:rPr>
          <w:sz w:val="24"/>
          <w:szCs w:val="24"/>
          <w:vertAlign w:val="subscript"/>
        </w:rPr>
        <w:t>5</w:t>
      </w:r>
    </w:p>
  </w:footnote>
  <w:footnote w:id="3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coniug </w:t>
      </w:r>
      <w:r>
        <w:rPr>
          <w:rFonts w:cs="Guttman Keren"/>
          <w:sz w:val="24"/>
          <w:sz w:val="24"/>
          <w:szCs w:val="24"/>
          <w:rtl w:val="true"/>
          <w:lang w:val="el-GR"/>
        </w:rPr>
        <w:t>יִחְיוּ</w:t>
      </w:r>
    </w:p>
  </w:footnote>
  <w:footnote w:id="3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and they will be sated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dupl </w:t>
      </w:r>
      <w:r>
        <w:rPr>
          <w:rFonts w:cs="Guttman Keren"/>
          <w:sz w:val="24"/>
          <w:sz w:val="24"/>
          <w:szCs w:val="24"/>
          <w:rtl w:val="true"/>
          <w:lang w:val="el-GR"/>
        </w:rPr>
        <w:t>ירויו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  <w:lang w:val="el-GR"/>
        </w:rPr>
        <w:t>יחיו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(lig </w:t>
      </w:r>
      <w:r>
        <w:rPr>
          <w:rFonts w:cs="Guttman Keren"/>
          <w:sz w:val="24"/>
          <w:sz w:val="24"/>
          <w:szCs w:val="24"/>
          <w:rtl w:val="true"/>
          <w:lang w:val="el-GR"/>
        </w:rPr>
        <w:t>רו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  <w:lang w:val="el-GR"/>
        </w:rPr>
        <w:t>ח</w:t>
      </w:r>
      <w:r>
        <w:rPr>
          <w:rFonts w:cs="Guttman Keren"/>
          <w:sz w:val="24"/>
          <w:szCs w:val="24"/>
        </w:rPr>
        <w:t>, cf app Joel 2</w:t>
      </w:r>
      <w:r>
        <w:rPr>
          <w:rFonts w:cs="Guttman Keren"/>
          <w:sz w:val="24"/>
          <w:szCs w:val="24"/>
          <w:vertAlign w:val="subscript"/>
        </w:rPr>
        <w:t>13</w:t>
      </w:r>
      <w:r>
        <w:rPr>
          <w:rFonts w:cs="Guttman Keren"/>
          <w:sz w:val="24"/>
          <w:szCs w:val="24"/>
        </w:rPr>
        <w:t>)</w:t>
      </w:r>
    </w:p>
  </w:footnote>
  <w:footnote w:id="3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and they will be strengthened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dupl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חיה</w:t>
      </w:r>
      <w:r>
        <w:rPr>
          <w:rFonts w:cs="Times New Roman"/>
          <w:sz w:val="24"/>
          <w:szCs w:val="24"/>
          <w:rtl w:val="true"/>
        </w:rPr>
        <w:t>/</w:t>
      </w:r>
      <w:r>
        <w:rPr>
          <w:rFonts w:cs="Guttman Keren" w:ascii="HUBPSigla" w:hAnsi="HUBPSigla"/>
          <w:sz w:val="24"/>
          <w:szCs w:val="24"/>
          <w:rtl w:val="true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חזק</w:t>
      </w:r>
      <w:r>
        <w:rPr>
          <w:rFonts w:cs="Guttman Keren"/>
          <w:sz w:val="24"/>
          <w:szCs w:val="24"/>
        </w:rPr>
        <w:t>, note interchange app Isa 39</w:t>
      </w:r>
      <w:r>
        <w:rPr>
          <w:rFonts w:cs="Guttman Keren"/>
          <w:sz w:val="24"/>
          <w:szCs w:val="24"/>
          <w:vertAlign w:val="subscript"/>
        </w:rPr>
        <w:t>1</w:t>
      </w:r>
      <w:r>
        <w:rPr>
          <w:rFonts w:cs="Guttman Keren"/>
          <w:sz w:val="24"/>
          <w:szCs w:val="24"/>
        </w:rPr>
        <w:t xml:space="preserve">, for </w:t>
      </w:r>
      <w:r>
        <w:rPr>
          <w:rFonts w:cs="Segoe UI" w:ascii="GFS Porson" w:hAnsi="GFS Porson"/>
          <w:color w:val="000000"/>
          <w:sz w:val="24"/>
          <w:szCs w:val="24"/>
        </w:rPr>
        <w:t>στηριχ</w:t>
      </w:r>
      <w:r>
        <w:rPr>
          <w:rFonts w:cs="Times New Roman" w:ascii="GFS Porson" w:hAnsi="GFS Porson"/>
          <w:sz w:val="24"/>
          <w:szCs w:val="24"/>
          <w:lang w:val="el-GR"/>
        </w:rPr>
        <w:t>θῆναι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חזק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Sir 42</w:t>
      </w:r>
      <w:r>
        <w:rPr>
          <w:rFonts w:cs="Guttman Keren"/>
          <w:sz w:val="24"/>
          <w:szCs w:val="24"/>
          <w:vertAlign w:val="subscript"/>
        </w:rPr>
        <w:t>17</w:t>
      </w:r>
      <w:r>
        <w:rPr>
          <w:rFonts w:cs="Guttman Keren"/>
          <w:sz w:val="24"/>
          <w:szCs w:val="24"/>
        </w:rPr>
        <w:t xml:space="preserve">; cf also </w:t>
      </w:r>
      <w:r>
        <w:rPr>
          <w:rFonts w:cs="Segoe UI" w:ascii="GFS Porson" w:hAnsi="GFS Porson"/>
          <w:color w:val="000000"/>
          <w:sz w:val="24"/>
          <w:szCs w:val="24"/>
        </w:rPr>
        <w:t>στερεοῦν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חזק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Jer 5</w:t>
      </w:r>
      <w:r>
        <w:rPr>
          <w:rFonts w:cs="Guttman Keren"/>
          <w:sz w:val="24"/>
          <w:szCs w:val="24"/>
          <w:vertAlign w:val="subscript"/>
        </w:rPr>
        <w:t>3</w:t>
      </w:r>
      <w:r>
        <w:rPr>
          <w:rFonts w:cs="Guttman Keren"/>
          <w:sz w:val="24"/>
          <w:szCs w:val="24"/>
        </w:rPr>
        <w:t xml:space="preserve"> Sir 34[31]</w:t>
      </w:r>
      <w:r>
        <w:rPr>
          <w:rFonts w:cs="Guttman Keren"/>
          <w:sz w:val="24"/>
          <w:szCs w:val="24"/>
          <w:vertAlign w:val="subscript"/>
        </w:rPr>
        <w:t>11</w:t>
      </w:r>
      <w:r>
        <w:rPr>
          <w:rFonts w:cs="Guttman Keren"/>
          <w:sz w:val="24"/>
          <w:szCs w:val="24"/>
        </w:rPr>
        <w:t xml:space="preserve"> et al; for </w:t>
      </w:r>
      <w:r>
        <w:rPr>
          <w:rFonts w:cs="Segoe UI" w:ascii="GFS Porson" w:hAnsi="GFS Porson"/>
          <w:color w:val="000000"/>
          <w:sz w:val="24"/>
          <w:szCs w:val="24"/>
        </w:rPr>
        <w:t>στηρ</w:t>
      </w:r>
      <w:r>
        <w:rPr>
          <w:rFonts w:cs="Guttman Keren" w:ascii="GFS Porson" w:hAnsi="GFS Porson"/>
          <w:sz w:val="24"/>
          <w:szCs w:val="24"/>
        </w:rPr>
        <w:t>ί</w:t>
      </w:r>
      <w:r>
        <w:rPr>
          <w:rFonts w:cs="Segoe UI" w:ascii="GFS Porson" w:hAnsi="GFS Porson"/>
          <w:color w:val="000000"/>
          <w:sz w:val="24"/>
          <w:szCs w:val="24"/>
        </w:rPr>
        <w:t>ζειν + σίτῳ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דגן</w:t>
      </w:r>
      <w:r>
        <w:rPr>
          <w:rFonts w:cs="Guttman Keren"/>
          <w:sz w:val="24"/>
          <w:szCs w:val="24"/>
        </w:rPr>
        <w:t xml:space="preserve">) cf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Gen 27</w:t>
      </w:r>
      <w:r>
        <w:rPr>
          <w:rFonts w:cs="Times New Roman"/>
          <w:sz w:val="24"/>
          <w:szCs w:val="24"/>
          <w:vertAlign w:val="subscript"/>
        </w:rPr>
        <w:t>37</w:t>
      </w:r>
    </w:p>
  </w:footnote>
  <w:footnote w:id="4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3sg, </w:t>
      </w:r>
      <w:r>
        <w:rPr>
          <w:rFonts w:cs="Guttman Keren"/>
          <w:sz w:val="24"/>
          <w:sz w:val="24"/>
          <w:szCs w:val="24"/>
          <w:rtl w:val="true"/>
          <w:lang w:val="el-GR"/>
        </w:rPr>
        <w:t>זכרו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taken as subject, cf seq</w:t>
      </w:r>
    </w:p>
  </w:footnote>
  <w:footnote w:id="4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3pl, parall prec</w:t>
      </w:r>
    </w:p>
  </w:footnote>
  <w:footnote w:id="4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(a) </w:t>
      </w:r>
      <w:r>
        <w:rPr>
          <w:rFonts w:cs="Guttman Keren"/>
          <w:sz w:val="24"/>
          <w:sz w:val="24"/>
          <w:szCs w:val="24"/>
          <w:rtl w:val="true"/>
          <w:lang w:val="el-GR"/>
        </w:rPr>
        <w:t>לוֹ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  <w:lang w:val="el-GR"/>
        </w:rPr>
        <w:t>ו</w:t>
      </w:r>
      <w:r>
        <w:rPr>
          <w:rFonts w:cs="Guttman Keren"/>
          <w:sz w:val="24"/>
          <w:szCs w:val="24"/>
          <w:rtl w:val="true"/>
          <w:lang w:val="el-GR"/>
        </w:rPr>
        <w:t>/</w:t>
      </w:r>
      <w:r>
        <w:rPr>
          <w:rFonts w:cs="Guttman Keren"/>
          <w:sz w:val="24"/>
          <w:sz w:val="24"/>
          <w:szCs w:val="24"/>
          <w:rtl w:val="true"/>
          <w:lang w:val="el-GR"/>
        </w:rPr>
        <w:t>י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 and struct (</w:t>
      </w:r>
      <w:r>
        <w:rPr>
          <w:rFonts w:cs="Guttman Keren"/>
          <w:i/>
          <w:iCs/>
          <w:sz w:val="24"/>
          <w:szCs w:val="24"/>
        </w:rPr>
        <w:t>casus pendens</w:t>
      </w:r>
      <w:r>
        <w:rPr>
          <w:rFonts w:cs="Guttman Keren"/>
          <w:sz w:val="24"/>
          <w:szCs w:val="24"/>
        </w:rPr>
        <w:t xml:space="preserve">); (b) p theol; cf </w:t>
      </w:r>
      <w:r>
        <w:rPr>
          <w:rFonts w:cs="Guttman Keren" w:ascii="HUBPSigla" w:hAnsi="HUBPSigla"/>
          <w:sz w:val="24"/>
          <w:szCs w:val="24"/>
        </w:rPr>
        <w:t>[</w:t>
      </w:r>
      <w:r>
        <w:rPr>
          <w:rFonts w:cs="Guttman Keren"/>
          <w:sz w:val="24"/>
          <w:szCs w:val="24"/>
        </w:rPr>
        <w:t xml:space="preserve"> pr </w:t>
      </w:r>
      <w:r>
        <w:rPr>
          <w:rFonts w:cs="Estrangelo Edessa"/>
          <w:sz w:val="24"/>
          <w:sz w:val="24"/>
          <w:szCs w:val="24"/>
          <w:rtl w:val="true"/>
          <w:lang w:val="el-GR" w:bidi="syr-TR"/>
        </w:rPr>
        <w:t>ܘܢܐܡܪ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 w:val="24"/>
          <w:szCs w:val="24"/>
        </w:rPr>
        <w:t>“</w:t>
      </w:r>
      <w:r>
        <w:rPr>
          <w:rFonts w:cs="David"/>
          <w:sz w:val="24"/>
          <w:szCs w:val="24"/>
        </w:rPr>
        <w:t xml:space="preserve">and (Ephraim) will say” </w:t>
      </w:r>
      <w:r>
        <w:rPr>
          <w:rFonts w:cs="Times New Roman" w:ascii="HUBPSigla" w:hAnsi="HUBPSigla"/>
          <w:sz w:val="24"/>
          <w:szCs w:val="24"/>
        </w:rPr>
        <w:t>+</w:t>
      </w:r>
      <w:r>
        <w:rPr>
          <w:rFonts w:cs="David"/>
          <w:sz w:val="24"/>
          <w:szCs w:val="24"/>
        </w:rPr>
        <w:t xml:space="preserve"> </w:t>
      </w:r>
      <w:r>
        <w:rPr>
          <w:rFonts w:cs="David" w:ascii="HUBPSigla" w:hAnsi="HUBPSigla"/>
          <w:sz w:val="24"/>
          <w:szCs w:val="24"/>
        </w:rPr>
        <w:t>T</w:t>
      </w:r>
    </w:p>
  </w:footnote>
  <w:footnote w:id="4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sz w:val="24"/>
          <w:szCs w:val="24"/>
        </w:rPr>
        <w:t xml:space="preserve"> Jer 2</w:t>
      </w:r>
      <w:r>
        <w:rPr>
          <w:sz w:val="24"/>
          <w:szCs w:val="24"/>
          <w:vertAlign w:val="subscript"/>
        </w:rPr>
        <w:t>18</w:t>
      </w:r>
      <w:r>
        <w:rPr>
          <w:sz w:val="24"/>
          <w:szCs w:val="24"/>
        </w:rPr>
        <w:t>; cf app Joel 4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; </w:t>
      </w:r>
      <w:r>
        <w:rPr>
          <w:rFonts w:cs="Guttman Keren"/>
          <w:sz w:val="24"/>
          <w:sz w:val="24"/>
          <w:szCs w:val="24"/>
          <w:rtl w:val="true"/>
          <w:lang w:val="el-GR"/>
        </w:rPr>
        <w:t>מה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ל</w:t>
      </w:r>
      <w:r>
        <w:rPr>
          <w:rFonts w:cs="Guttman Keren"/>
          <w:sz w:val="24"/>
          <w:szCs w:val="24"/>
          <w:rtl w:val="true"/>
          <w:lang w:val="el-GR"/>
        </w:rPr>
        <w:t xml:space="preserve">-... </w:t>
      </w:r>
      <w:r>
        <w:rPr>
          <w:rFonts w:cs="Guttman Keren"/>
          <w:sz w:val="24"/>
          <w:sz w:val="24"/>
          <w:szCs w:val="24"/>
          <w:rtl w:val="true"/>
          <w:lang w:val="el-GR"/>
        </w:rPr>
        <w:t>ול</w:t>
      </w:r>
      <w:r>
        <w:rPr>
          <w:rFonts w:cs="Guttman Keren"/>
          <w:sz w:val="24"/>
          <w:szCs w:val="24"/>
          <w:lang w:val="el-GR"/>
        </w:rPr>
        <w:t>-...</w:t>
      </w:r>
      <w:r>
        <w:rPr>
          <w:rFonts w:cs="Guttman Keren"/>
          <w:sz w:val="24"/>
          <w:szCs w:val="24"/>
        </w:rPr>
        <w:t xml:space="preserve"> common construction, cf 2Kgs 9</w:t>
      </w:r>
      <w:r>
        <w:rPr>
          <w:rFonts w:cs="Guttman Keren"/>
          <w:sz w:val="24"/>
          <w:szCs w:val="24"/>
          <w:vertAlign w:val="subscript"/>
        </w:rPr>
        <w:t>18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rFonts w:cs="Guttman Keren"/>
          <w:sz w:val="24"/>
          <w:szCs w:val="24"/>
          <w:vertAlign w:val="subscript"/>
        </w:rPr>
        <w:t>19</w:t>
      </w:r>
      <w:r>
        <w:rPr>
          <w:rFonts w:cs="Guttman Keren"/>
          <w:sz w:val="24"/>
          <w:szCs w:val="24"/>
        </w:rPr>
        <w:t xml:space="preserve"> Judg 11</w:t>
      </w:r>
      <w:r>
        <w:rPr>
          <w:rFonts w:cs="Guttman Keren"/>
          <w:sz w:val="24"/>
          <w:szCs w:val="24"/>
          <w:vertAlign w:val="subscript"/>
        </w:rPr>
        <w:t>12</w:t>
      </w:r>
      <w:r>
        <w:rPr>
          <w:rFonts w:cs="Guttman Keren"/>
          <w:sz w:val="24"/>
          <w:szCs w:val="24"/>
        </w:rPr>
        <w:t xml:space="preserve"> et al</w:t>
      </w:r>
    </w:p>
  </w:footnote>
  <w:footnote w:id="4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coniug </w:t>
      </w:r>
      <w:r>
        <w:rPr>
          <w:rFonts w:cs="Guttman Keren"/>
          <w:sz w:val="24"/>
          <w:sz w:val="24"/>
          <w:szCs w:val="24"/>
          <w:rtl w:val="true"/>
          <w:lang w:val="el-GR"/>
        </w:rPr>
        <w:t>עִנִּיתי</w:t>
      </w:r>
      <w:r>
        <w:rPr>
          <w:rFonts w:cs="Guttman Keren"/>
          <w:sz w:val="24"/>
          <w:szCs w:val="24"/>
        </w:rPr>
        <w:t xml:space="preserve">; etym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ענה</w:t>
      </w:r>
      <w:r>
        <w:rPr>
          <w:rFonts w:cs="Guttman Keren"/>
          <w:sz w:val="24"/>
          <w:szCs w:val="24"/>
          <w:vertAlign w:val="subscript"/>
          <w:lang w:val="el-GR"/>
        </w:rPr>
        <w:t>3</w:t>
      </w:r>
      <w:r>
        <w:rPr>
          <w:rFonts w:cs="Times New Roman"/>
          <w:sz w:val="24"/>
          <w:szCs w:val="24"/>
        </w:rPr>
        <w:t xml:space="preserve">, </w:t>
      </w:r>
      <w:r>
        <w:rPr>
          <w:rFonts w:cs="Guttman Keren"/>
          <w:sz w:val="24"/>
          <w:szCs w:val="24"/>
        </w:rPr>
        <w:t>cf 2</w:t>
      </w:r>
      <w:r>
        <w:rPr>
          <w:rFonts w:cs="Guttman Keren"/>
          <w:sz w:val="24"/>
          <w:szCs w:val="24"/>
          <w:vertAlign w:val="subscript"/>
        </w:rPr>
        <w:t>17</w:t>
      </w:r>
      <w:r>
        <w:rPr>
          <w:rFonts w:cs="Guttman Keren"/>
          <w:sz w:val="24"/>
          <w:szCs w:val="24"/>
        </w:rPr>
        <w:t xml:space="preserve"> 5</w:t>
      </w:r>
      <w:r>
        <w:rPr>
          <w:rFonts w:cs="Guttman Keren"/>
          <w:sz w:val="24"/>
          <w:szCs w:val="24"/>
          <w:vertAlign w:val="subscript"/>
        </w:rPr>
        <w:t>5</w:t>
      </w:r>
      <w:r>
        <w:rPr>
          <w:rFonts w:cs="Guttman Keren"/>
          <w:sz w:val="24"/>
          <w:szCs w:val="24"/>
        </w:rPr>
        <w:t xml:space="preserve"> 7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 xml:space="preserve"> Mal 2</w:t>
      </w:r>
      <w:r>
        <w:rPr>
          <w:rFonts w:cs="Guttman Keren"/>
          <w:sz w:val="24"/>
          <w:szCs w:val="24"/>
          <w:vertAlign w:val="subscript"/>
        </w:rPr>
        <w:t>12</w:t>
      </w:r>
    </w:p>
  </w:footnote>
  <w:footnote w:id="4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Estrangelo Edessa"/>
          <w:sz w:val="24"/>
          <w:szCs w:val="24"/>
          <w:lang w:bidi="syr-TR"/>
        </w:rPr>
        <w:t>(</w:t>
      </w:r>
      <w:r>
        <w:rPr>
          <w:rFonts w:cs="Guttman Keren"/>
          <w:sz w:val="24"/>
          <w:sz w:val="24"/>
          <w:szCs w:val="24"/>
          <w:rtl w:val="true"/>
        </w:rPr>
        <w:t>עניתי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</w:rPr>
        <w:t xml:space="preserve">; p parall pron seq; p ditt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עניתי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ואשורנו</w:t>
      </w:r>
      <w:r>
        <w:rPr>
          <w:rFonts w:cs="Guttman Keren"/>
          <w:sz w:val="24"/>
          <w:szCs w:val="24"/>
          <w:rtl w:val="true"/>
        </w:rPr>
        <w:t>)</w:t>
      </w:r>
    </w:p>
  </w:footnote>
  <w:footnote w:id="4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I”, </w:t>
      </w:r>
      <w:r>
        <w:rPr>
          <w:rFonts w:cs="Times New Roman"/>
          <w:sz w:val="24"/>
          <w:szCs w:val="24"/>
        </w:rPr>
        <w:t>rep</w:t>
      </w:r>
    </w:p>
  </w:footnote>
  <w:footnote w:id="4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I will strengthen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etym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שׂרה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Guttman Keren"/>
          <w:sz w:val="24"/>
          <w:szCs w:val="24"/>
        </w:rPr>
        <w:t xml:space="preserve"> 12</w:t>
      </w:r>
      <w:r>
        <w:rPr>
          <w:rFonts w:cs="Guttman Keren"/>
          <w:sz w:val="24"/>
          <w:szCs w:val="24"/>
          <w:vertAlign w:val="subscript"/>
        </w:rPr>
        <w:t>4,5[3,4]</w:t>
      </w:r>
      <w:r>
        <w:rPr>
          <w:rFonts w:cs="Guttman Keren"/>
          <w:sz w:val="24"/>
          <w:szCs w:val="24"/>
        </w:rPr>
        <w:t>, Gen 32</w:t>
      </w:r>
      <w:r>
        <w:rPr>
          <w:rFonts w:cs="Guttman Keren"/>
          <w:sz w:val="24"/>
          <w:szCs w:val="24"/>
          <w:vertAlign w:val="subscript"/>
        </w:rPr>
        <w:t>29</w:t>
      </w:r>
      <w:r>
        <w:rPr>
          <w:rFonts w:cs="Guttman Keren"/>
          <w:sz w:val="24"/>
          <w:szCs w:val="24"/>
        </w:rPr>
        <w:t>; p etym Aram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שׁרר</w:t>
      </w:r>
      <w:r>
        <w:rPr>
          <w:rFonts w:cs="Times New Roman"/>
          <w:sz w:val="24"/>
          <w:sz w:val="24"/>
          <w:szCs w:val="24"/>
        </w:rPr>
        <w:t xml:space="preserve"> </w:t>
      </w:r>
    </w:p>
  </w:footnote>
  <w:footnote w:id="4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I will straighten”</w:t>
      </w:r>
      <w:r>
        <w:rPr>
          <w:sz w:val="24"/>
          <w:szCs w:val="24"/>
        </w:rPr>
        <w:t xml:space="preserve">; p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ישׁר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(cf v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>), cf app 12</w:t>
      </w:r>
      <w:r>
        <w:rPr>
          <w:rFonts w:cs="Guttman Keren"/>
          <w:sz w:val="24"/>
          <w:szCs w:val="24"/>
          <w:vertAlign w:val="subscript"/>
        </w:rPr>
        <w:t>4</w:t>
      </w:r>
      <w:r>
        <w:rPr>
          <w:rFonts w:cs="Guttman Keren"/>
          <w:sz w:val="24"/>
          <w:szCs w:val="24"/>
        </w:rPr>
        <w:t xml:space="preserve">; p etym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אשׁר</w:t>
      </w:r>
      <w:r>
        <w:rPr>
          <w:rFonts w:cs="Guttman Keren"/>
          <w:sz w:val="24"/>
          <w:szCs w:val="24"/>
        </w:rPr>
        <w:t>, cf Prov 23</w:t>
      </w:r>
      <w:r>
        <w:rPr>
          <w:rFonts w:cs="Guttman Keren"/>
          <w:sz w:val="24"/>
          <w:szCs w:val="24"/>
          <w:vertAlign w:val="subscript"/>
        </w:rPr>
        <w:t>19</w:t>
      </w:r>
    </w:p>
  </w:footnote>
  <w:footnote w:id="4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I will glorify”;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אשׁר</w:t>
      </w:r>
      <w:r>
        <w:rPr>
          <w:rFonts w:cs="Guttman Keren"/>
          <w:sz w:val="24"/>
          <w:szCs w:val="24"/>
        </w:rPr>
        <w:t>, cf Mal 3</w:t>
      </w:r>
      <w:r>
        <w:rPr>
          <w:rFonts w:cs="Guttman Keren"/>
          <w:sz w:val="24"/>
          <w:szCs w:val="24"/>
          <w:vertAlign w:val="subscript"/>
        </w:rPr>
        <w:t>12</w:t>
      </w:r>
      <w:r>
        <w:rPr>
          <w:rFonts w:cs="Guttman Keren"/>
          <w:sz w:val="24"/>
          <w:szCs w:val="24"/>
        </w:rPr>
        <w:t xml:space="preserve"> Gen 30</w:t>
      </w:r>
      <w:r>
        <w:rPr>
          <w:rFonts w:cs="Guttman Keren"/>
          <w:sz w:val="24"/>
          <w:szCs w:val="24"/>
          <w:vertAlign w:val="subscript"/>
        </w:rPr>
        <w:t>13</w:t>
      </w:r>
      <w:r>
        <w:rPr>
          <w:rFonts w:cs="Guttman Keren"/>
          <w:sz w:val="24"/>
          <w:szCs w:val="24"/>
        </w:rPr>
        <w:t xml:space="preserve"> et al</w:t>
      </w:r>
    </w:p>
  </w:footnote>
  <w:footnote w:id="5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transp</w:t>
      </w:r>
    </w:p>
  </w:footnote>
  <w:footnote w:id="5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in </w:t>
      </w:r>
      <w:r>
        <w:rPr>
          <w:rFonts w:cs="HUBPSigla" w:ascii="HUBPSigla" w:hAnsi="HUBPSigla"/>
          <w:sz w:val="24"/>
          <w:szCs w:val="24"/>
        </w:rPr>
        <w:t>x]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ברוש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understood as simile for God, in </w:t>
      </w:r>
      <w:r>
        <w:rPr>
          <w:rFonts w:cs="Guttman Keren" w:ascii="HUBPSigla" w:hAnsi="HUBPSigla"/>
          <w:sz w:val="24"/>
          <w:szCs w:val="24"/>
        </w:rPr>
        <w:t>*[T</w:t>
      </w:r>
      <w:r>
        <w:rPr>
          <w:rFonts w:cs="Guttman Keren"/>
          <w:sz w:val="24"/>
          <w:szCs w:val="24"/>
        </w:rPr>
        <w:t xml:space="preserve"> for Ephraim</w:t>
      </w:r>
    </w:p>
  </w:footnote>
  <w:footnote w:id="5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I will make him”; =</w:t>
      </w:r>
      <w:r>
        <w:rPr>
          <w:sz w:val="24"/>
          <w:szCs w:val="24"/>
        </w:rPr>
        <w:t xml:space="preserve"> Hier 157</w:t>
      </w:r>
      <w:r>
        <w:rPr>
          <w:sz w:val="24"/>
          <w:szCs w:val="24"/>
          <w:vertAlign w:val="subscript"/>
        </w:rPr>
        <w:t>191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faciam eum 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quasi abietem</w:t>
      </w:r>
      <w:r>
        <w:rPr>
          <w:sz w:val="24"/>
          <w:szCs w:val="24"/>
        </w:rPr>
        <w:t>)</w:t>
      </w:r>
    </w:p>
  </w:footnote>
  <w:footnote w:id="5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David"/>
        <w:rtl w:val="true"/>
      </w:rPr>
      <w:fldChar w:fldCharType="begin"/>
    </w:r>
    <w:r>
      <w:rPr>
        <w:rtl w:val="true"/>
        <w:rFonts w:cs="David"/>
      </w:rPr>
      <w:instrText xml:space="preserve"> DATE \@"dd\/MM\/yyyy" </w:instrText>
    </w:r>
    <w:r>
      <w:rPr>
        <w:rtl w:val="true"/>
        <w:rFonts w:cs="David"/>
      </w:rPr>
      <w:fldChar w:fldCharType="separate"/>
    </w:r>
    <w:r>
      <w:rPr>
        <w:rtl w:val="true"/>
        <w:rFonts w:cs="David"/>
      </w:rPr>
      <w:t>10/11/2024</w:t>
    </w:r>
    <w:r>
      <w:rPr>
        <w:rtl w:val="true"/>
        <w:rFonts w:cs="David"/>
      </w:rPr>
      <w:fldChar w:fldCharType="end"/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הושע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יד</w:t>
    </w:r>
    <w:r>
      <w:rPr>
        <w:rFonts w:cs="David"/>
        <w:rtl w:val="true"/>
      </w:rPr>
      <w:t xml:space="preserve">, </w:t>
    </w:r>
    <w:r>
      <w:rPr>
        <w:rFonts w:cs="David"/>
        <w:rtl w:val="true"/>
      </w:rPr>
      <w:t>אפ</w:t>
    </w:r>
    <w:r>
      <w:rPr>
        <w:rFonts w:cs="David"/>
        <w:rtl w:val="true"/>
      </w:rPr>
      <w:t xml:space="preserve">' </w:t>
    </w:r>
    <w:r>
      <w:rPr>
        <w:rFonts w:cs="David"/>
        <w:rtl w:val="true"/>
      </w:rPr>
      <w:t>א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 xml:space="preserve">+ </w:t>
    </w:r>
    <w:r>
      <w:rPr>
        <w:rFonts w:cs="David"/>
        <w:rtl w:val="true"/>
      </w:rPr>
      <w:t>ה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(</w:t>
    </w:r>
    <w:r>
      <w:rPr>
        <w:rFonts w:cs="David"/>
        <w:rtl w:val="true"/>
      </w:rPr>
      <w:t>הערות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באנגלית</w:t>
    </w:r>
    <w:r>
      <w:rPr>
        <w:rFonts w:cs="David"/>
        <w:rtl w:val="true"/>
      </w:rPr>
      <w:t>)</w:t>
    </w:r>
  </w:p>
</w:hdr>
</file>

<file path=word/settings.xml><?xml version="1.0" encoding="utf-8"?>
<w:settings xmlns:w="http://schemas.openxmlformats.org/wordprocessingml/2006/main">
  <w:zoom w:percent="220"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Miriam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bidi w:val="0"/>
      <w:spacing w:lineRule="auto" w:line="480"/>
      <w:jc w:val="center"/>
    </w:pPr>
    <w:rPr>
      <w:rFonts w:cs="FrankRuehl"/>
      <w:sz w:val="24"/>
      <w:szCs w:val="24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BalloonText">
    <w:name w:val="Balloon Text"/>
    <w:basedOn w:val="Normal"/>
    <w:qFormat/>
    <w:pPr>
      <w:ind w:left="0" w:right="0" w:hanging="0"/>
      <w:jc w:val="left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2018-07-18T08:47:00Z</dcterms:created>
  <dc:creator>Microsoft Corporation</dc:creator>
  <dc:description/>
  <cp:keywords/>
  <dc:language>en-US</dc:language>
  <cp:lastModifiedBy>Michael Segal</cp:lastModifiedBy>
  <cp:lastPrinted>2010-07-18T17:38:00Z</cp:lastPrinted>
  <dcterms:modified xsi:type="dcterms:W3CDTF">2018-09-23T08:49:00Z</dcterms:modified>
  <cp:revision>3</cp:revision>
  <dc:subject/>
  <dc:title>Hos</dc:title>
</cp:coreProperties>
</file>