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exact" w:line="400"/>
        <w:rPr>
          <w:rFonts w:cs="Estrangelo Edessa"/>
          <w:sz w:val="28"/>
          <w:szCs w:val="28"/>
          <w:lang w:bidi="syr-TR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6</w:t>
      </w:r>
    </w:p>
    <w:p>
      <w:pPr>
        <w:pStyle w:val="Heading"/>
        <w:spacing w:lineRule="exact" w:line="400"/>
        <w:rPr>
          <w:rFonts w:cs="Estrangelo Edessa"/>
          <w:sz w:val="28"/>
          <w:szCs w:val="28"/>
          <w:lang w:bidi="syr-TR"/>
        </w:rPr>
      </w:pPr>
      <w:r>
        <w:rPr>
          <w:rFonts w:cs="Estrangelo Edessa"/>
          <w:sz w:val="28"/>
          <w:szCs w:val="28"/>
          <w:lang w:bidi="syr-TR"/>
        </w:rPr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  <w:lang w:eastAsia="zh-CN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init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pr </w:t>
      </w:r>
      <w:r>
        <w:rPr>
          <w:rFonts w:cs="Times New Roman" w:ascii="GFS Porson" w:hAnsi="GFS Porson"/>
          <w:sz w:val="28"/>
          <w:szCs w:val="28"/>
          <w:lang w:val="el-GR"/>
        </w:rPr>
        <w:t>λέγοντες</w:t>
      </w:r>
      <w:r>
        <w:rPr>
          <w:rStyle w:val="FootnoteCharacters"/>
          <w:rStyle w:val="FootnoteAnchor"/>
          <w:sz w:val="28"/>
          <w:szCs w:val="28"/>
        </w:rPr>
        <w:footnoteReference w:id="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  <w:lang w:eastAsia="zh-CN"/>
        </w:rPr>
        <w:t>+</w:t>
      </w:r>
      <w:r>
        <w:rPr>
          <w:rFonts w:cs="Times New Roman"/>
          <w:sz w:val="28"/>
          <w:szCs w:val="28"/>
          <w:lang w:eastAsia="zh-CN"/>
        </w:rPr>
        <w:t xml:space="preserve"> </w:t>
      </w:r>
      <w:r>
        <w:rPr>
          <w:rFonts w:cs="Times New Roman" w:ascii="HUBPSigla" w:hAnsi="HUBPSigla"/>
          <w:sz w:val="28"/>
          <w:szCs w:val="28"/>
          <w:lang w:eastAsia="zh-CN"/>
        </w:rPr>
        <w:t>[T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לכו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ונשובה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~</w:t>
      </w:r>
      <w:bookmarkStart w:id="0" w:name="_Ref136241635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"/>
      </w:r>
      <w:bookmarkEnd w:id="0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לכו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pers</w:t>
      </w:r>
      <w:bookmarkStart w:id="1" w:name="_Ref266268982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"/>
      </w:r>
      <w:bookmarkEnd w:id="1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יהוה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div +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טרף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יך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+ pron</w:t>
      </w:r>
      <w:bookmarkStart w:id="2" w:name="_Ref242077204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"/>
      </w:r>
      <w:bookmarkEnd w:id="2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טרף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πέπαικε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|[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"/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pron</w:t>
      </w:r>
      <w:bookmarkStart w:id="3" w:name="_Ref242077186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"/>
      </w:r>
      <w:bookmarkEnd w:id="3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מ</w:t>
      </w:r>
      <w:r>
        <w:rPr>
          <w:rFonts w:cs="Guttman Keren"/>
          <w:sz w:val="28"/>
          <w:szCs w:val="28"/>
          <w:rtl w:val="true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יֹמָיִם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]*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יֹמָיִם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ܝܘܡ̈ܬܐ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10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ביום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יְקִמנו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GFS Porson" w:ascii="GFS Porson" w:hAnsi="GFS Porson"/>
          <w:sz w:val="28"/>
          <w:szCs w:val="28"/>
        </w:rPr>
        <w:t>(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καὶ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GFS Porso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ἀναστησόμεθα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1"/>
      </w:r>
    </w:p>
    <w:p>
      <w:pPr>
        <w:pStyle w:val="Normal"/>
        <w:bidi w:val="0"/>
        <w:spacing w:lineRule="exact" w:line="400"/>
        <w:jc w:val="left"/>
        <w:rPr>
          <w:rFonts w:cs="Times New Roman"/>
          <w:i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ונדעה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נרדפה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2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sciemus sequemurque</w:t>
      </w:r>
      <w:r>
        <w:rPr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HUBPSigla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ונדעה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καὶ γνωσόμεθα</w:t>
      </w:r>
      <w:r>
        <w:rPr>
          <w:rFonts w:cs="Times New Roman" w:ascii="HUBPSigla" w:hAnsi="HUBPSigla"/>
          <w:sz w:val="28"/>
          <w:szCs w:val="28"/>
        </w:rPr>
        <w:t>v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כְּשחר</w:t>
      </w:r>
      <w:r>
        <w:rPr>
          <w:sz w:val="28"/>
          <w:szCs w:val="28"/>
        </w:rPr>
        <w:t xml:space="preserve">] </w:t>
      </w:r>
      <w:r>
        <w:rPr>
          <w:rFonts w:cs="Times New Roman" w:ascii="GFS Porson" w:hAnsi="GFS Porson"/>
          <w:sz w:val="28"/>
          <w:szCs w:val="28"/>
          <w:highlight w:val="yellow"/>
        </w:rPr>
        <w:t>ε</w:t>
      </w:r>
      <w:r>
        <w:rPr>
          <w:rFonts w:cs="Calibri" w:ascii="GFS Porson" w:hAnsi="GFS Porson"/>
          <w:sz w:val="28"/>
          <w:szCs w:val="28"/>
          <w:highlight w:val="yellow"/>
        </w:rPr>
        <w:t>´</w:t>
      </w:r>
      <w:r>
        <w:rPr>
          <w:rFonts w:cs="Times New Roman"/>
          <w:sz w:val="28"/>
          <w:szCs w:val="28"/>
        </w:rPr>
        <w:t xml:space="preserve"> connect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נכון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connect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מֹצאו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εὑρήσομεν αὐτόν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4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כגשם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לנו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~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כמלקוש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מלקוש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יורה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πρόιμος καὶ ὄψιμος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5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יורה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connect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Estrangelo Edessa" w:ascii="HUBPSigla" w:hAnsi="HUBPSigla"/>
          <w:sz w:val="28"/>
          <w:szCs w:val="28"/>
          <w:lang w:bidi="syr-TR"/>
        </w:rPr>
        <w:t>-</w:t>
      </w:r>
      <w:r>
        <w:rPr>
          <w:rFonts w:cs="Times New Roman"/>
          <w:sz w:val="28"/>
          <w:szCs w:val="28"/>
        </w:rPr>
        <w:t xml:space="preserve"> </w:t>
      </w:r>
      <w:bookmarkStart w:id="4" w:name="_Ref135032425"/>
      <w:r>
        <w:rPr>
          <w:rFonts w:cs="Estrangelo Edessa"/>
          <w:sz w:val="28"/>
          <w:szCs w:val="28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</w:t>
      </w:r>
      <w:r>
        <w:rPr>
          <w:rFonts w:cs="Estrangelo Edessa"/>
          <w:sz w:val="28"/>
          <w:szCs w:val="28"/>
          <w:lang w:bidi="syr-TR"/>
        </w:rPr>
        <w:t>)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ܡܪܘܐ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16"/>
      </w:r>
      <w:bookmarkEnd w:id="4"/>
      <w:r>
        <w:rPr>
          <w:rFonts w:eastAsia="Times New Roman"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David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4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מה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]h[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חסדכם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 w:ascii="HUBPSigla" w:hAnsi="HUBPSigla"/>
          <w:sz w:val="28"/>
          <w:szCs w:val="28"/>
        </w:rPr>
        <w:t>[Th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7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הלך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5 </w:t>
      </w:r>
      <w:r>
        <w:rPr>
          <w:rFonts w:cs="Guttman Keren"/>
          <w:sz w:val="28"/>
          <w:sz w:val="28"/>
          <w:szCs w:val="28"/>
          <w:rtl w:val="true"/>
        </w:rPr>
        <w:t>חצבתי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נביאים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8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ἀπεθέρισα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9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οὐκ ἐφεισάμην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0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אזהרתנון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Cs w:val="28"/>
        </w:rPr>
        <w:t xml:space="preserve">- 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ב</w:t>
      </w:r>
      <w:r>
        <w:rPr>
          <w:rFonts w:cs="Guttman Keren"/>
          <w:sz w:val="28"/>
          <w:szCs w:val="28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נביאים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הרגתים</w:t>
      </w:r>
      <w:r>
        <w:rPr>
          <w:rFonts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באמרי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 w:ascii="HUBPSigla" w:hAnsi="HUBPSigla"/>
          <w:sz w:val="28"/>
          <w:szCs w:val="28"/>
        </w:rPr>
        <w:t>T[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משפטיך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אור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τὸ κρίμα μου ὡς φῶς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3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iudicia tua quasi lux</w:t>
      </w:r>
      <w:r>
        <w:rPr>
          <w:rStyle w:val="FootnoteCharacters"/>
          <w:rStyle w:val="FootnoteAnchor"/>
          <w:sz w:val="28"/>
          <w:szCs w:val="28"/>
        </w:rPr>
        <w:footnoteReference w:id="24"/>
      </w:r>
      <w:r>
        <w:rPr>
          <w:rFonts w:cs="Times New Roman"/>
          <w:i/>
          <w:iCs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ascii="HUBPSigla" w:hAnsi="HUBPSigla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6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ולא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GFS Porson" w:hAnsi="GFS Porson"/>
          <w:sz w:val="28"/>
          <w:szCs w:val="28"/>
        </w:rPr>
        <w:t>ἢ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ascii="HUBPSigla" w:hAnsi="HUBPSigla" w:cs="Guttman Keren"/>
          <w:sz w:val="28"/>
          <w:sz w:val="28"/>
          <w:szCs w:val="28"/>
          <w:rtl w:val="true"/>
        </w:rPr>
        <w:t>אלהים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div</w:t>
      </w:r>
    </w:p>
    <w:p>
      <w:pPr>
        <w:pStyle w:val="Normal"/>
        <w:bidi w:val="0"/>
        <w:spacing w:lineRule="exact" w:line="400"/>
        <w:jc w:val="left"/>
        <w:rPr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7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אדם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עָברו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pers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7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ברית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7–8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גלעד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בגדו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κατεφρόνησέ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Γαλααδ</w:t>
      </w:r>
      <w:r>
        <w:rPr>
          <w:rStyle w:val="FootnoteCharacters"/>
          <w:rFonts w:cs="Times New Roman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גלעד</w:t>
      </w:r>
      <w:r>
        <w:rPr>
          <w:rFonts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Γαλγαλα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0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פעלי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עֲקֻבָּה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"/>
          <w:sz w:val="28"/>
          <w:szCs w:val="28"/>
          <w:rtl w:val="true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מדם</w:t>
      </w:r>
      <w:r>
        <w:rPr>
          <w:rFonts w:cs="Guttman Keren"/>
          <w:sz w:val="28"/>
          <w:szCs w:val="28"/>
          <w:rtl w:val="true"/>
          <w:lang w:val="el-GR"/>
        </w:rPr>
        <w:t>)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2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5" w:name="_Ref136242621"/>
      <w:r>
        <w:rPr>
          <w:rFonts w:cs="Times New Roman" w:ascii="GFS Porson" w:hAnsi="GFS Porson"/>
          <w:sz w:val="28"/>
          <w:szCs w:val="28"/>
          <w:lang w:val="el-GR"/>
        </w:rPr>
        <w:t>ταράσσουσα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ὕδωρ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3"/>
      </w:r>
      <w:bookmarkEnd w:id="5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ἡ πτέρνα αὐτῆς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περικαμπῆς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5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διώκεται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ܡܦܠܦܠܐ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7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אשדין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מדם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ὕδωρ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וכחכי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איש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גדודים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T-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כְחַכֵּי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0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6" w:name="_Ref136845075"/>
      <w:r>
        <w:rPr>
          <w:rFonts w:cs="Times New Roman" w:ascii="GFS Porson" w:hAnsi="GFS Porson"/>
          <w:sz w:val="28"/>
          <w:szCs w:val="28"/>
          <w:lang w:val="el-GR"/>
        </w:rPr>
        <w:t>ἡ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ἰσχύς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σου</w:t>
      </w:r>
      <w:bookmarkEnd w:id="6"/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1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quasi fauces</w:t>
      </w:r>
      <w:r>
        <w:rPr>
          <w:rStyle w:val="FootnoteCharacters"/>
          <w:rStyle w:val="FootnoteAnchor"/>
          <w:sz w:val="28"/>
          <w:szCs w:val="28"/>
        </w:rPr>
        <w:footnoteReference w:id="43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כמא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די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מסבר</w:t>
      </w:r>
      <w:bookmarkStart w:id="7" w:name="_Ref243281188"/>
      <w:r>
        <w:rPr>
          <w:rStyle w:val="FootnoteCharacters"/>
          <w:rStyle w:val="FootnoteAnchor"/>
          <w:rFonts w:cs="Times New Roman"/>
          <w:sz w:val="28"/>
          <w:sz w:val="28"/>
          <w:szCs w:val="28"/>
          <w:rtl w:val="true"/>
        </w:rPr>
        <w:footnoteReference w:id="44"/>
      </w:r>
      <w:bookmarkEnd w:id="7"/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|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Times New Roman" w:ascii="HUBPSigla" w:hAnsi="HUBPSigla"/>
          <w:sz w:val="28"/>
          <w:szCs w:val="28"/>
          <w:rtl w:val="true"/>
        </w:rPr>
        <w:t>~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ܐܝܟ</w:t>
      </w:r>
      <w:r>
        <w:rPr>
          <w:rFonts w:eastAsia="Times New Roman"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ܣܟܪܐ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  <w:rtl w:val="true"/>
        </w:rPr>
        <w:footnoteReference w:id="45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Cs w:val="28"/>
          <w:rtl w:val="true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ܐܝܟ</w:t>
      </w:r>
      <w:r>
        <w:rPr>
          <w:rFonts w:eastAsia="Times New Roman"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ܫܘܥܠܝܐ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46"/>
      </w:r>
      <w:r>
        <w:rPr>
          <w:rFonts w:cs="Times New Roman"/>
          <w:sz w:val="28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חֶבֶר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8" w:name="_Ref139610525"/>
      <w:r>
        <w:rPr>
          <w:rFonts w:cs="Times New Roman" w:ascii="GFS Porson" w:hAnsi="GFS Porson"/>
          <w:sz w:val="28"/>
          <w:szCs w:val="28"/>
          <w:lang w:val="el-GR"/>
        </w:rPr>
        <w:t>ἔκρυψαν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7"/>
      </w:r>
      <w:bookmarkEnd w:id="8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particeps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48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bookmarkStart w:id="9" w:name="_Ref262140006"/>
      <w:r>
        <w:rPr>
          <w:rFonts w:cs="Estrangelo Edessa"/>
          <w:sz w:val="28"/>
          <w:sz w:val="28"/>
          <w:szCs w:val="28"/>
          <w:rtl w:val="true"/>
          <w:lang w:bidi="syr-TR"/>
        </w:rPr>
        <w:t>ܐܫܬܘܬܦܘ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49"/>
      </w:r>
      <w:bookmarkEnd w:id="9"/>
      <w:r>
        <w:rPr>
          <w:rFonts w:eastAsia="Times New Roman"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אתחברו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דרך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],</w:t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 </w:t>
      </w:r>
      <w:r>
        <w:rPr>
          <w:rFonts w:cs="Times New Roman" w:ascii="GFS Porson" w:hAnsi="GFS Porson"/>
          <w:sz w:val="28"/>
          <w:szCs w:val="28"/>
          <w:lang w:val="el-GR"/>
        </w:rPr>
        <w:t>κυρίου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50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שֶׁכְמָה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Σικιμα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[9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51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pergentes de Sychem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52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כתף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חד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5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10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זנות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ܙܢܝ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54"/>
      </w:r>
      <w:r>
        <w:rPr>
          <w:rFonts w:eastAsia="Times New Roman"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 xml:space="preserve">= </w:t>
      </w:r>
      <w:r>
        <w:rPr>
          <w:rFonts w:cs="David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10–11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גם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יהודה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ישראל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Ισραηλ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Ιουδας</w:t>
      </w:r>
      <w:r>
        <w:rPr>
          <w:rFonts w:cs="Times New Roman" w:ascii="HUBPSigla" w:hAnsi="HUBPSigla"/>
          <w:sz w:val="28"/>
          <w:szCs w:val="28"/>
        </w:rPr>
        <w:t>v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11 </w:t>
      </w:r>
      <w:r>
        <w:rPr>
          <w:rFonts w:cs="Guttman Keren"/>
          <w:sz w:val="28"/>
          <w:sz w:val="28"/>
          <w:szCs w:val="28"/>
          <w:rtl w:val="true"/>
        </w:rPr>
        <w:t>שָׁת</w:t>
      </w:r>
      <w:r>
        <w:rPr>
          <w:rFonts w:cs="Guttman Keren"/>
          <w:sz w:val="28"/>
          <w:szCs w:val="28"/>
        </w:rPr>
        <w:t>]</w:t>
      </w:r>
      <w:bookmarkStart w:id="10" w:name="_Ref243282180"/>
      <w:r>
        <w:rPr>
          <w:rStyle w:val="FootnoteCharacters"/>
          <w:rStyle w:val="FootnoteAnchor"/>
          <w:rFonts w:cs="David"/>
          <w:sz w:val="28"/>
          <w:szCs w:val="28"/>
        </w:rPr>
        <w:footnoteReference w:id="55"/>
      </w:r>
      <w:bookmarkEnd w:id="10"/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bookmarkStart w:id="11" w:name="_Ref138051964"/>
      <w:r>
        <w:rPr>
          <w:rFonts w:cs="Times New Roman"/>
          <w:sz w:val="28"/>
          <w:szCs w:val="28"/>
          <w:vertAlign w:val="superscript"/>
          <w:lang w:val="de-DE"/>
        </w:rPr>
        <w:t> </w:t>
      </w:r>
      <w:r>
        <w:rPr>
          <w:rFonts w:cs="Times New Roman" w:ascii="GFS Porson" w:hAnsi="GFS Porson"/>
          <w:sz w:val="28"/>
          <w:szCs w:val="28"/>
          <w:lang w:val="el-GR"/>
        </w:rPr>
        <w:t>ἄρχου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56"/>
      </w:r>
      <w:bookmarkEnd w:id="11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pr </w:t>
      </w:r>
      <w:bookmarkStart w:id="12" w:name="_Ref138659420"/>
      <w:r>
        <w:rPr>
          <w:rFonts w:cs="Times New Roman" w:ascii="GFS Porson" w:hAnsi="GFS Porson"/>
          <w:sz w:val="28"/>
          <w:szCs w:val="28"/>
          <w:lang w:val="el-GR"/>
        </w:rPr>
        <w:t>ἀφῆκε</w:t>
      </w:r>
      <w:r>
        <w:rPr>
          <w:rFonts w:cs="Times New Roman" w:ascii="GFS Porson" w:hAnsi="GFS Porson"/>
          <w:sz w:val="28"/>
          <w:szCs w:val="28"/>
        </w:rPr>
        <w:t xml:space="preserve"> (</w:t>
      </w:r>
      <w:r>
        <w:rPr>
          <w:rFonts w:cs="Times New Roman" w:ascii="GFS Porson" w:hAnsi="GFS Porson"/>
          <w:sz w:val="28"/>
          <w:szCs w:val="28"/>
          <w:lang w:val="el-GR"/>
        </w:rPr>
        <w:t>θερισμὸν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αὐτοῦ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57"/>
      </w:r>
      <w:bookmarkEnd w:id="12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bookmarkStart w:id="13" w:name="_Ref138051987"/>
      <w:r>
        <w:rPr>
          <w:rFonts w:cs="Segoe UI" w:ascii="GFS Porson" w:hAnsi="GFS Porson"/>
          <w:color w:val="000000"/>
          <w:sz w:val="28"/>
          <w:szCs w:val="28"/>
        </w:rPr>
        <w:t>ἀπόκειται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8"/>
      </w:r>
      <w:bookmarkEnd w:id="13"/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קציר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HUBPSigla" w:ascii="HUBPSigla" w:hAnsi="HUBPSigla"/>
          <w:sz w:val="28"/>
          <w:szCs w:val="28"/>
        </w:rPr>
        <w:t>(</w:t>
      </w:r>
      <w:r>
        <w:rPr>
          <w:rFonts w:ascii="HUBPSigla" w:hAnsi="HUBPSigla" w:cs="HUBPSigla"/>
          <w:sz w:val="28"/>
          <w:sz w:val="28"/>
          <w:szCs w:val="28"/>
          <w:rtl w:val="true"/>
        </w:rPr>
        <w:t>ימטי</w:t>
      </w:r>
      <w:r>
        <w:rPr>
          <w:rFonts w:cs="HUBPSigla" w:ascii="HUBPSigla" w:hAnsi="HUBPSigla"/>
          <w:sz w:val="28"/>
          <w:szCs w:val="28"/>
        </w:rPr>
        <w:t xml:space="preserve">) </w:t>
      </w:r>
      <w:r>
        <w:rPr>
          <w:rFonts w:ascii="HUBPSigla" w:hAnsi="HUBPSigla" w:cs="HUBPSigla"/>
          <w:sz w:val="28"/>
          <w:sz w:val="28"/>
          <w:szCs w:val="28"/>
          <w:rtl w:val="true"/>
        </w:rPr>
        <w:t>קיצא</w:t>
      </w:r>
      <w:r>
        <w:rPr>
          <w:rStyle w:val="FootnoteCharacters"/>
          <w:rFonts w:cs="Times New Roman"/>
          <w:sz w:val="28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59"/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4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4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saying”;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struct, cf app 5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>; cf 2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Isa 2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Jer 18</w:t>
      </w:r>
      <w:r>
        <w:rPr>
          <w:sz w:val="24"/>
          <w:szCs w:val="24"/>
          <w:vertAlign w:val="subscript"/>
        </w:rPr>
        <w:t>18</w:t>
      </w:r>
    </w:p>
  </w:footnote>
  <w:footnote w:id="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usus, cf app 2</w:t>
      </w:r>
      <w:r>
        <w:rPr>
          <w:sz w:val="24"/>
          <w:szCs w:val="24"/>
          <w:vertAlign w:val="subscript"/>
        </w:rPr>
        <w:t>9</w:t>
      </w:r>
    </w:p>
  </w:footnote>
  <w:footnote w:id="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1pl</w:t>
      </w:r>
      <w:r>
        <w:rPr>
          <w:rFonts w:cs="Estrangelo Edessa"/>
          <w:sz w:val="24"/>
          <w:szCs w:val="24"/>
          <w:lang w:bidi="syr-TR"/>
        </w:rPr>
        <w:t>, formula, cf 2</w:t>
      </w:r>
      <w:r>
        <w:rPr>
          <w:rFonts w:cs="Estrangelo Edessa"/>
          <w:sz w:val="24"/>
          <w:szCs w:val="24"/>
          <w:vertAlign w:val="subscript"/>
          <w:lang w:bidi="syr-TR"/>
        </w:rPr>
        <w:t>9</w:t>
      </w:r>
      <w:r>
        <w:rPr>
          <w:rFonts w:cs="Estrangelo Edessa"/>
          <w:sz w:val="24"/>
          <w:szCs w:val="24"/>
          <w:lang w:bidi="syr-TR"/>
        </w:rPr>
        <w:t xml:space="preserve"> 5</w:t>
      </w:r>
      <w:r>
        <w:rPr>
          <w:rFonts w:cs="Estrangelo Edessa"/>
          <w:sz w:val="24"/>
          <w:szCs w:val="24"/>
          <w:vertAlign w:val="subscript"/>
          <w:lang w:bidi="syr-TR"/>
        </w:rPr>
        <w:t>15</w:t>
      </w:r>
    </w:p>
  </w:footnote>
  <w:footnote w:id="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1pl,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1pl,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common collocation </w:t>
      </w:r>
      <w:r>
        <w:rPr>
          <w:rFonts w:cs="Guttman Keren"/>
          <w:sz w:val="24"/>
          <w:sz w:val="24"/>
          <w:szCs w:val="24"/>
          <w:rtl w:val="true"/>
        </w:rPr>
        <w:t>הִכָּה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מַכָּה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(+ </w:t>
      </w:r>
      <w:r>
        <w:rPr>
          <w:rFonts w:cs="Guttman Keren"/>
          <w:sz w:val="24"/>
          <w:sz w:val="24"/>
          <w:szCs w:val="24"/>
          <w:rtl w:val="true"/>
        </w:rPr>
        <w:t>רפא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 instead of hapax </w:t>
      </w:r>
      <w:r>
        <w:rPr>
          <w:rFonts w:cs="Guttman Keren"/>
          <w:sz w:val="24"/>
          <w:sz w:val="24"/>
          <w:szCs w:val="24"/>
          <w:rtl w:val="true"/>
        </w:rPr>
        <w:t>טרף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(+ </w:t>
      </w:r>
      <w:r>
        <w:rPr>
          <w:rFonts w:cs="Guttman Keren"/>
          <w:sz w:val="24"/>
          <w:sz w:val="24"/>
          <w:szCs w:val="24"/>
          <w:rtl w:val="true"/>
        </w:rPr>
        <w:t>רפא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[T</w:t>
      </w:r>
      <w:r>
        <w:rPr>
          <w:rFonts w:cs="Times New Roman"/>
          <w:sz w:val="24"/>
          <w:szCs w:val="24"/>
        </w:rPr>
        <w:t xml:space="preserve"> Deut 32</w:t>
      </w:r>
      <w:r>
        <w:rPr>
          <w:rFonts w:cs="Times New Roman"/>
          <w:sz w:val="24"/>
          <w:szCs w:val="24"/>
          <w:vertAlign w:val="subscript"/>
        </w:rPr>
        <w:t>39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מחצתי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ארפא</w:t>
      </w:r>
      <w:r>
        <w:rPr>
          <w:rFonts w:cs="Times New Roman"/>
          <w:sz w:val="24"/>
          <w:szCs w:val="24"/>
        </w:rPr>
        <w:t>)</w:t>
      </w:r>
    </w:p>
  </w:footnote>
  <w:footnote w:id="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transp of </w:t>
      </w:r>
      <w:r>
        <w:rPr>
          <w:rFonts w:cs="Guttman Keren"/>
          <w:sz w:val="24"/>
          <w:sz w:val="24"/>
          <w:szCs w:val="24"/>
          <w:rtl w:val="true"/>
        </w:rPr>
        <w:t>טרף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יך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in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טרף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ܬܒܪ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cf e.g. 5</w:t>
      </w:r>
      <w:r>
        <w:rPr>
          <w:rFonts w:cs="David"/>
          <w:sz w:val="24"/>
          <w:szCs w:val="24"/>
          <w:vertAlign w:val="subscript"/>
        </w:rPr>
        <w:t>14</w:t>
      </w:r>
      <w:r>
        <w:rPr>
          <w:rFonts w:cs="David"/>
          <w:sz w:val="24"/>
          <w:szCs w:val="24"/>
        </w:rPr>
        <w:t xml:space="preserve"> Mic 5</w:t>
      </w:r>
      <w:r>
        <w:rPr>
          <w:rFonts w:cs="David"/>
          <w:sz w:val="24"/>
          <w:szCs w:val="24"/>
          <w:vertAlign w:val="subscript"/>
        </w:rPr>
        <w:t>7</w:t>
      </w:r>
      <w:r>
        <w:rPr>
          <w:rFonts w:cs="David"/>
          <w:sz w:val="24"/>
          <w:szCs w:val="24"/>
        </w:rPr>
        <w:t xml:space="preserve">; for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ܥܨܒ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Estrangelo Edessa"/>
          <w:sz w:val="24"/>
          <w:szCs w:val="24"/>
          <w:rtl w:val="true"/>
        </w:rPr>
        <w:t xml:space="preserve">+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ܬܒܪ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cf </w:t>
      </w:r>
      <w:r>
        <w:rPr>
          <w:rFonts w:cs="David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Isa 30</w:t>
      </w:r>
      <w:r>
        <w:rPr>
          <w:rFonts w:cs="Times New Roman"/>
          <w:sz w:val="24"/>
          <w:szCs w:val="24"/>
          <w:vertAlign w:val="subscript"/>
        </w:rPr>
        <w:t>26</w:t>
      </w:r>
      <w:r>
        <w:rPr>
          <w:rFonts w:cs="Times New Roman"/>
          <w:sz w:val="24"/>
          <w:szCs w:val="24"/>
        </w:rPr>
        <w:t xml:space="preserve"> Ezek 34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Job 5</w:t>
      </w:r>
      <w:r>
        <w:rPr>
          <w:rFonts w:cs="Times New Roman"/>
          <w:sz w:val="24"/>
          <w:szCs w:val="24"/>
          <w:vertAlign w:val="subscript"/>
        </w:rPr>
        <w:t>18</w:t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l-GR"/>
        </w:rPr>
        <w:t>1</w:t>
      </w:r>
      <w:r>
        <w:rPr>
          <w:sz w:val="24"/>
          <w:szCs w:val="24"/>
        </w:rPr>
        <w:t>pl</w:t>
      </w:r>
      <w:r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</w:rPr>
        <w:t>cf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1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p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voc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יָמִים</w:t>
      </w:r>
      <w:r>
        <w:rPr>
          <w:rFonts w:cs="Guttman Keren"/>
          <w:sz w:val="24"/>
          <w:szCs w:val="24"/>
          <w:lang w:val="el-GR"/>
        </w:rPr>
        <w:t xml:space="preserve">, </w:t>
      </w:r>
      <w:r>
        <w:rPr>
          <w:rFonts w:cs="Guttman Keren"/>
          <w:sz w:val="24"/>
          <w:szCs w:val="24"/>
        </w:rPr>
        <w:t>cf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</w:rPr>
        <w:t>T</w:t>
      </w:r>
    </w:p>
  </w:footnote>
  <w:footnote w:id="1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  <w:lang w:val="el-GR"/>
        </w:rPr>
        <w:t>(</w:t>
      </w:r>
      <w:r>
        <w:rPr>
          <w:sz w:val="24"/>
          <w:szCs w:val="24"/>
        </w:rPr>
        <w:t>and</w:t>
      </w:r>
      <w:r>
        <w:rPr>
          <w:sz w:val="24"/>
          <w:szCs w:val="24"/>
          <w:lang w:val="el-GR"/>
        </w:rPr>
        <w:t xml:space="preserve">) </w:t>
      </w:r>
      <w:r>
        <w:rPr>
          <w:sz w:val="24"/>
          <w:szCs w:val="24"/>
        </w:rPr>
        <w:t>we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will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rise</w:t>
      </w:r>
      <w:r>
        <w:rPr>
          <w:sz w:val="24"/>
          <w:szCs w:val="24"/>
          <w:lang w:val="el-GR"/>
        </w:rPr>
        <w:t xml:space="preserve">”; </w:t>
      </w:r>
      <w:r>
        <w:rPr>
          <w:sz w:val="24"/>
          <w:szCs w:val="24"/>
        </w:rPr>
        <w:t>parall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ונחיה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ונדעה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seq</w:t>
      </w:r>
      <w:r>
        <w:rPr>
          <w:sz w:val="24"/>
          <w:szCs w:val="24"/>
          <w:lang w:val="el-GR"/>
        </w:rPr>
        <w:t xml:space="preserve">; </w:t>
      </w:r>
      <w:r>
        <w:rPr>
          <w:sz w:val="24"/>
          <w:szCs w:val="24"/>
        </w:rPr>
        <w:t>p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diath</w:t>
      </w:r>
      <w:r>
        <w:rPr>
          <w:sz w:val="24"/>
          <w:szCs w:val="24"/>
          <w:lang w:val="el-GR"/>
        </w:rPr>
        <w:t xml:space="preserve">; </w:t>
      </w:r>
      <w:r>
        <w:rPr>
          <w:sz w:val="24"/>
          <w:szCs w:val="24"/>
        </w:rPr>
        <w:t>p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קמנו</w:t>
      </w:r>
      <w:r>
        <w:rPr>
          <w:rFonts w:eastAsia="Times New Roman"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  <w:lang w:val="el-GR"/>
        </w:rPr>
        <w:t>#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hapl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השליש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יקמנו</w:t>
      </w:r>
      <w:r>
        <w:rPr>
          <w:rFonts w:cs="Guttman Keren"/>
          <w:sz w:val="24"/>
          <w:szCs w:val="24"/>
        </w:rPr>
        <w:t>;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p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וְקמנו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  <w:lang w:val="el-GR"/>
        </w:rPr>
        <w:t>)</w:t>
      </w:r>
    </w:p>
  </w:footnote>
  <w:footnote w:id="1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syntact diffic </w:t>
      </w:r>
      <w:r>
        <w:rPr>
          <w:rFonts w:cs="HUBPSigla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different solutions in Vrs, cf app seq (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>)</w:t>
      </w:r>
    </w:p>
  </w:footnote>
  <w:footnote w:id="1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transp of </w:t>
      </w:r>
      <w:r>
        <w:rPr>
          <w:rFonts w:cs="HUBPSigla" w:ascii="HUBPSigla" w:hAnsi="HUBPSigla"/>
          <w:sz w:val="24"/>
          <w:szCs w:val="24"/>
        </w:rPr>
        <w:t>&amp;</w:t>
      </w:r>
    </w:p>
  </w:footnote>
  <w:footnote w:id="1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we will find him”; (a)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מצא</w:t>
      </w:r>
      <w:r>
        <w:rPr>
          <w:rFonts w:cs="Guttman Keren"/>
          <w:sz w:val="24"/>
          <w:szCs w:val="24"/>
        </w:rPr>
        <w:t xml:space="preserve">, parall </w:t>
      </w:r>
      <w:r>
        <w:rPr>
          <w:rFonts w:cs="Guttman Keren"/>
          <w:sz w:val="24"/>
          <w:sz w:val="24"/>
          <w:szCs w:val="24"/>
          <w:rtl w:val="true"/>
        </w:rPr>
        <w:t>נדעה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נרדפה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prec; (b)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נכו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ן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נמצא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נ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ו</w:t>
      </w:r>
    </w:p>
  </w:footnote>
  <w:footnote w:id="1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early rain and late rain”, transp, cf Deut 11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 xml:space="preserve"> Jer 5</w:t>
      </w:r>
      <w:r>
        <w:rPr>
          <w:sz w:val="24"/>
          <w:szCs w:val="24"/>
          <w:vertAlign w:val="subscript"/>
        </w:rPr>
        <w:t>24</w:t>
      </w:r>
      <w:r>
        <w:rPr>
          <w:sz w:val="24"/>
          <w:szCs w:val="24"/>
        </w:rPr>
        <w:t xml:space="preserve"> Joel 2</w:t>
      </w:r>
      <w:r>
        <w:rPr>
          <w:sz w:val="24"/>
          <w:szCs w:val="24"/>
          <w:vertAlign w:val="subscript"/>
        </w:rPr>
        <w:t>23</w:t>
      </w:r>
      <w:r>
        <w:rPr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Zech 10</w:t>
      </w:r>
      <w:r>
        <w:rPr>
          <w:rFonts w:cs="Times New Roman"/>
          <w:sz w:val="24"/>
          <w:szCs w:val="24"/>
          <w:vertAlign w:val="subscript"/>
        </w:rPr>
        <w:t>1</w:t>
      </w:r>
    </w:p>
  </w:footnote>
  <w:footnote w:id="1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יַרְוֶה</w:t>
      </w:r>
      <w:r>
        <w:rPr>
          <w:rFonts w:cs="Guttman Keren"/>
          <w:sz w:val="24"/>
          <w:szCs w:val="24"/>
        </w:rPr>
        <w:t>, cf Isa 55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Prov 11</w:t>
      </w:r>
      <w:r>
        <w:rPr>
          <w:rFonts w:cs="Guttman Keren"/>
          <w:sz w:val="24"/>
          <w:szCs w:val="24"/>
          <w:vertAlign w:val="subscript"/>
        </w:rPr>
        <w:t>25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similarly b. Bera</w:t>
      </w:r>
      <w:r>
        <w:rPr>
          <w:rFonts w:cs="Times New Roman"/>
          <w:sz w:val="24"/>
          <w:szCs w:val="24"/>
        </w:rPr>
        <w:t>ḵ</w:t>
      </w:r>
      <w:r>
        <w:rPr>
          <w:sz w:val="24"/>
          <w:szCs w:val="24"/>
        </w:rPr>
        <w:t>ot</w:t>
      </w:r>
      <w:r>
        <w:rPr>
          <w:sz w:val="24"/>
          <w:szCs w:val="24"/>
          <w:vertAlign w:val="subscript"/>
        </w:rPr>
        <w:t>mss</w:t>
      </w:r>
      <w:r>
        <w:rPr>
          <w:sz w:val="24"/>
          <w:szCs w:val="24"/>
        </w:rPr>
        <w:t xml:space="preserve"> 59a, Ta‘anit</w:t>
      </w:r>
      <w:r>
        <w:rPr>
          <w:sz w:val="24"/>
          <w:szCs w:val="24"/>
          <w:vertAlign w:val="subscript"/>
        </w:rPr>
        <w:t>mss</w:t>
      </w:r>
      <w:r>
        <w:rPr>
          <w:sz w:val="24"/>
          <w:szCs w:val="24"/>
        </w:rPr>
        <w:t xml:space="preserve"> 6b</w:t>
      </w:r>
    </w:p>
  </w:footnote>
  <w:footnote w:id="1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 diffic in context</w:t>
      </w:r>
    </w:p>
  </w:footnote>
  <w:footnote w:id="1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I mowed down”; apt metaphor for killing, parall </w:t>
      </w:r>
      <w:r>
        <w:rPr>
          <w:rFonts w:cs="Guttman Keren"/>
          <w:sz w:val="24"/>
          <w:sz w:val="24"/>
          <w:szCs w:val="24"/>
          <w:rtl w:val="true"/>
        </w:rPr>
        <w:t>הרגתים</w:t>
      </w:r>
      <w:r>
        <w:rPr>
          <w:rFonts w:cs="Times New Roman"/>
          <w:sz w:val="24"/>
          <w:szCs w:val="24"/>
        </w:rPr>
        <w:t xml:space="preserve">; hardly </w:t>
      </w:r>
      <w:r>
        <w:rPr>
          <w:rFonts w:cs="Guttman Keren"/>
          <w:sz w:val="24"/>
          <w:sz w:val="24"/>
          <w:szCs w:val="24"/>
          <w:rtl w:val="true"/>
        </w:rPr>
        <w:t>חצדתי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(Aram, cf Heb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עצד</w:t>
      </w:r>
      <w:r>
        <w:rPr>
          <w:rFonts w:cs="Guttman Keren"/>
          <w:sz w:val="24"/>
          <w:szCs w:val="24"/>
        </w:rPr>
        <w:t xml:space="preserve">), see </w:t>
      </w:r>
      <w:r>
        <w:rPr>
          <w:rFonts w:cs="Guttman Keren"/>
          <w:color w:val="FF9900"/>
          <w:sz w:val="24"/>
          <w:szCs w:val="24"/>
        </w:rPr>
        <w:t>Schleusner 1:360</w:t>
      </w:r>
    </w:p>
  </w:footnote>
  <w:footnote w:id="2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I did not spare”</w:t>
      </w:r>
    </w:p>
  </w:footnote>
  <w:footnote w:id="2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 warned them by (sending my prophets)”; parall </w:t>
      </w:r>
      <w:r>
        <w:rPr>
          <w:rFonts w:cs="Guttman Keren"/>
          <w:sz w:val="24"/>
          <w:sz w:val="24"/>
          <w:szCs w:val="24"/>
          <w:rtl w:val="true"/>
        </w:rPr>
        <w:t>הרגתים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אמרי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Isa 50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66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Jer 35</w:t>
      </w:r>
      <w:r>
        <w:rPr>
          <w:rFonts w:cs="Times New Roman"/>
          <w:sz w:val="24"/>
          <w:szCs w:val="24"/>
          <w:vertAlign w:val="subscript"/>
        </w:rPr>
        <w:t>17</w:t>
      </w:r>
      <w:r>
        <w:rPr>
          <w:rFonts w:cs="Times New Roman"/>
          <w:sz w:val="24"/>
          <w:szCs w:val="24"/>
        </w:rPr>
        <w:t xml:space="preserve"> et al</w:t>
      </w:r>
    </w:p>
  </w:footnote>
  <w:footnote w:id="2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2pl, parall 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וחסדכם</w:t>
      </w:r>
    </w:p>
  </w:footnote>
  <w:footnote w:id="2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משפטִי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כאור</w:t>
      </w:r>
      <w:r>
        <w:rPr>
          <w:rFonts w:cs="Times New Roman"/>
          <w:sz w:val="24"/>
          <w:szCs w:val="24"/>
        </w:rPr>
        <w:t>, cf Ps 37</w:t>
      </w:r>
      <w:r>
        <w:rPr>
          <w:rFonts w:cs="Times New Roman"/>
          <w:sz w:val="24"/>
          <w:szCs w:val="24"/>
          <w:vertAlign w:val="subscript"/>
        </w:rPr>
        <w:t>6</w:t>
      </w:r>
    </w:p>
  </w:footnote>
  <w:footnote w:id="2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משפטי</w:t>
      </w:r>
      <w:r>
        <w:rPr>
          <w:rFonts w:cs="Guttman Keren"/>
          <w:sz w:val="24"/>
          <w:sz w:val="24"/>
          <w:szCs w:val="24"/>
          <w:rtl w:val="true"/>
        </w:rPr>
        <w:t>ך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כאור</w:t>
      </w:r>
      <w:r>
        <w:rPr>
          <w:rFonts w:cs="Guttman Keren"/>
          <w:sz w:val="24"/>
          <w:szCs w:val="24"/>
        </w:rPr>
        <w:t>; p ditt</w:t>
      </w:r>
    </w:p>
  </w:footnote>
  <w:footnote w:id="2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more than”, parall </w:t>
      </w:r>
      <w:r>
        <w:rPr>
          <w:rFonts w:cs="Guttman Keren"/>
          <w:sz w:val="24"/>
          <w:sz w:val="24"/>
          <w:szCs w:val="24"/>
          <w:rtl w:val="true"/>
        </w:rPr>
        <w:t>מ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עֹלות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2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not understood as toponym in Vrs</w:t>
      </w:r>
    </w:p>
  </w:footnote>
  <w:footnote w:id="2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3sg, refers to </w:t>
      </w:r>
      <w:r>
        <w:rPr>
          <w:rFonts w:cs="Times New Roman" w:ascii="GFS Porson" w:hAnsi="GFS Porson"/>
          <w:sz w:val="24"/>
          <w:szCs w:val="24"/>
          <w:lang w:val="el-GR"/>
        </w:rPr>
        <w:t>ἄνθρωπος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1sg; cf 8</w:t>
      </w:r>
      <w:r>
        <w:rPr>
          <w:sz w:val="24"/>
          <w:szCs w:val="24"/>
          <w:vertAlign w:val="subscript"/>
        </w:rPr>
        <w:t>1</w:t>
      </w:r>
    </w:p>
  </w:footnote>
  <w:footnote w:id="2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as in </w:t>
      </w:r>
      <w:r>
        <w:rPr>
          <w:color w:val="FF9900"/>
          <w:sz w:val="24"/>
          <w:szCs w:val="24"/>
        </w:rPr>
        <w:t>Swete</w:t>
      </w:r>
      <w:r>
        <w:rPr>
          <w:sz w:val="24"/>
          <w:szCs w:val="24"/>
        </w:rPr>
        <w:t xml:space="preserve"> (cf Hier 66</w:t>
      </w:r>
      <w:r>
        <w:rPr>
          <w:sz w:val="24"/>
          <w:szCs w:val="24"/>
          <w:vertAlign w:val="subscript"/>
        </w:rPr>
        <w:t>144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146</w:t>
      </w:r>
      <w:r>
        <w:rPr>
          <w:sz w:val="24"/>
          <w:szCs w:val="24"/>
        </w:rPr>
        <w:t xml:space="preserve">), contra </w:t>
      </w:r>
      <w:r>
        <w:rPr>
          <w:color w:val="FF9900"/>
          <w:sz w:val="24"/>
          <w:szCs w:val="24"/>
        </w:rPr>
        <w:t>Ziegler</w:t>
      </w:r>
      <w:r>
        <w:rPr>
          <w:sz w:val="24"/>
          <w:szCs w:val="24"/>
        </w:rPr>
        <w:t xml:space="preserve">;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κατεφρόνησε</w:t>
      </w:r>
      <w:r>
        <w:rPr>
          <w:rFonts w:cs="Times New Roman"/>
          <w:sz w:val="24"/>
          <w:szCs w:val="24"/>
        </w:rPr>
        <w:t xml:space="preserve"> (sg) refers to Galaad</w:t>
      </w:r>
    </w:p>
  </w:footnote>
  <w:footnote w:id="3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TR"/>
        </w:rPr>
        <w:t>cf app 12</w:t>
      </w:r>
      <w:r>
        <w:rPr>
          <w:rFonts w:cs="Estrangelo Edessa"/>
          <w:sz w:val="24"/>
          <w:szCs w:val="24"/>
          <w:vertAlign w:val="subscript"/>
          <w:lang w:bidi="syr-TR"/>
        </w:rPr>
        <w:t>12</w:t>
      </w:r>
    </w:p>
  </w:footnote>
  <w:footnote w:id="3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3sgf, taken as attribute of </w:t>
      </w:r>
      <w:r>
        <w:rPr>
          <w:rFonts w:cs="Times New Roman" w:ascii="GFS Porson" w:hAnsi="GFS Porson"/>
          <w:sz w:val="24"/>
          <w:szCs w:val="24"/>
          <w:lang w:val="el-GR"/>
        </w:rPr>
        <w:t>πόλις</w:t>
      </w:r>
      <w:r>
        <w:rPr>
          <w:rFonts w:cs="Times New Roman"/>
          <w:sz w:val="24"/>
          <w:szCs w:val="24"/>
        </w:rPr>
        <w:t xml:space="preserve"> “city”</w:t>
      </w:r>
    </w:p>
  </w:footnote>
  <w:footnote w:id="3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 diffic</w:t>
      </w:r>
    </w:p>
  </w:footnote>
  <w:footnote w:id="3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stirring up (water)” with the feet (cf </w:t>
      </w:r>
      <w:r>
        <w:rPr>
          <w:rFonts w:cs="HUBPSigla" w:ascii="HUBPSigla" w:hAnsi="HUBPSigla"/>
          <w:sz w:val="24"/>
          <w:szCs w:val="24"/>
        </w:rPr>
        <w:t>|</w:t>
      </w:r>
      <w:r>
        <w:rPr>
          <w:rFonts w:cs="Times New Roman"/>
          <w:sz w:val="24"/>
          <w:szCs w:val="24"/>
        </w:rPr>
        <w:t xml:space="preserve">),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Hab 3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Ezek 32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34</w:t>
      </w:r>
      <w:r>
        <w:rPr>
          <w:rFonts w:cs="Times New Roman"/>
          <w:sz w:val="24"/>
          <w:szCs w:val="24"/>
          <w:vertAlign w:val="subscript"/>
        </w:rPr>
        <w:t>18–19</w:t>
      </w:r>
    </w:p>
  </w:footnote>
  <w:footnote w:id="3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עֲקֵבָהּ</w:t>
      </w:r>
      <w:r>
        <w:rPr>
          <w:rFonts w:cs="Times New Roman"/>
          <w:sz w:val="24"/>
          <w:szCs w:val="24"/>
        </w:rPr>
        <w:t>;</w:t>
      </w:r>
      <w:r>
        <w:rPr>
          <w:rFonts w:cs="Guttman Keren"/>
          <w:sz w:val="24"/>
          <w:szCs w:val="24"/>
        </w:rPr>
        <w:t xml:space="preserve"> for similar etym cf </w:t>
      </w:r>
      <w:r>
        <w:rPr>
          <w:rFonts w:cs="Guttman Keren" w:ascii="GFS Porson" w:hAnsi="GFS Porson"/>
          <w:sz w:val="24"/>
          <w:szCs w:val="24"/>
          <w:highlight w:val="yellow"/>
        </w:rPr>
        <w:t>ε</w:t>
      </w:r>
      <w:r>
        <w:rPr>
          <w:rFonts w:cs="Times New Roman" w:ascii="GFS Porson" w:hAnsi="GFS Porson"/>
          <w:sz w:val="24"/>
          <w:szCs w:val="24"/>
          <w:highlight w:val="yellow"/>
        </w:rPr>
        <w:t>´</w:t>
      </w:r>
      <w:r>
        <w:rPr>
          <w:rFonts w:cs="Times New Roman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(cf </w:t>
      </w:r>
      <w:r>
        <w:rPr>
          <w:rFonts w:cs="Times New Roman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12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>)</w:t>
      </w:r>
    </w:p>
  </w:footnote>
  <w:footnote w:id="3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crooked”; etym </w:t>
      </w:r>
      <w:r>
        <w:rPr>
          <w:rFonts w:cs="Guttman Keren"/>
          <w:sz w:val="24"/>
          <w:sz w:val="24"/>
          <w:szCs w:val="24"/>
          <w:rtl w:val="true"/>
        </w:rPr>
        <w:t>עָקֹב</w:t>
      </w:r>
      <w:r>
        <w:rPr>
          <w:rFonts w:cs="Guttman Keren"/>
          <w:sz w:val="24"/>
          <w:szCs w:val="24"/>
          <w:vertAlign w:val="superscript"/>
        </w:rPr>
        <w:t>2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 Isa 40</w:t>
      </w:r>
      <w:r>
        <w:rPr>
          <w:rFonts w:cs="Times New Roman"/>
          <w:sz w:val="24"/>
          <w:szCs w:val="24"/>
          <w:vertAlign w:val="subscript"/>
        </w:rPr>
        <w:t>4</w:t>
      </w:r>
    </w:p>
  </w:footnote>
  <w:footnote w:id="3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is pursued”, taken as passive </w:t>
      </w:r>
      <w:r>
        <w:rPr>
          <w:rFonts w:cs="Guttman Keren"/>
          <w:sz w:val="24"/>
          <w:szCs w:val="24"/>
        </w:rPr>
        <w:t xml:space="preserve">participle </w:t>
      </w:r>
    </w:p>
  </w:footnote>
  <w:footnote w:id="3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steeped”, cf e.g.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Ezek 16</w:t>
      </w:r>
      <w:r>
        <w:rPr>
          <w:rFonts w:cs="Times New Roman"/>
          <w:sz w:val="24"/>
          <w:szCs w:val="24"/>
          <w:vertAlign w:val="subscript"/>
        </w:rPr>
        <w:t>6,22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מתבוססת</w:t>
      </w:r>
      <w:r>
        <w:rPr>
          <w:rFonts w:cs="Guttman Keren"/>
          <w:sz w:val="24"/>
          <w:szCs w:val="24"/>
        </w:rPr>
        <w:t>), Isa 9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מגוללה</w:t>
      </w:r>
      <w:r>
        <w:rPr>
          <w:rFonts w:cs="Guttman Keren"/>
          <w:sz w:val="24"/>
          <w:szCs w:val="24"/>
        </w:rPr>
        <w:t>)</w:t>
      </w:r>
    </w:p>
  </w:footnote>
  <w:footnote w:id="3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spill”, cf e.g.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Jer 5</w:t>
      </w:r>
      <w:r>
        <w:rPr>
          <w:rFonts w:cs="Times New Roman"/>
          <w:sz w:val="24"/>
          <w:szCs w:val="24"/>
          <w:vertAlign w:val="subscript"/>
        </w:rPr>
        <w:t>26</w:t>
      </w:r>
      <w:r>
        <w:rPr>
          <w:rFonts w:cs="Times New Roman"/>
          <w:sz w:val="24"/>
          <w:szCs w:val="24"/>
        </w:rPr>
        <w:t xml:space="preserve"> Ezek 33</w:t>
      </w:r>
      <w:r>
        <w:rPr>
          <w:rFonts w:cs="Times New Roman"/>
          <w:sz w:val="24"/>
          <w:szCs w:val="24"/>
          <w:vertAlign w:val="subscript"/>
        </w:rPr>
        <w:t>25</w:t>
      </w:r>
      <w:r>
        <w:rPr>
          <w:rFonts w:cs="Times New Roman"/>
          <w:sz w:val="24"/>
          <w:szCs w:val="24"/>
        </w:rPr>
        <w:t xml:space="preserve">; cf </w:t>
      </w:r>
      <w:r>
        <w:rPr>
          <w:rFonts w:cs="Guttman Keren" w:ascii="GFS Porson" w:hAnsi="GFS Porson"/>
          <w:sz w:val="24"/>
          <w:szCs w:val="24"/>
          <w:highlight w:val="yellow"/>
        </w:rPr>
        <w:t>ε</w:t>
      </w:r>
      <w:r>
        <w:rPr>
          <w:rFonts w:cs="Calibri" w:ascii="GFS Porson" w:hAnsi="GFS Porson"/>
          <w:sz w:val="24"/>
          <w:szCs w:val="24"/>
          <w:highlight w:val="yellow"/>
        </w:rPr>
        <w:t>´</w:t>
      </w:r>
      <w:r>
        <w:rPr>
          <w:rFonts w:cs="Times New Roman"/>
          <w:sz w:val="24"/>
          <w:szCs w:val="24"/>
          <w:lang w:bidi="syr-TR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δολοφονοῦσα</w:t>
      </w:r>
      <w:r>
        <w:rPr>
          <w:rFonts w:cs="Times New Roman"/>
          <w:sz w:val="24"/>
          <w:szCs w:val="24"/>
          <w:lang w:bidi="syr-TR"/>
        </w:rPr>
        <w:t xml:space="preserve"> “slaying by treachery”</w:t>
      </w:r>
    </w:p>
  </w:footnote>
  <w:footnote w:id="3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מַיִם</w:t>
      </w:r>
      <w:r>
        <w:rPr>
          <w:rFonts w:cs="Guttman Keren"/>
          <w:sz w:val="24"/>
          <w:szCs w:val="24"/>
        </w:rPr>
        <w:t>,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>; for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app Amos 8</w:t>
      </w:r>
      <w:r>
        <w:rPr>
          <w:rFonts w:cs="Times New Roman"/>
          <w:sz w:val="24"/>
          <w:szCs w:val="24"/>
          <w:vertAlign w:val="subscript"/>
        </w:rPr>
        <w:t>3</w:t>
      </w:r>
    </w:p>
  </w:footnote>
  <w:footnote w:id="4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 diffic</w:t>
      </w:r>
    </w:p>
  </w:footnote>
  <w:footnote w:id="4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כֹחֵכ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י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Estrangelo Edessa"/>
          <w:sz w:val="24"/>
          <w:szCs w:val="24"/>
          <w:lang w:bidi="syr-TR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</w:rPr>
        <w:t>-</w:t>
      </w:r>
      <w:r>
        <w:rPr>
          <w:rFonts w:cs="Estrangelo Edessa"/>
          <w:sz w:val="24"/>
          <w:szCs w:val="24"/>
          <w:lang w:bidi="syr-TR"/>
        </w:rPr>
        <w:t xml:space="preserve"> </w:t>
      </w:r>
      <w:r>
        <w:rPr>
          <w:rFonts w:cs="Guttman Keren"/>
          <w:sz w:val="24"/>
          <w:szCs w:val="24"/>
        </w:rPr>
        <w:t xml:space="preserve">taken as radical); pron in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  <w:lang w:bidi="syr-TR"/>
        </w:rPr>
        <w:t xml:space="preserve"> and</w:t>
      </w:r>
      <w:r>
        <w:rPr>
          <w:rFonts w:cs="Times New Roman"/>
          <w:sz w:val="24"/>
          <w:szCs w:val="24"/>
        </w:rPr>
        <w:t xml:space="preserve"> Syh refers to </w:t>
      </w:r>
      <w:r>
        <w:rPr>
          <w:rFonts w:cs="Guttman Keren"/>
          <w:sz w:val="24"/>
          <w:sz w:val="24"/>
          <w:szCs w:val="24"/>
          <w:rtl w:val="true"/>
        </w:rPr>
        <w:t>קריה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v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 xml:space="preserve">, but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inconclusive</w:t>
      </w:r>
    </w:p>
  </w:footnote>
  <w:footnote w:id="4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like”, p </w:t>
      </w:r>
      <w:r>
        <w:rPr>
          <w:rFonts w:cs="Times New Roman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struct of comparison; hardly ditt </w:t>
      </w:r>
      <w:r>
        <w:rPr>
          <w:rFonts w:cs="Guttman Keren"/>
          <w:sz w:val="24"/>
          <w:sz w:val="24"/>
          <w:szCs w:val="24"/>
          <w:rtl w:val="true"/>
        </w:rPr>
        <w:t>כחכ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כאיש</w:t>
      </w:r>
    </w:p>
  </w:footnote>
  <w:footnote w:id="4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etym </w:t>
      </w:r>
      <w:r>
        <w:rPr>
          <w:rFonts w:cs="Guttman Keren"/>
          <w:sz w:val="24"/>
          <w:sz w:val="24"/>
          <w:szCs w:val="24"/>
          <w:rtl w:val="true"/>
        </w:rPr>
        <w:t>חֵךְ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Hier 68</w:t>
      </w:r>
      <w:r>
        <w:rPr>
          <w:rFonts w:cs="Times New Roman"/>
          <w:sz w:val="24"/>
          <w:szCs w:val="24"/>
          <w:vertAlign w:val="subscript"/>
        </w:rPr>
        <w:t>195</w:t>
      </w:r>
    </w:p>
  </w:footnote>
  <w:footnote w:id="4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as one who waits”,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חכה</w:t>
      </w:r>
    </w:p>
  </w:footnote>
  <w:footnote w:id="4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like a shield”, p inner-Syr </w:t>
      </w:r>
      <w:r>
        <w:rPr>
          <w:rFonts w:cs="HUBPSigla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ܣܒܪܐ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 w:val="24"/>
          <w:szCs w:val="24"/>
        </w:rPr>
        <w:t>“</w:t>
      </w:r>
      <w:r>
        <w:rPr>
          <w:rFonts w:cs="David"/>
          <w:sz w:val="24"/>
          <w:szCs w:val="24"/>
        </w:rPr>
        <w:t xml:space="preserve">hope, expectation”, </w:t>
      </w:r>
      <w:r>
        <w:rPr>
          <w:rFonts w:cs="Times New Roman"/>
          <w:sz w:val="24"/>
          <w:szCs w:val="24"/>
        </w:rPr>
        <w:t>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4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like the arrogance”</w:t>
      </w:r>
    </w:p>
  </w:footnote>
  <w:footnote w:id="4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hid (the way)”;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חבא</w:t>
      </w:r>
      <w:r>
        <w:rPr>
          <w:rFonts w:cs="Guttman Keren"/>
          <w:sz w:val="24"/>
          <w:szCs w:val="24"/>
        </w:rPr>
        <w:t>; for verb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4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 construct of </w:t>
      </w:r>
      <w:r>
        <w:rPr>
          <w:rFonts w:cs="Guttman Keren"/>
          <w:sz w:val="24"/>
          <w:sz w:val="24"/>
          <w:szCs w:val="24"/>
          <w:rtl w:val="true"/>
          <w:lang w:val="el-GR"/>
        </w:rPr>
        <w:t>חָבֵר</w:t>
      </w:r>
    </w:p>
  </w:footnote>
  <w:footnote w:id="4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they partook”, nom/verb,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 xml:space="preserve">; parall </w:t>
      </w:r>
      <w:r>
        <w:rPr>
          <w:rFonts w:cs="Guttman Keren"/>
          <w:sz w:val="24"/>
          <w:sz w:val="24"/>
          <w:szCs w:val="24"/>
          <w:rtl w:val="true"/>
        </w:rPr>
        <w:t>ירצחו</w:t>
      </w:r>
    </w:p>
  </w:footnote>
  <w:footnote w:id="5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of the Lord”; (a) </w:t>
      </w:r>
      <w:r>
        <w:rPr>
          <w:rFonts w:cs="Guttman Keren"/>
          <w:sz w:val="24"/>
          <w:sz w:val="24"/>
          <w:szCs w:val="24"/>
          <w:rtl w:val="true"/>
          <w:lang w:val="el-GR"/>
        </w:rPr>
        <w:t>דרך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י</w:t>
      </w:r>
      <w:r>
        <w:rPr>
          <w:rFonts w:cs="Guttman Keren"/>
          <w:sz w:val="24"/>
          <w:szCs w:val="24"/>
          <w:rtl w:val="true"/>
          <w:lang w:val="el-GR"/>
        </w:rPr>
        <w:t>' (</w:t>
      </w:r>
      <w:r>
        <w:rPr>
          <w:rFonts w:cs="Guttman Keren"/>
          <w:sz w:val="24"/>
          <w:sz w:val="24"/>
          <w:szCs w:val="24"/>
          <w:rtl w:val="true"/>
          <w:lang w:val="el-GR"/>
        </w:rPr>
        <w:t>רצחו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Times New Roman"/>
          <w:sz w:val="24"/>
          <w:szCs w:val="24"/>
        </w:rPr>
        <w:t xml:space="preserve"> (abbrev); (b) exeg: “the priests hid the way of the Lord” </w:t>
      </w:r>
      <w:r>
        <w:rPr>
          <w:rFonts w:cs="Times New Roman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struct: </w:t>
      </w:r>
      <w:r>
        <w:rPr>
          <w:rFonts w:cs="Guttman Keren"/>
          <w:sz w:val="24"/>
          <w:sz w:val="24"/>
          <w:szCs w:val="24"/>
          <w:rtl w:val="true"/>
        </w:rPr>
        <w:t>דרך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object of </w:t>
      </w:r>
      <w:r>
        <w:rPr>
          <w:rFonts w:cs="Times New Roman" w:ascii="GFS Porson" w:hAnsi="GFS Porson"/>
          <w:sz w:val="24"/>
          <w:szCs w:val="24"/>
          <w:lang w:val="el-GR"/>
        </w:rPr>
        <w:t>ἔκρυψαν</w:t>
      </w:r>
      <w:r>
        <w:rPr>
          <w:rFonts w:cs="Times New Roman"/>
          <w:sz w:val="24"/>
          <w:szCs w:val="24"/>
        </w:rPr>
        <w:t xml:space="preserve"> (cf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51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שְׁכֶמָה</w:t>
      </w:r>
    </w:p>
  </w:footnote>
  <w:footnote w:id="5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those travelling from Shechem”, cf Hier 69</w:t>
      </w:r>
      <w:r>
        <w:rPr>
          <w:sz w:val="24"/>
          <w:szCs w:val="24"/>
          <w:vertAlign w:val="subscript"/>
        </w:rPr>
        <w:t>225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228</w:t>
      </w:r>
    </w:p>
  </w:footnote>
  <w:footnote w:id="5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etym </w:t>
      </w:r>
      <w:r>
        <w:rPr>
          <w:rFonts w:cs="Guttman Keren"/>
          <w:sz w:val="24"/>
          <w:sz w:val="24"/>
          <w:szCs w:val="24"/>
          <w:rtl w:val="true"/>
        </w:rPr>
        <w:t>שֶׁכֶם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~|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שכם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אחד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Gen 48</w:t>
      </w:r>
      <w:r>
        <w:rPr>
          <w:rFonts w:cs="Guttman Keren"/>
          <w:sz w:val="24"/>
          <w:szCs w:val="24"/>
          <w:vertAlign w:val="subscript"/>
        </w:rPr>
        <w:t>22</w:t>
      </w:r>
      <w:r>
        <w:rPr>
          <w:rFonts w:cs="Guttman Keren"/>
          <w:sz w:val="24"/>
          <w:szCs w:val="24"/>
        </w:rPr>
        <w:t xml:space="preserve"> Zeph 3</w:t>
      </w:r>
      <w:r>
        <w:rPr>
          <w:rFonts w:cs="Guttman Keren"/>
          <w:sz w:val="24"/>
          <w:szCs w:val="24"/>
          <w:vertAlign w:val="subscript"/>
        </w:rPr>
        <w:t>9</w:t>
      </w:r>
    </w:p>
  </w:footnote>
  <w:footnote w:id="5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nom/verb; 3sg, parall </w:t>
      </w:r>
      <w:r>
        <w:rPr>
          <w:rFonts w:cs="Guttman Keren"/>
          <w:sz w:val="24"/>
          <w:sz w:val="24"/>
          <w:szCs w:val="24"/>
          <w:rtl w:val="true"/>
        </w:rPr>
        <w:t>נטמא</w:t>
      </w:r>
      <w:r>
        <w:rPr>
          <w:rFonts w:cs="Guttman Keren"/>
          <w:sz w:val="24"/>
          <w:szCs w:val="24"/>
        </w:rPr>
        <w:t>; cf 5</w:t>
      </w:r>
      <w:r>
        <w:rPr>
          <w:rFonts w:cs="Guttman Keren"/>
          <w:sz w:val="24"/>
          <w:szCs w:val="24"/>
          <w:vertAlign w:val="subscript"/>
        </w:rPr>
        <w:t>3</w:t>
      </w:r>
    </w:p>
  </w:footnote>
  <w:footnote w:id="5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קציר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 xml:space="preserve">+ </w:t>
      </w:r>
      <w:r>
        <w:rPr>
          <w:rFonts w:cs="Times New Roman" w:ascii="HUBPSigla" w:hAnsi="HUBPSigla"/>
          <w:sz w:val="24"/>
          <w:szCs w:val="24"/>
          <w:rtl w:val="true"/>
        </w:rPr>
        <w:t>\</w:t>
      </w:r>
      <w:r>
        <w:rPr>
          <w:rFonts w:cs="Guttman Keren"/>
          <w:sz w:val="24"/>
          <w:sz w:val="24"/>
          <w:szCs w:val="24"/>
          <w:rtl w:val="true"/>
        </w:rPr>
        <w:t>שית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hapax; imperative in </w:t>
      </w:r>
      <w:r>
        <w:rPr>
          <w:rFonts w:cs="Guttman Keren" w:ascii="HUBPSigla" w:hAnsi="HUBPSigla"/>
          <w:sz w:val="24"/>
          <w:szCs w:val="24"/>
        </w:rPr>
        <w:t>]-*[</w:t>
      </w:r>
      <w:r>
        <w:rPr>
          <w:rFonts w:cs="Times New Roman"/>
          <w:sz w:val="24"/>
          <w:szCs w:val="24"/>
        </w:rPr>
        <w:t xml:space="preserve">, p </w:t>
      </w:r>
      <w:r>
        <w:rPr>
          <w:rFonts w:cs="Guttman Keren"/>
          <w:sz w:val="24"/>
          <w:sz w:val="24"/>
          <w:szCs w:val="24"/>
          <w:rtl w:val="true"/>
        </w:rPr>
        <w:t>שִׁ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(similar voc </w:t>
      </w:r>
      <w:r>
        <w:rPr>
          <w:rFonts w:cs="Guttman Kere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>, see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5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begin!”; p exeg, cf Lev 23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2Sam 21</w:t>
      </w:r>
      <w:r>
        <w:rPr>
          <w:rFonts w:cs="Times New Roman"/>
          <w:sz w:val="24"/>
          <w:szCs w:val="24"/>
          <w:vertAlign w:val="subscript"/>
        </w:rPr>
        <w:t>9–10</w:t>
      </w:r>
      <w:r>
        <w:rPr>
          <w:rFonts w:cs="Times New Roman"/>
          <w:sz w:val="24"/>
          <w:szCs w:val="24"/>
        </w:rPr>
        <w:t xml:space="preserve"> Ruth 1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; hardly Aram </w:t>
      </w:r>
      <w:r>
        <w:rPr>
          <w:rFonts w:cs="Guttman Keren"/>
          <w:sz w:val="24"/>
          <w:sz w:val="24"/>
          <w:szCs w:val="24"/>
          <w:rtl w:val="true"/>
        </w:rPr>
        <w:t>שְׁרִי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(cf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),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Ezra 5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שריו</w:t>
      </w:r>
      <w:r>
        <w:rPr>
          <w:rFonts w:cs="Times New Roman"/>
          <w:sz w:val="24"/>
          <w:szCs w:val="24"/>
        </w:rPr>
        <w:t>)</w:t>
      </w:r>
    </w:p>
  </w:footnote>
  <w:footnote w:id="5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he refrained from”, alternative transl; apt,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Isa 5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ואשיתהו</w:t>
      </w:r>
      <w:r>
        <w:rPr>
          <w:rFonts w:cs="Times New Roman"/>
          <w:sz w:val="24"/>
          <w:szCs w:val="24"/>
        </w:rPr>
        <w:t xml:space="preserve">),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Job 10</w:t>
      </w:r>
      <w:r>
        <w:rPr>
          <w:rFonts w:cs="Times New Roman"/>
          <w:sz w:val="24"/>
          <w:szCs w:val="24"/>
          <w:vertAlign w:val="subscript"/>
        </w:rPr>
        <w:t>20</w:t>
      </w:r>
    </w:p>
  </w:footnote>
  <w:footnote w:id="5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is reserved”; p </w:t>
      </w:r>
      <w:r>
        <w:rPr>
          <w:rFonts w:cs="Guttman Keren"/>
          <w:sz w:val="24"/>
          <w:sz w:val="24"/>
          <w:szCs w:val="24"/>
          <w:rtl w:val="true"/>
        </w:rPr>
        <w:t>שִׁ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 xml:space="preserve">), taken as passive participle; similarly </w:t>
      </w:r>
      <w:r>
        <w:rPr>
          <w:rFonts w:cs="Guttman Kere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Isa 10</w:t>
      </w:r>
      <w:r>
        <w:rPr>
          <w:rFonts w:cs="Times New Roman"/>
          <w:sz w:val="24"/>
          <w:szCs w:val="24"/>
          <w:vertAlign w:val="subscript"/>
        </w:rPr>
        <w:t>17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שיתו</w:t>
      </w:r>
      <w:r>
        <w:rPr>
          <w:rFonts w:cs="Times New Roman"/>
          <w:sz w:val="24"/>
          <w:szCs w:val="24"/>
        </w:rPr>
        <w:t>)</w:t>
      </w:r>
    </w:p>
  </w:footnote>
  <w:footnote w:id="5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 end (will come)”, etym </w:t>
      </w:r>
      <w:r>
        <w:rPr>
          <w:rFonts w:cs="Guttman Keren"/>
          <w:sz w:val="24"/>
          <w:sz w:val="24"/>
          <w:szCs w:val="24"/>
          <w:rtl w:val="true"/>
        </w:rPr>
        <w:t>קֵץ</w:t>
      </w:r>
      <w:r>
        <w:rPr>
          <w:rFonts w:cs="Guttman Keren"/>
          <w:sz w:val="24"/>
          <w:szCs w:val="24"/>
        </w:rPr>
        <w:t>;</w:t>
      </w:r>
      <w:r>
        <w:rPr>
          <w:sz w:val="24"/>
          <w:szCs w:val="24"/>
        </w:rPr>
        <w:t xml:space="preserve"> cf app</w:t>
      </w:r>
      <w:r>
        <w:rPr>
          <w:rFonts w:cs="Times New Roman"/>
          <w:sz w:val="24"/>
          <w:szCs w:val="24"/>
        </w:rPr>
        <w:t xml:space="preserve"> Joel 4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>; cf also app Amos 8</w:t>
      </w:r>
      <w:r>
        <w:rPr>
          <w:rFonts w:cs="Times New Roman"/>
          <w:sz w:val="24"/>
          <w:szCs w:val="24"/>
          <w:vertAlign w:val="subscript"/>
        </w:rPr>
        <w:t>1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DATE \@"dd\/MM\/yyyy" </w:instrText>
    </w:r>
    <w:r>
      <w:rPr>
        <w:rtl w:val="true"/>
      </w:rPr>
      <w:fldChar w:fldCharType="separate"/>
    </w:r>
    <w:r>
      <w:rPr>
        <w:rtl w:val="true"/>
      </w:rPr>
      <w:t>10/11/2024</w:t>
    </w:r>
    <w:r>
      <w:rPr>
        <w:rtl w:val="true"/>
      </w:rPr>
      <w:fldChar w:fldCharType="end"/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ו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SimSun;宋体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before="0" w:after="120"/>
      <w:ind w:left="0" w:right="0" w:hanging="0"/>
      <w:jc w:val="left"/>
    </w:pPr>
    <w:rPr/>
  </w:style>
  <w:style w:type="paragraph" w:styleId="List">
    <w:name w:val="List"/>
    <w:basedOn w:val="Normal"/>
    <w:pPr>
      <w:ind w:left="360" w:right="0" w:hanging="360"/>
      <w:jc w:val="lef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NormalIndent">
    <w:name w:val="Normal Indent"/>
    <w:basedOn w:val="Normal"/>
    <w:qFormat/>
    <w:pPr>
      <w:ind w:left="72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2004-02-11T11:30:00Z</dcterms:created>
  <dc:creator>Microsoft Corporation</dc:creator>
  <dc:description/>
  <cp:keywords/>
  <dc:language>en-US</dc:language>
  <cp:lastModifiedBy>Michael Segal</cp:lastModifiedBy>
  <cp:lastPrinted>2010-07-19T15:37:00Z</cp:lastPrinted>
  <dcterms:modified xsi:type="dcterms:W3CDTF">2018-09-23T07:55:00Z</dcterms:modified>
  <cp:revision>211</cp:revision>
  <dc:subject/>
  <dc:title>Hos</dc:title>
</cp:coreProperties>
</file>