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shd w:fill="B85435"/>
      </w:pPr>
      <w:r>
        <w:rPr>
          <w:rFonts w:ascii="Arial" w:hAnsi="Arial"/>
          <w:b/>
          <w:color w:val="FFFFFF"/>
          <w:sz w:val="18"/>
        </w:rPr>
        <w:t>TEACHER ONLY  ·  ANSWER &amp; OBSERVATION PACK</w:t>
      </w:r>
    </w:p>
    <w:p>
      <w:pPr>
        <w:spacing w:after="40"/>
      </w:pPr>
      <w:r>
        <w:rPr>
          <w:rFonts w:ascii="Arial" w:hAnsi="Arial"/>
          <w:b/>
          <w:color w:val="17324D"/>
          <w:sz w:val="48"/>
        </w:rPr>
        <w:t>Unit 1 · Lesson 1 evidence guide</w:t>
      </w:r>
    </w:p>
    <w:p>
      <w:pPr>
        <w:spacing w:after="200"/>
      </w:pPr>
      <w:r>
        <w:rPr>
          <w:rFonts w:ascii="Arial" w:hAnsi="Arial"/>
          <w:color w:val="2B746F"/>
          <w:sz w:val="20"/>
        </w:rPr>
        <w:t>Diagnostic, practice, speaking and homework · Source: Unit1 MS_F.pdf + teacher-generated aligned items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tcMar>
              <w:top w:w="110" w:type="dxa"/>
              <w:start w:w="150" w:type="dxa"/>
              <w:bottom w:w="110" w:type="dxa"/>
              <w:end w:w="150" w:type="dxa"/>
            </w:tcMar>
            <w:shd w:fill="F4EEE4"/>
          </w:tcPr>
          <w:p>
            <w:pPr>
              <w:spacing w:after="0"/>
            </w:pPr>
            <w:r>
              <w:rPr>
                <w:rFonts w:ascii="Arial" w:hAnsi="Arial"/>
                <w:b/>
                <w:color w:val="B85435"/>
                <w:sz w:val="18"/>
              </w:rPr>
              <w:t xml:space="preserve">MARKING PRINCIPLE  </w:t>
            </w:r>
            <w:r>
              <w:rPr>
                <w:rFonts w:ascii="Arial" w:hAnsi="Arial"/>
                <w:color w:val="202B33"/>
                <w:sz w:val="20"/>
              </w:rPr>
              <w:t>The first 25 minutes are diagnostic and ungraded. Record independent / with cue / not yet. Do not convert this evidence into an IELTS or CEFR score.</w:t>
            </w:r>
          </w:p>
        </w:tc>
      </w:tr>
    </w:tbl>
    <w:p>
      <w:pPr>
        <w:spacing w:after="0"/>
      </w:pPr>
    </w:p>
    <w:p>
      <w:pPr>
        <w:pStyle w:val="Heading1"/>
      </w:pPr>
      <w:r>
        <w:t>Diagnostic answers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1007"/>
            <w:shd w:fill="17324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Item</w:t>
            </w:r>
          </w:p>
        </w:tc>
        <w:tc>
          <w:tcPr>
            <w:tcW w:type="dxa" w:w="4320"/>
            <w:shd w:fill="17324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Answer</w:t>
            </w:r>
          </w:p>
        </w:tc>
        <w:tc>
          <w:tcPr>
            <w:tcW w:type="dxa" w:w="4464"/>
            <w:shd w:fill="17324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Clue / observation</w:t>
            </w:r>
          </w:p>
        </w:tc>
      </w:tr>
      <w:tr>
        <w:tc>
          <w:tcPr>
            <w:tcW w:type="dxa" w:w="100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color w:val="202B33"/>
                <w:sz w:val="17"/>
              </w:rPr>
              <w:t>D06–D13</w:t>
            </w:r>
          </w:p>
        </w:tc>
        <w:tc>
          <w:tcPr>
            <w:tcW w:type="dxa" w:w="43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202B33"/>
                <w:sz w:val="17"/>
              </w:rPr>
              <w:t>get up; have breakfast; catch the bus; study English; watch TV; go online; relax with friends; go to bed</w:t>
            </w:r>
          </w:p>
        </w:tc>
        <w:tc>
          <w:tcPr>
            <w:tcW w:type="dxa" w:w="44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202B33"/>
                <w:sz w:val="17"/>
              </w:rPr>
              <w:t>Accept spelling slips only if spoken form is clear; record collocation control separately.</w:t>
            </w:r>
          </w:p>
        </w:tc>
      </w:tr>
      <w:tr>
        <w:tc>
          <w:tcPr>
            <w:tcW w:type="dxa" w:w="100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AFB"/>
          </w:tcPr>
          <w:p>
            <w:pPr>
              <w:jc w:val="center"/>
            </w:pPr>
            <w:r>
              <w:rPr>
                <w:rFonts w:ascii="Arial" w:hAnsi="Arial"/>
                <w:color w:val="202B33"/>
                <w:sz w:val="17"/>
              </w:rPr>
              <w:t>D14</w:t>
            </w:r>
          </w:p>
        </w:tc>
        <w:tc>
          <w:tcPr>
            <w:tcW w:type="dxa" w:w="43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AFB"/>
          </w:tcPr>
          <w:p>
            <w:pPr>
              <w:jc w:val="left"/>
            </w:pPr>
            <w:r>
              <w:rPr>
                <w:rFonts w:ascii="Arial" w:hAnsi="Arial"/>
                <w:color w:val="202B33"/>
                <w:sz w:val="17"/>
              </w:rPr>
              <w:t>She gets up at 6:30 every day.</w:t>
            </w:r>
          </w:p>
        </w:tc>
        <w:tc>
          <w:tcPr>
            <w:tcW w:type="dxa" w:w="44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AFB"/>
          </w:tcPr>
          <w:p>
            <w:pPr>
              <w:jc w:val="left"/>
            </w:pPr>
            <w:r>
              <w:rPr>
                <w:rFonts w:ascii="Arial" w:hAnsi="Arial"/>
                <w:color w:val="202B33"/>
                <w:sz w:val="17"/>
              </w:rPr>
              <w:t>Third-person singular → -s.</w:t>
            </w:r>
          </w:p>
        </w:tc>
      </w:tr>
      <w:tr>
        <w:tc>
          <w:tcPr>
            <w:tcW w:type="dxa" w:w="100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color w:val="202B33"/>
                <w:sz w:val="17"/>
              </w:rPr>
              <w:t>D15</w:t>
            </w:r>
          </w:p>
        </w:tc>
        <w:tc>
          <w:tcPr>
            <w:tcW w:type="dxa" w:w="43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202B33"/>
                <w:sz w:val="17"/>
              </w:rPr>
              <w:t>He watches TV in the evening.</w:t>
            </w:r>
          </w:p>
        </w:tc>
        <w:tc>
          <w:tcPr>
            <w:tcW w:type="dxa" w:w="44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202B33"/>
                <w:sz w:val="17"/>
              </w:rPr>
              <w:t>Verb ending -ch → -es.</w:t>
            </w:r>
          </w:p>
        </w:tc>
      </w:tr>
      <w:tr>
        <w:tc>
          <w:tcPr>
            <w:tcW w:type="dxa" w:w="100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AFB"/>
          </w:tcPr>
          <w:p>
            <w:pPr>
              <w:jc w:val="center"/>
            </w:pPr>
            <w:r>
              <w:rPr>
                <w:rFonts w:ascii="Arial" w:hAnsi="Arial"/>
                <w:color w:val="202B33"/>
                <w:sz w:val="17"/>
              </w:rPr>
              <w:t>D16</w:t>
            </w:r>
          </w:p>
        </w:tc>
        <w:tc>
          <w:tcPr>
            <w:tcW w:type="dxa" w:w="43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AFB"/>
          </w:tcPr>
          <w:p>
            <w:pPr>
              <w:jc w:val="left"/>
            </w:pPr>
            <w:r>
              <w:rPr>
                <w:rFonts w:ascii="Arial" w:hAnsi="Arial"/>
                <w:color w:val="202B33"/>
                <w:sz w:val="17"/>
              </w:rPr>
              <w:t>My sister tries to study after dinner.</w:t>
            </w:r>
          </w:p>
        </w:tc>
        <w:tc>
          <w:tcPr>
            <w:tcW w:type="dxa" w:w="44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AFB"/>
          </w:tcPr>
          <w:p>
            <w:pPr>
              <w:jc w:val="left"/>
            </w:pPr>
            <w:r>
              <w:rPr>
                <w:rFonts w:ascii="Arial" w:hAnsi="Arial"/>
                <w:color w:val="202B33"/>
                <w:sz w:val="17"/>
              </w:rPr>
              <w:t>Consonant + y → -ies.</w:t>
            </w:r>
          </w:p>
        </w:tc>
      </w:tr>
      <w:tr>
        <w:tc>
          <w:tcPr>
            <w:tcW w:type="dxa" w:w="100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color w:val="202B33"/>
                <w:sz w:val="17"/>
              </w:rPr>
              <w:t>D17</w:t>
            </w:r>
          </w:p>
        </w:tc>
        <w:tc>
          <w:tcPr>
            <w:tcW w:type="dxa" w:w="43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202B33"/>
                <w:sz w:val="17"/>
              </w:rPr>
              <w:t>I go to school by bus.</w:t>
            </w:r>
          </w:p>
        </w:tc>
        <w:tc>
          <w:tcPr>
            <w:tcW w:type="dxa" w:w="44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202B33"/>
                <w:sz w:val="17"/>
              </w:rPr>
              <w:t>No be before a present-simple lexical verb.</w:t>
            </w:r>
          </w:p>
        </w:tc>
      </w:tr>
      <w:tr>
        <w:tc>
          <w:tcPr>
            <w:tcW w:type="dxa" w:w="100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AFB"/>
          </w:tcPr>
          <w:p>
            <w:pPr>
              <w:jc w:val="center"/>
            </w:pPr>
            <w:r>
              <w:rPr>
                <w:rFonts w:ascii="Arial" w:hAnsi="Arial"/>
                <w:color w:val="202B33"/>
                <w:sz w:val="17"/>
              </w:rPr>
              <w:t>D18</w:t>
            </w:r>
          </w:p>
        </w:tc>
        <w:tc>
          <w:tcPr>
            <w:tcW w:type="dxa" w:w="43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AFB"/>
          </w:tcPr>
          <w:p>
            <w:pPr>
              <w:jc w:val="left"/>
            </w:pPr>
            <w:r>
              <w:rPr>
                <w:rFonts w:ascii="Arial" w:hAnsi="Arial"/>
                <w:color w:val="202B33"/>
                <w:sz w:val="17"/>
              </w:rPr>
              <w:t>My brother is always tired after school.</w:t>
            </w:r>
          </w:p>
        </w:tc>
        <w:tc>
          <w:tcPr>
            <w:tcW w:type="dxa" w:w="44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AFB"/>
          </w:tcPr>
          <w:p>
            <w:pPr>
              <w:jc w:val="left"/>
            </w:pPr>
            <w:r>
              <w:rPr>
                <w:rFonts w:ascii="Arial" w:hAnsi="Arial"/>
                <w:color w:val="202B33"/>
                <w:sz w:val="17"/>
              </w:rPr>
              <w:t>Frequency adverb follows be.</w:t>
            </w:r>
          </w:p>
        </w:tc>
      </w:tr>
      <w:tr>
        <w:tc>
          <w:tcPr>
            <w:tcW w:type="dxa" w:w="100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color w:val="202B33"/>
                <w:sz w:val="17"/>
              </w:rPr>
              <w:t>D19</w:t>
            </w:r>
          </w:p>
        </w:tc>
        <w:tc>
          <w:tcPr>
            <w:tcW w:type="dxa" w:w="43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202B33"/>
                <w:sz w:val="17"/>
              </w:rPr>
              <w:t>Anna catches the bus at 7:15.</w:t>
            </w:r>
          </w:p>
        </w:tc>
        <w:tc>
          <w:tcPr>
            <w:tcW w:type="dxa" w:w="44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202B33"/>
                <w:sz w:val="17"/>
              </w:rPr>
              <w:t>catch + noun; third person → catches.</w:t>
            </w:r>
          </w:p>
        </w:tc>
      </w:tr>
    </w:tbl>
    <w:p>
      <w:pPr>
        <w:pStyle w:val="Heading1"/>
      </w:pPr>
      <w:r>
        <w:t>Quick speaking evidence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2376"/>
            <w:shd w:fill="17324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Feature</w:t>
            </w:r>
          </w:p>
        </w:tc>
        <w:tc>
          <w:tcPr>
            <w:tcW w:type="dxa" w:w="1108"/>
            <w:shd w:fill="17324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Independent</w:t>
            </w:r>
          </w:p>
        </w:tc>
        <w:tc>
          <w:tcPr>
            <w:tcW w:type="dxa" w:w="1036"/>
            <w:shd w:fill="17324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With cue</w:t>
            </w:r>
          </w:p>
        </w:tc>
        <w:tc>
          <w:tcPr>
            <w:tcW w:type="dxa" w:w="979"/>
            <w:shd w:fill="17324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Not yet</w:t>
            </w:r>
          </w:p>
        </w:tc>
        <w:tc>
          <w:tcPr>
            <w:tcW w:type="dxa" w:w="4291"/>
            <w:shd w:fill="17324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Exact evidence</w:t>
            </w:r>
          </w:p>
        </w:tc>
      </w:tr>
      <w:tr>
        <w:tc>
          <w:tcPr>
            <w:tcW w:type="dxa" w:w="237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202B33"/>
                <w:sz w:val="16"/>
              </w:rPr>
              <w:t>Answers in a complete clause</w:t>
            </w:r>
          </w:p>
        </w:tc>
        <w:tc>
          <w:tcPr>
            <w:tcW w:type="dxa" w:w="11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color w:val="202B33"/>
                <w:sz w:val="16"/>
              </w:rPr>
              <w:t>□</w:t>
            </w:r>
          </w:p>
        </w:tc>
        <w:tc>
          <w:tcPr>
            <w:tcW w:type="dxa" w:w="10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color w:val="202B33"/>
                <w:sz w:val="16"/>
              </w:rPr>
              <w:t>□</w:t>
            </w:r>
          </w:p>
        </w:tc>
        <w:tc>
          <w:tcPr>
            <w:tcW w:type="dxa" w:w="97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color w:val="202B33"/>
                <w:sz w:val="16"/>
              </w:rPr>
              <w:t>□</w:t>
            </w:r>
          </w:p>
        </w:tc>
        <w:tc>
          <w:tcPr>
            <w:tcW w:type="dxa" w:w="429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202B33"/>
                <w:sz w:val="16"/>
              </w:rPr>
              <w:t>________________</w:t>
            </w:r>
          </w:p>
        </w:tc>
      </w:tr>
      <w:tr>
        <w:tc>
          <w:tcPr>
            <w:tcW w:type="dxa" w:w="237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AFB"/>
          </w:tcPr>
          <w:p>
            <w:pPr>
              <w:jc w:val="left"/>
            </w:pPr>
            <w:r>
              <w:rPr>
                <w:rFonts w:ascii="Arial" w:hAnsi="Arial"/>
                <w:color w:val="202B33"/>
                <w:sz w:val="16"/>
              </w:rPr>
              <w:t>Uses routine collocations</w:t>
            </w:r>
          </w:p>
        </w:tc>
        <w:tc>
          <w:tcPr>
            <w:tcW w:type="dxa" w:w="11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AFB"/>
          </w:tcPr>
          <w:p>
            <w:pPr>
              <w:jc w:val="center"/>
            </w:pPr>
            <w:r>
              <w:rPr>
                <w:rFonts w:ascii="Arial" w:hAnsi="Arial"/>
                <w:color w:val="202B33"/>
                <w:sz w:val="16"/>
              </w:rPr>
              <w:t>□</w:t>
            </w:r>
          </w:p>
        </w:tc>
        <w:tc>
          <w:tcPr>
            <w:tcW w:type="dxa" w:w="10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AFB"/>
          </w:tcPr>
          <w:p>
            <w:pPr>
              <w:jc w:val="center"/>
            </w:pPr>
            <w:r>
              <w:rPr>
                <w:rFonts w:ascii="Arial" w:hAnsi="Arial"/>
                <w:color w:val="202B33"/>
                <w:sz w:val="16"/>
              </w:rPr>
              <w:t>□</w:t>
            </w:r>
          </w:p>
        </w:tc>
        <w:tc>
          <w:tcPr>
            <w:tcW w:type="dxa" w:w="97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AFB"/>
          </w:tcPr>
          <w:p>
            <w:pPr>
              <w:jc w:val="center"/>
            </w:pPr>
            <w:r>
              <w:rPr>
                <w:rFonts w:ascii="Arial" w:hAnsi="Arial"/>
                <w:color w:val="202B33"/>
                <w:sz w:val="16"/>
              </w:rPr>
              <w:t>□</w:t>
            </w:r>
          </w:p>
        </w:tc>
        <w:tc>
          <w:tcPr>
            <w:tcW w:type="dxa" w:w="429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AFB"/>
          </w:tcPr>
          <w:p>
            <w:pPr>
              <w:jc w:val="left"/>
            </w:pPr>
            <w:r>
              <w:rPr>
                <w:rFonts w:ascii="Arial" w:hAnsi="Arial"/>
                <w:color w:val="202B33"/>
                <w:sz w:val="16"/>
              </w:rPr>
              <w:t>________________</w:t>
            </w:r>
          </w:p>
        </w:tc>
      </w:tr>
      <w:tr>
        <w:tc>
          <w:tcPr>
            <w:tcW w:type="dxa" w:w="237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202B33"/>
                <w:sz w:val="16"/>
              </w:rPr>
              <w:t>Final sounds are audible</w:t>
            </w:r>
          </w:p>
        </w:tc>
        <w:tc>
          <w:tcPr>
            <w:tcW w:type="dxa" w:w="11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color w:val="202B33"/>
                <w:sz w:val="16"/>
              </w:rPr>
              <w:t>□</w:t>
            </w:r>
          </w:p>
        </w:tc>
        <w:tc>
          <w:tcPr>
            <w:tcW w:type="dxa" w:w="10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color w:val="202B33"/>
                <w:sz w:val="16"/>
              </w:rPr>
              <w:t>□</w:t>
            </w:r>
          </w:p>
        </w:tc>
        <w:tc>
          <w:tcPr>
            <w:tcW w:type="dxa" w:w="97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color w:val="202B33"/>
                <w:sz w:val="16"/>
              </w:rPr>
              <w:t>□</w:t>
            </w:r>
          </w:p>
        </w:tc>
        <w:tc>
          <w:tcPr>
            <w:tcW w:type="dxa" w:w="429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202B33"/>
                <w:sz w:val="16"/>
              </w:rPr>
              <w:t>________________</w:t>
            </w:r>
          </w:p>
        </w:tc>
      </w:tr>
      <w:tr>
        <w:tc>
          <w:tcPr>
            <w:tcW w:type="dxa" w:w="237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AFB"/>
          </w:tcPr>
          <w:p>
            <w:pPr>
              <w:jc w:val="left"/>
            </w:pPr>
            <w:r>
              <w:rPr>
                <w:rFonts w:ascii="Arial" w:hAnsi="Arial"/>
                <w:color w:val="202B33"/>
                <w:sz w:val="16"/>
              </w:rPr>
              <w:t>Continues after a pause</w:t>
            </w:r>
          </w:p>
        </w:tc>
        <w:tc>
          <w:tcPr>
            <w:tcW w:type="dxa" w:w="11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AFB"/>
          </w:tcPr>
          <w:p>
            <w:pPr>
              <w:jc w:val="center"/>
            </w:pPr>
            <w:r>
              <w:rPr>
                <w:rFonts w:ascii="Arial" w:hAnsi="Arial"/>
                <w:color w:val="202B33"/>
                <w:sz w:val="16"/>
              </w:rPr>
              <w:t>□</w:t>
            </w:r>
          </w:p>
        </w:tc>
        <w:tc>
          <w:tcPr>
            <w:tcW w:type="dxa" w:w="10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AFB"/>
          </w:tcPr>
          <w:p>
            <w:pPr>
              <w:jc w:val="center"/>
            </w:pPr>
            <w:r>
              <w:rPr>
                <w:rFonts w:ascii="Arial" w:hAnsi="Arial"/>
                <w:color w:val="202B33"/>
                <w:sz w:val="16"/>
              </w:rPr>
              <w:t>□</w:t>
            </w:r>
          </w:p>
        </w:tc>
        <w:tc>
          <w:tcPr>
            <w:tcW w:type="dxa" w:w="97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AFB"/>
          </w:tcPr>
          <w:p>
            <w:pPr>
              <w:jc w:val="center"/>
            </w:pPr>
            <w:r>
              <w:rPr>
                <w:rFonts w:ascii="Arial" w:hAnsi="Arial"/>
                <w:color w:val="202B33"/>
                <w:sz w:val="16"/>
              </w:rPr>
              <w:t>□</w:t>
            </w:r>
          </w:p>
        </w:tc>
        <w:tc>
          <w:tcPr>
            <w:tcW w:type="dxa" w:w="429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AFB"/>
          </w:tcPr>
          <w:p>
            <w:pPr>
              <w:jc w:val="left"/>
            </w:pPr>
            <w:r>
              <w:rPr>
                <w:rFonts w:ascii="Arial" w:hAnsi="Arial"/>
                <w:color w:val="202B33"/>
                <w:sz w:val="16"/>
              </w:rPr>
              <w:t>________________</w:t>
            </w:r>
          </w:p>
        </w:tc>
      </w:tr>
    </w:tbl>
    <w:p>
      <w:r>
        <w:br w:type="page"/>
      </w:r>
    </w:p>
    <w:p>
      <w:pPr>
        <w:spacing w:after="80"/>
        <w:shd w:fill="B85435"/>
      </w:pPr>
      <w:r>
        <w:rPr>
          <w:rFonts w:ascii="Arial" w:hAnsi="Arial"/>
          <w:b/>
          <w:color w:val="FFFFFF"/>
          <w:sz w:val="18"/>
        </w:rPr>
        <w:t>TEACHER ONLY  ·  ANSWER KEY</w:t>
      </w:r>
    </w:p>
    <w:p>
      <w:pPr>
        <w:spacing w:after="40"/>
      </w:pPr>
      <w:r>
        <w:rPr>
          <w:rFonts w:ascii="Arial" w:hAnsi="Arial"/>
          <w:b/>
          <w:color w:val="17324D"/>
          <w:sz w:val="48"/>
        </w:rPr>
        <w:t>Student practice · controlled work</w:t>
      </w:r>
    </w:p>
    <w:p>
      <w:pPr>
        <w:spacing w:after="200"/>
      </w:pPr>
      <w:r>
        <w:rPr>
          <w:rFonts w:ascii="Arial" w:hAnsi="Arial"/>
          <w:color w:val="2B746F"/>
          <w:sz w:val="20"/>
        </w:rPr>
        <w:t>Accepted alternatives are shown where meaning permits.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1007"/>
            <w:shd w:fill="17324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Item</w:t>
            </w:r>
          </w:p>
        </w:tc>
        <w:tc>
          <w:tcPr>
            <w:tcW w:type="dxa" w:w="2232"/>
            <w:shd w:fill="17324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Answer</w:t>
            </w:r>
          </w:p>
        </w:tc>
        <w:tc>
          <w:tcPr>
            <w:tcW w:type="dxa" w:w="6552"/>
            <w:shd w:fill="17324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Evidence / clue</w:t>
            </w:r>
          </w:p>
        </w:tc>
      </w:tr>
      <w:tr>
        <w:tc>
          <w:tcPr>
            <w:tcW w:type="dxa" w:w="100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color w:val="202B33"/>
                <w:sz w:val="17"/>
              </w:rPr>
              <w:t>P01</w:t>
            </w:r>
          </w:p>
        </w:tc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202B33"/>
                <w:sz w:val="17"/>
              </w:rPr>
              <w:t>My brother / studies</w:t>
            </w:r>
          </w:p>
        </w:tc>
        <w:tc>
          <w:tcPr>
            <w:tcW w:type="dxa" w:w="65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202B33"/>
                <w:sz w:val="17"/>
              </w:rPr>
              <w:t>Subject is one person; consonant + y → -ies.</w:t>
            </w:r>
          </w:p>
        </w:tc>
      </w:tr>
      <w:tr>
        <w:tc>
          <w:tcPr>
            <w:tcW w:type="dxa" w:w="100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AFB"/>
          </w:tcPr>
          <w:p>
            <w:pPr>
              <w:jc w:val="center"/>
            </w:pPr>
            <w:r>
              <w:rPr>
                <w:rFonts w:ascii="Arial" w:hAnsi="Arial"/>
                <w:color w:val="202B33"/>
                <w:sz w:val="17"/>
              </w:rPr>
              <w:t>P02</w:t>
            </w:r>
          </w:p>
        </w:tc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AFB"/>
          </w:tcPr>
          <w:p>
            <w:pPr>
              <w:jc w:val="left"/>
            </w:pPr>
            <w:r>
              <w:rPr>
                <w:rFonts w:ascii="Arial" w:hAnsi="Arial"/>
                <w:color w:val="202B33"/>
                <w:sz w:val="17"/>
              </w:rPr>
              <w:t>catches</w:t>
            </w:r>
          </w:p>
        </w:tc>
        <w:tc>
          <w:tcPr>
            <w:tcW w:type="dxa" w:w="65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AFB"/>
          </w:tcPr>
          <w:p>
            <w:pPr>
              <w:jc w:val="left"/>
            </w:pPr>
            <w:r>
              <w:rPr>
                <w:rFonts w:ascii="Arial" w:hAnsi="Arial"/>
                <w:color w:val="202B33"/>
                <w:sz w:val="17"/>
              </w:rPr>
              <w:t>Ping = he; catch ends in -ch.</w:t>
            </w:r>
          </w:p>
        </w:tc>
      </w:tr>
      <w:tr>
        <w:tc>
          <w:tcPr>
            <w:tcW w:type="dxa" w:w="100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color w:val="202B33"/>
                <w:sz w:val="17"/>
              </w:rPr>
              <w:t>P03</w:t>
            </w:r>
          </w:p>
        </w:tc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202B33"/>
                <w:sz w:val="17"/>
              </w:rPr>
              <w:t>study</w:t>
            </w:r>
          </w:p>
        </w:tc>
        <w:tc>
          <w:tcPr>
            <w:tcW w:type="dxa" w:w="65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202B33"/>
                <w:sz w:val="17"/>
              </w:rPr>
              <w:t>They takes the base form.</w:t>
            </w:r>
          </w:p>
        </w:tc>
      </w:tr>
      <w:tr>
        <w:tc>
          <w:tcPr>
            <w:tcW w:type="dxa" w:w="100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AFB"/>
          </w:tcPr>
          <w:p>
            <w:pPr>
              <w:jc w:val="center"/>
            </w:pPr>
            <w:r>
              <w:rPr>
                <w:rFonts w:ascii="Arial" w:hAnsi="Arial"/>
                <w:color w:val="202B33"/>
                <w:sz w:val="17"/>
              </w:rPr>
              <w:t>P04</w:t>
            </w:r>
          </w:p>
        </w:tc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AFB"/>
          </w:tcPr>
          <w:p>
            <w:pPr>
              <w:jc w:val="left"/>
            </w:pPr>
            <w:r>
              <w:rPr>
                <w:rFonts w:ascii="Arial" w:hAnsi="Arial"/>
                <w:color w:val="202B33"/>
                <w:sz w:val="17"/>
              </w:rPr>
              <w:t>tries</w:t>
            </w:r>
          </w:p>
        </w:tc>
        <w:tc>
          <w:tcPr>
            <w:tcW w:type="dxa" w:w="65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AFB"/>
          </w:tcPr>
          <w:p>
            <w:pPr>
              <w:jc w:val="left"/>
            </w:pPr>
            <w:r>
              <w:rPr>
                <w:rFonts w:ascii="Arial" w:hAnsi="Arial"/>
                <w:color w:val="202B33"/>
                <w:sz w:val="17"/>
              </w:rPr>
              <w:t>Nina = she; consonant + y → -ies.</w:t>
            </w:r>
          </w:p>
        </w:tc>
      </w:tr>
      <w:tr>
        <w:tc>
          <w:tcPr>
            <w:tcW w:type="dxa" w:w="100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color w:val="202B33"/>
                <w:sz w:val="17"/>
              </w:rPr>
              <w:t>P05</w:t>
            </w:r>
          </w:p>
        </w:tc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202B33"/>
                <w:sz w:val="17"/>
              </w:rPr>
              <w:t>washes</w:t>
            </w:r>
          </w:p>
        </w:tc>
        <w:tc>
          <w:tcPr>
            <w:tcW w:type="dxa" w:w="65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202B33"/>
                <w:sz w:val="17"/>
              </w:rPr>
              <w:t>My dad = he; wash ends in -sh.</w:t>
            </w:r>
          </w:p>
        </w:tc>
      </w:tr>
      <w:tr>
        <w:tc>
          <w:tcPr>
            <w:tcW w:type="dxa" w:w="100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AFB"/>
          </w:tcPr>
          <w:p>
            <w:pPr>
              <w:jc w:val="center"/>
            </w:pPr>
            <w:r>
              <w:rPr>
                <w:rFonts w:ascii="Arial" w:hAnsi="Arial"/>
                <w:color w:val="202B33"/>
                <w:sz w:val="17"/>
              </w:rPr>
              <w:t>P06</w:t>
            </w:r>
          </w:p>
        </w:tc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AFB"/>
          </w:tcPr>
          <w:p>
            <w:pPr>
              <w:jc w:val="left"/>
            </w:pPr>
            <w:r>
              <w:rPr>
                <w:rFonts w:ascii="Arial" w:hAnsi="Arial"/>
                <w:color w:val="202B33"/>
                <w:sz w:val="17"/>
              </w:rPr>
              <w:t>Linh</w:t>
            </w:r>
          </w:p>
        </w:tc>
        <w:tc>
          <w:tcPr>
            <w:tcW w:type="dxa" w:w="65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AFB"/>
          </w:tcPr>
          <w:p>
            <w:pPr>
              <w:jc w:val="left"/>
            </w:pPr>
            <w:r>
              <w:rPr>
                <w:rFonts w:ascii="Arial" w:hAnsi="Arial"/>
                <w:color w:val="202B33"/>
                <w:sz w:val="17"/>
              </w:rPr>
              <w:t>cycles to school with her cousin</w:t>
            </w:r>
          </w:p>
        </w:tc>
      </w:tr>
      <w:tr>
        <w:tc>
          <w:tcPr>
            <w:tcW w:type="dxa" w:w="100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color w:val="202B33"/>
                <w:sz w:val="17"/>
              </w:rPr>
              <w:t>P07</w:t>
            </w:r>
          </w:p>
        </w:tc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202B33"/>
                <w:sz w:val="17"/>
              </w:rPr>
              <w:t>Mateo</w:t>
            </w:r>
          </w:p>
        </w:tc>
        <w:tc>
          <w:tcPr>
            <w:tcW w:type="dxa" w:w="65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202B33"/>
                <w:sz w:val="17"/>
              </w:rPr>
              <w:t>catches a bus at 6:50</w:t>
            </w:r>
          </w:p>
        </w:tc>
      </w:tr>
      <w:tr>
        <w:tc>
          <w:tcPr>
            <w:tcW w:type="dxa" w:w="100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AFB"/>
          </w:tcPr>
          <w:p>
            <w:pPr>
              <w:jc w:val="center"/>
            </w:pPr>
            <w:r>
              <w:rPr>
                <w:rFonts w:ascii="Arial" w:hAnsi="Arial"/>
                <w:color w:val="202B33"/>
                <w:sz w:val="17"/>
              </w:rPr>
              <w:t>P08</w:t>
            </w:r>
          </w:p>
        </w:tc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AFB"/>
          </w:tcPr>
          <w:p>
            <w:pPr>
              <w:jc w:val="left"/>
            </w:pPr>
            <w:r>
              <w:rPr>
                <w:rFonts w:ascii="Arial" w:hAnsi="Arial"/>
                <w:color w:val="202B33"/>
                <w:sz w:val="17"/>
              </w:rPr>
              <w:t>Mateo</w:t>
            </w:r>
          </w:p>
        </w:tc>
        <w:tc>
          <w:tcPr>
            <w:tcW w:type="dxa" w:w="65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AFB"/>
          </w:tcPr>
          <w:p>
            <w:pPr>
              <w:jc w:val="left"/>
            </w:pPr>
            <w:r>
              <w:rPr>
                <w:rFonts w:ascii="Arial" w:hAnsi="Arial"/>
                <w:color w:val="202B33"/>
                <w:sz w:val="17"/>
              </w:rPr>
              <w:t>plays volleyball on the beach</w:t>
            </w:r>
          </w:p>
        </w:tc>
      </w:tr>
      <w:tr>
        <w:tc>
          <w:tcPr>
            <w:tcW w:type="dxa" w:w="100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color w:val="202B33"/>
                <w:sz w:val="17"/>
              </w:rPr>
              <w:t>P09</w:t>
            </w:r>
          </w:p>
        </w:tc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202B33"/>
                <w:sz w:val="17"/>
              </w:rPr>
              <w:t>Sara</w:t>
            </w:r>
          </w:p>
        </w:tc>
        <w:tc>
          <w:tcPr>
            <w:tcW w:type="dxa" w:w="65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202B33"/>
                <w:sz w:val="17"/>
              </w:rPr>
              <w:t>her father makes dinner and Sara washes up</w:t>
            </w:r>
          </w:p>
        </w:tc>
      </w:tr>
      <w:tr>
        <w:tc>
          <w:tcPr>
            <w:tcW w:type="dxa" w:w="100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AFB"/>
          </w:tcPr>
          <w:p>
            <w:pPr>
              <w:jc w:val="center"/>
            </w:pPr>
            <w:r>
              <w:rPr>
                <w:rFonts w:ascii="Arial" w:hAnsi="Arial"/>
                <w:color w:val="202B33"/>
                <w:sz w:val="17"/>
              </w:rPr>
              <w:t>P10</w:t>
            </w:r>
          </w:p>
        </w:tc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AFB"/>
          </w:tcPr>
          <w:p>
            <w:pPr>
              <w:jc w:val="left"/>
            </w:pPr>
            <w:r>
              <w:rPr>
                <w:rFonts w:ascii="Arial" w:hAnsi="Arial"/>
                <w:color w:val="202B33"/>
                <w:sz w:val="17"/>
              </w:rPr>
              <w:t>Linh</w:t>
            </w:r>
          </w:p>
        </w:tc>
        <w:tc>
          <w:tcPr>
            <w:tcW w:type="dxa" w:w="65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AFB"/>
          </w:tcPr>
          <w:p>
            <w:pPr>
              <w:jc w:val="left"/>
            </w:pPr>
            <w:r>
              <w:rPr>
                <w:rFonts w:ascii="Arial" w:hAnsi="Arial"/>
                <w:color w:val="202B33"/>
                <w:sz w:val="17"/>
              </w:rPr>
              <w:t>helps her grandmother prepare dinner</w:t>
            </w:r>
          </w:p>
        </w:tc>
      </w:tr>
    </w:tbl>
    <w:p>
      <w:pPr>
        <w:pStyle w:val="Heading1"/>
      </w:pPr>
      <w:r>
        <w:t>P11 · Near transfer</w:t>
      </w:r>
    </w:p>
    <w:p>
      <w:r>
        <w:t>Accept any two accurate comparisons that preserve meaning. Example: Mateo catches a bus, but I cycle to school. Linh studies after dinner, while I usually study before dinner.</w:t>
      </w:r>
    </w:p>
    <w:p>
      <w:r>
        <w:br w:type="page"/>
      </w:r>
    </w:p>
    <w:p>
      <w:pPr>
        <w:spacing w:after="80"/>
        <w:shd w:fill="B85435"/>
      </w:pPr>
      <w:r>
        <w:rPr>
          <w:rFonts w:ascii="Arial" w:hAnsi="Arial"/>
          <w:b/>
          <w:color w:val="FFFFFF"/>
          <w:sz w:val="18"/>
        </w:rPr>
        <w:t>TEACHER ONLY  ·  ANSWER KEY</w:t>
      </w:r>
    </w:p>
    <w:p>
      <w:pPr>
        <w:spacing w:after="40"/>
      </w:pPr>
      <w:r>
        <w:rPr>
          <w:rFonts w:ascii="Arial" w:hAnsi="Arial"/>
          <w:b/>
          <w:color w:val="17324D"/>
          <w:sz w:val="48"/>
        </w:rPr>
        <w:t>Repair, exit and feedback</w:t>
      </w:r>
    </w:p>
    <w:p>
      <w:pPr>
        <w:spacing w:after="200"/>
      </w:pPr>
      <w:r>
        <w:rPr>
          <w:rFonts w:ascii="Arial" w:hAnsi="Arial"/>
          <w:color w:val="2B746F"/>
          <w:sz w:val="20"/>
        </w:rPr>
        <w:t>Correct form + decisive clue; avoid awarding credit for guessing alone.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1007"/>
            <w:shd w:fill="17324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Item</w:t>
            </w:r>
          </w:p>
        </w:tc>
        <w:tc>
          <w:tcPr>
            <w:tcW w:type="dxa" w:w="4320"/>
            <w:shd w:fill="17324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Answer</w:t>
            </w:r>
          </w:p>
        </w:tc>
        <w:tc>
          <w:tcPr>
            <w:tcW w:type="dxa" w:w="4464"/>
            <w:shd w:fill="17324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Reason</w:t>
            </w:r>
          </w:p>
        </w:tc>
      </w:tr>
      <w:tr>
        <w:tc>
          <w:tcPr>
            <w:tcW w:type="dxa" w:w="100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color w:val="202B33"/>
                <w:sz w:val="17"/>
              </w:rPr>
              <w:t>P12</w:t>
            </w:r>
          </w:p>
        </w:tc>
        <w:tc>
          <w:tcPr>
            <w:tcW w:type="dxa" w:w="43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202B33"/>
                <w:sz w:val="17"/>
              </w:rPr>
              <w:t>My friend goes online after school.</w:t>
            </w:r>
          </w:p>
        </w:tc>
        <w:tc>
          <w:tcPr>
            <w:tcW w:type="dxa" w:w="44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202B33"/>
                <w:sz w:val="17"/>
              </w:rPr>
              <w:t>My friend = he/she; go → goes.</w:t>
            </w:r>
          </w:p>
        </w:tc>
      </w:tr>
      <w:tr>
        <w:tc>
          <w:tcPr>
            <w:tcW w:type="dxa" w:w="100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AFB"/>
          </w:tcPr>
          <w:p>
            <w:pPr>
              <w:jc w:val="center"/>
            </w:pPr>
            <w:r>
              <w:rPr>
                <w:rFonts w:ascii="Arial" w:hAnsi="Arial"/>
                <w:color w:val="202B33"/>
                <w:sz w:val="17"/>
              </w:rPr>
              <w:t>P13</w:t>
            </w:r>
          </w:p>
        </w:tc>
        <w:tc>
          <w:tcPr>
            <w:tcW w:type="dxa" w:w="43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AFB"/>
          </w:tcPr>
          <w:p>
            <w:pPr>
              <w:jc w:val="left"/>
            </w:pPr>
            <w:r>
              <w:rPr>
                <w:rFonts w:ascii="Arial" w:hAnsi="Arial"/>
                <w:color w:val="202B33"/>
                <w:sz w:val="17"/>
              </w:rPr>
              <w:t>She studies English every evening.</w:t>
            </w:r>
          </w:p>
        </w:tc>
        <w:tc>
          <w:tcPr>
            <w:tcW w:type="dxa" w:w="44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AFB"/>
          </w:tcPr>
          <w:p>
            <w:pPr>
              <w:jc w:val="left"/>
            </w:pPr>
            <w:r>
              <w:rPr>
                <w:rFonts w:ascii="Arial" w:hAnsi="Arial"/>
                <w:color w:val="202B33"/>
                <w:sz w:val="17"/>
              </w:rPr>
              <w:t>Consonant + y → -ies.</w:t>
            </w:r>
          </w:p>
        </w:tc>
      </w:tr>
      <w:tr>
        <w:tc>
          <w:tcPr>
            <w:tcW w:type="dxa" w:w="100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color w:val="202B33"/>
                <w:sz w:val="17"/>
              </w:rPr>
              <w:t>P14</w:t>
            </w:r>
          </w:p>
        </w:tc>
        <w:tc>
          <w:tcPr>
            <w:tcW w:type="dxa" w:w="43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202B33"/>
                <w:sz w:val="17"/>
              </w:rPr>
              <w:t>He is always late for class.</w:t>
            </w:r>
          </w:p>
        </w:tc>
        <w:tc>
          <w:tcPr>
            <w:tcW w:type="dxa" w:w="44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202B33"/>
                <w:sz w:val="17"/>
              </w:rPr>
              <w:t>Frequency adverb follows be.</w:t>
            </w:r>
          </w:p>
        </w:tc>
      </w:tr>
      <w:tr>
        <w:tc>
          <w:tcPr>
            <w:tcW w:type="dxa" w:w="100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AFB"/>
          </w:tcPr>
          <w:p>
            <w:pPr>
              <w:jc w:val="center"/>
            </w:pPr>
            <w:r>
              <w:rPr>
                <w:rFonts w:ascii="Arial" w:hAnsi="Arial"/>
                <w:color w:val="202B33"/>
                <w:sz w:val="17"/>
              </w:rPr>
              <w:t>P15</w:t>
            </w:r>
          </w:p>
        </w:tc>
        <w:tc>
          <w:tcPr>
            <w:tcW w:type="dxa" w:w="43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AFB"/>
          </w:tcPr>
          <w:p>
            <w:pPr>
              <w:jc w:val="left"/>
            </w:pPr>
            <w:r>
              <w:rPr>
                <w:rFonts w:ascii="Arial" w:hAnsi="Arial"/>
                <w:color w:val="202B33"/>
                <w:sz w:val="17"/>
              </w:rPr>
              <w:t>My dad does the cleaning on Sunday.</w:t>
            </w:r>
          </w:p>
        </w:tc>
        <w:tc>
          <w:tcPr>
            <w:tcW w:type="dxa" w:w="44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AFB"/>
          </w:tcPr>
          <w:p>
            <w:pPr>
              <w:jc w:val="left"/>
            </w:pPr>
            <w:r>
              <w:rPr>
                <w:rFonts w:ascii="Arial" w:hAnsi="Arial"/>
                <w:color w:val="202B33"/>
                <w:sz w:val="17"/>
              </w:rPr>
              <w:t>Fixed collocation: do the cleaning.</w:t>
            </w:r>
          </w:p>
        </w:tc>
      </w:tr>
      <w:tr>
        <w:tc>
          <w:tcPr>
            <w:tcW w:type="dxa" w:w="100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color w:val="202B33"/>
                <w:sz w:val="17"/>
              </w:rPr>
              <w:t>P16</w:t>
            </w:r>
          </w:p>
        </w:tc>
        <w:tc>
          <w:tcPr>
            <w:tcW w:type="dxa" w:w="43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202B33"/>
                <w:sz w:val="17"/>
              </w:rPr>
              <w:t>watches</w:t>
            </w:r>
          </w:p>
        </w:tc>
        <w:tc>
          <w:tcPr>
            <w:tcW w:type="dxa" w:w="44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202B33"/>
                <w:sz w:val="17"/>
              </w:rPr>
              <w:t>She + verb ending -ch → -es.</w:t>
            </w:r>
          </w:p>
        </w:tc>
      </w:tr>
      <w:tr>
        <w:tc>
          <w:tcPr>
            <w:tcW w:type="dxa" w:w="100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AFB"/>
          </w:tcPr>
          <w:p>
            <w:pPr>
              <w:jc w:val="center"/>
            </w:pPr>
            <w:r>
              <w:rPr>
                <w:rFonts w:ascii="Arial" w:hAnsi="Arial"/>
                <w:color w:val="202B33"/>
                <w:sz w:val="17"/>
              </w:rPr>
              <w:t>P17</w:t>
            </w:r>
          </w:p>
        </w:tc>
        <w:tc>
          <w:tcPr>
            <w:tcW w:type="dxa" w:w="43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AFB"/>
          </w:tcPr>
          <w:p>
            <w:pPr>
              <w:jc w:val="left"/>
            </w:pPr>
            <w:r>
              <w:rPr>
                <w:rFonts w:ascii="Arial" w:hAnsi="Arial"/>
                <w:color w:val="202B33"/>
                <w:sz w:val="17"/>
              </w:rPr>
              <w:t>I usually go online after school.</w:t>
            </w:r>
          </w:p>
        </w:tc>
        <w:tc>
          <w:tcPr>
            <w:tcW w:type="dxa" w:w="44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AFB"/>
          </w:tcPr>
          <w:p>
            <w:pPr>
              <w:jc w:val="left"/>
            </w:pPr>
            <w:r>
              <w:rPr>
                <w:rFonts w:ascii="Arial" w:hAnsi="Arial"/>
                <w:color w:val="202B33"/>
                <w:sz w:val="17"/>
              </w:rPr>
              <w:t>Frequency adverb before most lexical verbs.</w:t>
            </w:r>
          </w:p>
        </w:tc>
      </w:tr>
      <w:tr>
        <w:tc>
          <w:tcPr>
            <w:tcW w:type="dxa" w:w="100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color w:val="202B33"/>
                <w:sz w:val="17"/>
              </w:rPr>
              <w:t>P18</w:t>
            </w:r>
          </w:p>
        </w:tc>
        <w:tc>
          <w:tcPr>
            <w:tcW w:type="dxa" w:w="43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202B33"/>
                <w:sz w:val="17"/>
              </w:rPr>
              <w:t>Accept a usable rule</w:t>
            </w:r>
          </w:p>
        </w:tc>
        <w:tc>
          <w:tcPr>
            <w:tcW w:type="dxa" w:w="44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202B33"/>
                <w:sz w:val="17"/>
              </w:rPr>
              <w:t>Must mention subject/person and a correct ending or adverb-placement clue.</w:t>
            </w:r>
          </w:p>
        </w:tc>
      </w:tr>
    </w:tbl>
    <w:p>
      <w:pPr>
        <w:pStyle w:val="Heading1"/>
      </w:pPr>
      <w:r>
        <w:t>Two-priority feedback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4896"/>
            <w:shd w:fill="2B746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Priority 1 · accuracy</w:t>
            </w:r>
          </w:p>
        </w:tc>
        <w:tc>
          <w:tcPr>
            <w:tcW w:type="dxa" w:w="4896"/>
            <w:shd w:fill="2B746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Priority 2 · communication</w:t>
            </w:r>
          </w:p>
        </w:tc>
      </w:tr>
      <w:tr>
        <w:tc>
          <w:tcPr>
            <w:tcW w:type="dxa" w:w="48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202B33"/>
                <w:sz w:val="17"/>
              </w:rPr>
              <w:t>Choose one: subject–verb ending / adverb position / collocation</w:t>
            </w:r>
          </w:p>
        </w:tc>
        <w:tc>
          <w:tcPr>
            <w:tcW w:type="dxa" w:w="48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202B33"/>
                <w:sz w:val="17"/>
              </w:rPr>
              <w:t>Choose one: sequence / clarity / reason / reduced hesitation</w:t>
            </w:r>
          </w:p>
        </w:tc>
      </w:tr>
      <w:tr>
        <w:tc>
          <w:tcPr>
            <w:tcW w:type="dxa" w:w="48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AFB"/>
          </w:tcPr>
          <w:p>
            <w:pPr>
              <w:jc w:val="left"/>
            </w:pPr>
            <w:r>
              <w:rPr>
                <w:rFonts w:ascii="Arial" w:hAnsi="Arial"/>
                <w:color w:val="202B33"/>
                <w:sz w:val="17"/>
              </w:rPr>
              <w:t>Evidence from attempt 1: __________________________</w:t>
            </w:r>
          </w:p>
        </w:tc>
        <w:tc>
          <w:tcPr>
            <w:tcW w:type="dxa" w:w="48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AFB"/>
          </w:tcPr>
          <w:p>
            <w:pPr>
              <w:jc w:val="left"/>
            </w:pPr>
            <w:r>
              <w:rPr>
                <w:rFonts w:ascii="Arial" w:hAnsi="Arial"/>
                <w:color w:val="202B33"/>
                <w:sz w:val="17"/>
              </w:rPr>
              <w:t>Evidence from attempt 1: __________________________</w:t>
            </w:r>
          </w:p>
        </w:tc>
      </w:tr>
      <w:tr>
        <w:tc>
          <w:tcPr>
            <w:tcW w:type="dxa" w:w="48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202B33"/>
                <w:sz w:val="17"/>
              </w:rPr>
              <w:t>Change in attempt 2: ______________________________</w:t>
            </w:r>
          </w:p>
        </w:tc>
        <w:tc>
          <w:tcPr>
            <w:tcW w:type="dxa" w:w="48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202B33"/>
                <w:sz w:val="17"/>
              </w:rPr>
              <w:t>Change in attempt 2: ______________________________</w:t>
            </w:r>
          </w:p>
        </w:tc>
      </w:tr>
    </w:tbl>
    <w:p>
      <w:r>
        <w:br w:type="page"/>
      </w:r>
    </w:p>
    <w:p>
      <w:pPr>
        <w:spacing w:after="80"/>
        <w:shd w:fill="B85435"/>
      </w:pPr>
      <w:r>
        <w:rPr>
          <w:rFonts w:ascii="Arial" w:hAnsi="Arial"/>
          <w:b/>
          <w:color w:val="FFFFFF"/>
          <w:sz w:val="18"/>
        </w:rPr>
        <w:t>TEACHER ONLY  ·  OBSERVATION</w:t>
      </w:r>
    </w:p>
    <w:p>
      <w:pPr>
        <w:spacing w:after="40"/>
      </w:pPr>
      <w:r>
        <w:rPr>
          <w:rFonts w:ascii="Arial" w:hAnsi="Arial"/>
          <w:b/>
          <w:color w:val="17324D"/>
          <w:sz w:val="48"/>
        </w:rPr>
        <w:t>Speaking and writing evidence</w:t>
      </w:r>
    </w:p>
    <w:p>
      <w:pPr>
        <w:spacing w:after="200"/>
      </w:pPr>
      <w:r>
        <w:rPr>
          <w:rFonts w:ascii="Arial" w:hAnsi="Arial"/>
          <w:color w:val="2B746F"/>
          <w:sz w:val="20"/>
        </w:rPr>
        <w:t>Use the same shared objectives; support changes, not the target.</w:t>
      </w:r>
    </w:p>
    <w:p>
      <w:pPr>
        <w:pStyle w:val="Heading1"/>
      </w:pPr>
      <w:r>
        <w:t>Speaking observation · U1-L1-O5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088"/>
            <w:shd w:fill="17324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Criterion</w:t>
            </w:r>
          </w:p>
        </w:tc>
        <w:tc>
          <w:tcPr>
            <w:tcW w:type="dxa" w:w="2520"/>
            <w:shd w:fill="17324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Secure</w:t>
            </w:r>
          </w:p>
        </w:tc>
        <w:tc>
          <w:tcPr>
            <w:tcW w:type="dxa" w:w="3096"/>
            <w:shd w:fill="17324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Developing</w:t>
            </w:r>
          </w:p>
        </w:tc>
        <w:tc>
          <w:tcPr>
            <w:tcW w:type="dxa" w:w="2088"/>
            <w:shd w:fill="17324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Next move</w:t>
            </w:r>
          </w:p>
        </w:tc>
      </w:tr>
      <w:tr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202B33"/>
                <w:sz w:val="17"/>
              </w:rPr>
              <w:t>Routine language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202B33"/>
                <w:sz w:val="17"/>
              </w:rPr>
              <w:t>6+ accurate phrases</w:t>
            </w:r>
          </w:p>
        </w:tc>
        <w:tc>
          <w:tcPr>
            <w:tcW w:type="dxa" w:w="30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202B33"/>
                <w:sz w:val="17"/>
              </w:rPr>
              <w:t>3–5 phrases or repeated misuse</w:t>
            </w:r>
          </w:p>
        </w:tc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202B33"/>
                <w:sz w:val="17"/>
              </w:rPr>
              <w:t>Retrieve collocations with category cues</w:t>
            </w:r>
          </w:p>
        </w:tc>
      </w:tr>
      <w:tr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AFB"/>
          </w:tcPr>
          <w:p>
            <w:pPr>
              <w:jc w:val="left"/>
            </w:pPr>
            <w:r>
              <w:rPr>
                <w:rFonts w:ascii="Arial" w:hAnsi="Arial"/>
                <w:color w:val="202B33"/>
                <w:sz w:val="17"/>
              </w:rPr>
              <w:t>Present simple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AFB"/>
          </w:tcPr>
          <w:p>
            <w:pPr>
              <w:jc w:val="left"/>
            </w:pPr>
            <w:r>
              <w:rPr>
                <w:rFonts w:ascii="Arial" w:hAnsi="Arial"/>
                <w:color w:val="202B33"/>
                <w:sz w:val="17"/>
              </w:rPr>
              <w:t>Mostly reliable endings</w:t>
            </w:r>
          </w:p>
        </w:tc>
        <w:tc>
          <w:tcPr>
            <w:tcW w:type="dxa" w:w="30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AFB"/>
          </w:tcPr>
          <w:p>
            <w:pPr>
              <w:jc w:val="left"/>
            </w:pPr>
            <w:r>
              <w:rPr>
                <w:rFonts w:ascii="Arial" w:hAnsi="Arial"/>
                <w:color w:val="202B33"/>
                <w:sz w:val="17"/>
              </w:rPr>
              <w:t>Errors obscure who does the action</w:t>
            </w:r>
          </w:p>
        </w:tc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AFB"/>
          </w:tcPr>
          <w:p>
            <w:pPr>
              <w:jc w:val="left"/>
            </w:pPr>
            <w:r>
              <w:rPr>
                <w:rFonts w:ascii="Arial" w:hAnsi="Arial"/>
                <w:color w:val="202B33"/>
                <w:sz w:val="17"/>
              </w:rPr>
              <w:t>Underline subject before the verb</w:t>
            </w:r>
          </w:p>
        </w:tc>
      </w:tr>
      <w:tr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202B33"/>
                <w:sz w:val="17"/>
              </w:rPr>
              <w:t>Organization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202B33"/>
                <w:sz w:val="17"/>
              </w:rPr>
              <w:t>Clear sequence + reason</w:t>
            </w:r>
          </w:p>
        </w:tc>
        <w:tc>
          <w:tcPr>
            <w:tcW w:type="dxa" w:w="30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202B33"/>
                <w:sz w:val="17"/>
              </w:rPr>
              <w:t>List-like or hard to follow</w:t>
            </w:r>
          </w:p>
        </w:tc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202B33"/>
                <w:sz w:val="17"/>
              </w:rPr>
              <w:t>Restore four-part keyword frame</w:t>
            </w:r>
          </w:p>
        </w:tc>
      </w:tr>
      <w:tr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AFB"/>
          </w:tcPr>
          <w:p>
            <w:pPr>
              <w:jc w:val="left"/>
            </w:pPr>
            <w:r>
              <w:rPr>
                <w:rFonts w:ascii="Arial" w:hAnsi="Arial"/>
                <w:color w:val="202B33"/>
                <w:sz w:val="17"/>
              </w:rPr>
              <w:t>Delivery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AFB"/>
          </w:tcPr>
          <w:p>
            <w:pPr>
              <w:jc w:val="left"/>
            </w:pPr>
            <w:r>
              <w:rPr>
                <w:rFonts w:ascii="Arial" w:hAnsi="Arial"/>
                <w:color w:val="202B33"/>
                <w:sz w:val="17"/>
              </w:rPr>
              <w:t>60–90 sec; understandable</w:t>
            </w:r>
          </w:p>
        </w:tc>
        <w:tc>
          <w:tcPr>
            <w:tcW w:type="dxa" w:w="30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AFB"/>
          </w:tcPr>
          <w:p>
            <w:pPr>
              <w:jc w:val="left"/>
            </w:pPr>
            <w:r>
              <w:rPr>
                <w:rFonts w:ascii="Arial" w:hAnsi="Arial"/>
                <w:color w:val="202B33"/>
                <w:sz w:val="17"/>
              </w:rPr>
              <w:t>Very short / full-script reading</w:t>
            </w:r>
          </w:p>
        </w:tc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AFB"/>
          </w:tcPr>
          <w:p>
            <w:pPr>
              <w:jc w:val="left"/>
            </w:pPr>
            <w:r>
              <w:rPr>
                <w:rFonts w:ascii="Arial" w:hAnsi="Arial"/>
                <w:color w:val="202B33"/>
                <w:sz w:val="17"/>
              </w:rPr>
              <w:t>Rehearse from six keywords</w:t>
            </w:r>
          </w:p>
        </w:tc>
      </w:tr>
      <w:tr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202B33"/>
                <w:sz w:val="17"/>
              </w:rPr>
              <w:t>Redo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202B33"/>
                <w:sz w:val="17"/>
              </w:rPr>
              <w:t>Visible improvement</w:t>
            </w:r>
          </w:p>
        </w:tc>
        <w:tc>
          <w:tcPr>
            <w:tcW w:type="dxa" w:w="30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202B33"/>
                <w:sz w:val="17"/>
              </w:rPr>
              <w:t>Same error pattern</w:t>
            </w:r>
          </w:p>
        </w:tc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202B33"/>
                <w:sz w:val="17"/>
              </w:rPr>
              <w:t>Give one model and shorten the retry</w:t>
            </w:r>
          </w:p>
        </w:tc>
      </w:tr>
    </w:tbl>
    <w:p>
      <w:pPr>
        <w:pStyle w:val="Heading1"/>
      </w:pPr>
      <w:r>
        <w:t>Homework evidence</w:t>
      </w:r>
    </w:p>
    <w:p>
      <w:pPr>
        <w:pStyle w:val="ListBullet"/>
        <w:spacing w:after="60"/>
      </w:pPr>
      <w:r>
        <w:t>Content: 8–10 relevant sentences about a typical weekday.</w:t>
      </w:r>
    </w:p>
    <w:p>
      <w:pPr>
        <w:pStyle w:val="ListBullet"/>
        <w:spacing w:after="60"/>
      </w:pPr>
      <w:r>
        <w:t>Language: 6 routine phrases, 3 frequency adverbs, mostly reliable present simple.</w:t>
      </w:r>
    </w:p>
    <w:p>
      <w:pPr>
        <w:pStyle w:val="ListBullet"/>
        <w:spacing w:after="60"/>
      </w:pPr>
      <w:r>
        <w:t>Organization: sequencing words and a final preference/reason.</w:t>
      </w:r>
    </w:p>
    <w:p>
      <w:pPr>
        <w:pStyle w:val="ListBullet"/>
        <w:spacing w:after="60"/>
      </w:pPr>
      <w:r>
        <w:t>Audio: 60–90 seconds from keywords, not a read-aloud of the paragraph.</w:t>
      </w:r>
    </w:p>
    <w:p>
      <w:pPr>
        <w:pStyle w:val="ListBullet"/>
        <w:spacing w:after="60"/>
      </w:pPr>
      <w:r>
        <w:t>Metacognition: one uncertain sentence marked for discussion.</w:t>
      </w:r>
    </w:p>
    <w:p>
      <w:pPr>
        <w:pStyle w:val="Heading1"/>
      </w:pPr>
      <w:r>
        <w:t>Lesson 2 starting point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4752"/>
            <w:shd w:fill="17324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Evidence from Lesson 1</w:t>
            </w:r>
          </w:p>
        </w:tc>
        <w:tc>
          <w:tcPr>
            <w:tcW w:type="dxa" w:w="5040"/>
            <w:shd w:fill="17324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Start Lesson 2 with</w:t>
            </w:r>
          </w:p>
        </w:tc>
      </w:tr>
      <w:tr>
        <w:tc>
          <w:tcPr>
            <w:tcW w:type="dxa" w:w="47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202B33"/>
                <w:sz w:val="17"/>
              </w:rPr>
              <w:t>Vocabulary below 6/10 independently</w:t>
            </w:r>
          </w:p>
        </w:tc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202B33"/>
                <w:sz w:val="17"/>
              </w:rPr>
              <w:t>Six-item phrase retrieval + oral categorization</w:t>
            </w:r>
          </w:p>
        </w:tc>
      </w:tr>
      <w:tr>
        <w:tc>
          <w:tcPr>
            <w:tcW w:type="dxa" w:w="47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AFB"/>
          </w:tcPr>
          <w:p>
            <w:pPr>
              <w:jc w:val="left"/>
            </w:pPr>
            <w:r>
              <w:rPr>
                <w:rFonts w:ascii="Arial" w:hAnsi="Arial"/>
                <w:color w:val="202B33"/>
                <w:sz w:val="17"/>
              </w:rPr>
              <w:t>Grammar below 7/10</w:t>
            </w:r>
          </w:p>
        </w:tc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AFB"/>
          </w:tcPr>
          <w:p>
            <w:pPr>
              <w:jc w:val="left"/>
            </w:pPr>
            <w:r>
              <w:rPr>
                <w:rFonts w:ascii="Arial" w:hAnsi="Arial"/>
                <w:color w:val="202B33"/>
                <w:sz w:val="17"/>
              </w:rPr>
              <w:t>Subject–verb sorting + completion problem</w:t>
            </w:r>
          </w:p>
        </w:tc>
      </w:tr>
      <w:tr>
        <w:tc>
          <w:tcPr>
            <w:tcW w:type="dxa" w:w="47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202B33"/>
                <w:sz w:val="17"/>
              </w:rPr>
              <w:t>Reading below 5/7</w:t>
            </w:r>
          </w:p>
        </w:tc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202B33"/>
                <w:sz w:val="17"/>
              </w:rPr>
              <w:t>Question word → keyword → proof routine</w:t>
            </w:r>
          </w:p>
        </w:tc>
      </w:tr>
      <w:tr>
        <w:tc>
          <w:tcPr>
            <w:tcW w:type="dxa" w:w="47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AFB"/>
          </w:tcPr>
          <w:p>
            <w:pPr>
              <w:jc w:val="left"/>
            </w:pPr>
            <w:r>
              <w:rPr>
                <w:rFonts w:ascii="Arial" w:hAnsi="Arial"/>
                <w:color w:val="202B33"/>
                <w:sz w:val="17"/>
              </w:rPr>
              <w:t>All core thresholds met</w:t>
            </w:r>
          </w:p>
        </w:tc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AFB"/>
          </w:tcPr>
          <w:p>
            <w:pPr>
              <w:jc w:val="left"/>
            </w:pPr>
            <w:r>
              <w:rPr>
                <w:rFonts w:ascii="Arial" w:hAnsi="Arial"/>
                <w:color w:val="202B33"/>
                <w:sz w:val="17"/>
              </w:rPr>
              <w:t>Telling the time + far-transfer weekday comparison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tcMar>
              <w:top w:w="110" w:type="dxa"/>
              <w:start w:w="150" w:type="dxa"/>
              <w:bottom w:w="110" w:type="dxa"/>
              <w:end w:w="150" w:type="dxa"/>
            </w:tcMar>
            <w:shd w:fill="F4EEE4"/>
          </w:tcPr>
          <w:p>
            <w:pPr>
              <w:spacing w:after="0"/>
            </w:pPr>
            <w:r>
              <w:rPr>
                <w:rFonts w:ascii="Arial" w:hAnsi="Arial"/>
                <w:b/>
                <w:color w:val="B85435"/>
                <w:sz w:val="18"/>
              </w:rPr>
              <w:t xml:space="preserve">RECORD  </w:t>
            </w:r>
            <w:r>
              <w:rPr>
                <w:rFonts w:ascii="Arial" w:hAnsi="Arial"/>
                <w:color w:val="202B33"/>
                <w:sz w:val="20"/>
              </w:rPr>
              <w:t>Next review: 48–72 hours. Keep exact examples of errors and successful self-corrections; avoid general labels such as weak or careless.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17324D"/>
        <w:sz w:val="16"/>
      </w:rPr>
      <w:t xml:space="preserve">zamery  ·  rooted in strength     |    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</w:p>
  <w:tbl>
    <w:tblPr>
      <w:tblW w:type="dxa" w:w="10224"/>
      <w:jc w:val="left"/>
      <w:tblLayout w:type="fixed"/>
      <w:tblLook w:firstColumn="1" w:firstRow="1" w:lastColumn="0" w:lastRow="0" w:noHBand="0" w:noVBand="1" w:val="04A0"/>
      <w:tblInd w:w="0" w:type="dxa"/>
    </w:tblPr>
    <w:tblGrid>
      <w:gridCol w:w="6500"/>
      <w:gridCol w:w="3724"/>
    </w:tblGrid>
    <w:tr>
      <w:tc>
        <w:tcPr>
          <w:tcW w:type="dxa" w:w="6500"/>
          <w:vAlign w:val="center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jc w:val="left"/>
          </w:pPr>
          <w:r>
            <w:rPr>
              <w:rFonts w:ascii="Arial" w:hAnsi="Arial"/>
              <w:b/>
              <w:color w:val="17324D"/>
              <w:sz w:val="26"/>
            </w:rPr>
            <w:t>zamery</w:t>
          </w:r>
          <w:r>
            <w:rPr>
              <w:rFonts w:ascii="Arial" w:hAnsi="Arial"/>
              <w:i/>
              <w:color w:val="B85435"/>
              <w:sz w:val="16"/>
            </w:rPr>
            <w:t xml:space="preserve">   rooted in strength</w:t>
          </w:r>
        </w:p>
      </w:tc>
      <w:tc>
        <w:tcPr>
          <w:tcW w:type="dxa" w:w="3724"/>
          <w:vAlign w:val="center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jc w:val="right"/>
          </w:pPr>
          <w:r>
            <w:rPr>
              <w:rFonts w:ascii="Arial" w:hAnsi="Arial"/>
              <w:b/>
              <w:color w:val="2B746F"/>
              <w:sz w:val="16"/>
            </w:rPr>
            <w:t>TEACHER ONLY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 w:eastAsia="Arial"/>
      <w:color w:val="202B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7324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2B746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Arial" w:hAnsi="Arial" w:eastAsia="Arial"/>
      <w:b/>
      <w:color w:val="17324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Arial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 w:eastAsia="Arial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