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LESSON COMMAND CENTER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Unit 1 · My Daily Routine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Lesson 1 · Diagnostic + teaching · 105 minutes · Online 1-to-1 · English–Vietnamese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DCEAF2"/>
          </w:tcPr>
          <w:p>
            <w:pPr>
              <w:spacing w:after="0"/>
            </w:pPr>
            <w:r>
              <w:rPr>
                <w:rFonts w:ascii="Arial" w:hAnsi="Arial"/>
                <w:b/>
                <w:color w:val="2B746F"/>
                <w:sz w:val="18"/>
              </w:rPr>
              <w:t xml:space="preserve">SUCCESS EVIDENCE  </w:t>
            </w:r>
            <w:r>
              <w:rPr>
                <w:rFonts w:ascii="Arial" w:hAnsi="Arial"/>
                <w:color w:val="202B33"/>
                <w:sz w:val="20"/>
              </w:rPr>
              <w:t>By the end, the learner can use at least 8 routine phrases, solve 5/7 reading details, form 8/10 present-simple sentences correctly, and speak for 60–90 seconds before and after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Objectives</w:t>
      </w:r>
    </w:p>
    <w:p>
      <w:pPr>
        <w:pStyle w:val="ListBullet"/>
        <w:spacing w:after="60"/>
      </w:pPr>
      <w:r>
        <w:t>U1-L1-O1 · Establish a baseline in vocabulary, grammar, pronunciation and connected speaking.</w:t>
      </w:r>
    </w:p>
    <w:p>
      <w:pPr>
        <w:pStyle w:val="ListBullet"/>
        <w:spacing w:after="60"/>
      </w:pPr>
      <w:r>
        <w:t>U1-L1-O2 · Understand and use everyday-routine collocations.</w:t>
      </w:r>
    </w:p>
    <w:p>
      <w:pPr>
        <w:pStyle w:val="ListBullet"/>
        <w:spacing w:after="60"/>
      </w:pPr>
      <w:r>
        <w:t>U1-L1-O3 · Skim and scan short profiles, then point to evidence.</w:t>
      </w:r>
    </w:p>
    <w:p>
      <w:pPr>
        <w:pStyle w:val="ListBullet"/>
        <w:spacing w:after="60"/>
      </w:pPr>
      <w:r>
        <w:t>U1-L1-O4 · Apply present-simple subject–verb agreement and frequency-adverb placement.</w:t>
      </w:r>
    </w:p>
    <w:p>
      <w:pPr>
        <w:pStyle w:val="ListBullet"/>
        <w:spacing w:after="60"/>
      </w:pPr>
      <w:r>
        <w:t>U1-L1-O5 · Give and improve a 60–90 second talk about an average day.</w:t>
      </w:r>
    </w:p>
    <w:p>
      <w:pPr>
        <w:pStyle w:val="Heading1"/>
      </w:pPr>
      <w:r>
        <w:t>Ready before the learner joins</w:t>
      </w:r>
    </w:p>
    <w:p>
      <w:pPr>
        <w:pStyle w:val="ListBullet"/>
        <w:spacing w:after="60"/>
      </w:pPr>
      <w:r>
        <w:t>Open Unit1 MS_F.pdf at pages 1–4; prepare screen sharing, camera, microphone and timer.</w:t>
      </w:r>
    </w:p>
    <w:p>
      <w:pPr>
        <w:pStyle w:val="ListBullet"/>
        <w:spacing w:after="60"/>
      </w:pPr>
      <w:r>
        <w:t>Keep the diagnostic sheet and observation grid open, but do not teach or correct during the baseline sample.</w:t>
      </w:r>
    </w:p>
    <w:p>
      <w:pPr>
        <w:pStyle w:val="ListBullet"/>
        <w:spacing w:after="60"/>
      </w:pPr>
      <w:r>
        <w:t>Prepare a shared board with three zones: ROUTINES · CLUES · MY DAY.</w:t>
      </w:r>
    </w:p>
    <w:p>
      <w:pPr>
        <w:pStyle w:val="ListBullet"/>
        <w:spacing w:after="60"/>
      </w:pPr>
      <w:r>
        <w:t>Tell the learner: This first check is not a grade; it helps us choose what to practise.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F4EEE4"/>
          </w:tcPr>
          <w:p>
            <w:pPr>
              <w:spacing w:after="0"/>
            </w:pPr>
            <w:r>
              <w:rPr>
                <w:rFonts w:ascii="Arial" w:hAnsi="Arial"/>
                <w:b/>
                <w:color w:val="B85435"/>
                <w:sz w:val="18"/>
              </w:rPr>
              <w:t xml:space="preserve">WATCH FOR  </w:t>
            </w:r>
            <w:r>
              <w:rPr>
                <w:rFonts w:ascii="Arial" w:hAnsi="Arial"/>
                <w:color w:val="202B33"/>
                <w:sz w:val="20"/>
              </w:rPr>
              <w:t>I gets up; she get up; he watch; I am go; always after be vs before most verbs; catch/go the bus; do/make dinner.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TEACH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Minute-by-minute control surface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Keep the diagnostic clean; teach only after minute 30.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9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</w:t>
            </w:r>
          </w:p>
        </w:tc>
        <w:tc>
          <w:tcPr>
            <w:tcW w:type="dxa" w:w="43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Teacher move</w:t>
            </w:r>
          </w:p>
        </w:tc>
        <w:tc>
          <w:tcPr>
            <w:tcW w:type="dxa" w:w="319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Student evidence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Launch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5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Set success criteria. Ask: What do you usually do before school?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One spontaneous answer; willingness to speak.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Vocabulary baseline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12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Show routine prompts. Ask for phrase, sentence and pronunciation. No correction yet.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Independent recall vs recognition; final sounds.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Grammar + speaking baseline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13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Use six wrong sentences and a 30-second day prompt. Record exact errors.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Error detection, reason, self-correction, fluency.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Build vocabulary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10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Group phrases by morning / school / evening. Model collocations, then fade word bank.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8/10 phrases used in a personal sentence.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Read for evidence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15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Use textbook profiles: skim for person/place, scan for time/action, underline proof.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At least 5/7 details plus a text clue.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Notice the rule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15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Contrast I get / she gets; watch / watches; try / tries; place always/usually.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Learner states a usable rule and tests it.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Controlled practice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10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Set ten items. Check in clusters of three; ask Which clue forced your choice?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8/10 correct or clear recovery after cue.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Guided speaking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10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Plan keywords only; compare learner with one profile using but / after that.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Six routines + two frequency adverbs.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Speak → feedback → redo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10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Time 60–90 seconds. Give one grammar and one communication priority, then repeat.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Second attempt is measurably clearer or more accurate.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Exit + next step</w:t>
            </w:r>
          </w:p>
        </w:tc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5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Three-item exit check; assign writing and audio homework.</w:t>
            </w:r>
          </w:p>
        </w:tc>
        <w:tc>
          <w:tcPr>
            <w:tcW w:type="dxa" w:w="31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Concrete next action based on evidence.</w:t>
            </w:r>
          </w:p>
        </w:tc>
      </w:tr>
    </w:tbl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RESPOND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Board plan and decision cues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Minimal writing; visible clues; support fades as evidence improves.</w:t>
      </w:r>
    </w:p>
    <w:p>
      <w:pPr>
        <w:pStyle w:val="Heading1"/>
      </w:pPr>
      <w:r>
        <w:t>Board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ROUTINES</w:t>
            </w:r>
          </w:p>
        </w:tc>
        <w:tc>
          <w:tcPr>
            <w:tcW w:type="dxa" w:w="3384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CLUES</w:t>
            </w:r>
          </w:p>
        </w:tc>
        <w:tc>
          <w:tcPr>
            <w:tcW w:type="dxa" w:w="3168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MY DAY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get up · have breakfast</w:t>
              <w:br/>
              <w:t>catch the bus · study</w:t>
              <w:br/>
              <w:t>go online · go to bed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I/you/we/they → base</w:t>
              <w:br/>
              <w:t>he/she/it → -s/-es/-ies</w:t>
              <w:br/>
              <w:t>always before most verbs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First…</w:t>
              <w:br/>
              <w:t>After that…</w:t>
              <w:br/>
              <w:t>I usually…</w:t>
              <w:br/>
              <w:t>What I enjoy most is…</w:t>
            </w:r>
          </w:p>
        </w:tc>
      </w:tr>
    </w:tbl>
    <w:p>
      <w:pPr>
        <w:pStyle w:val="Heading1"/>
      </w:pPr>
      <w:r>
        <w:t>Hinge questions</w:t>
      </w:r>
    </w:p>
    <w:p>
      <w:pPr>
        <w:pStyle w:val="ListBullet"/>
        <w:spacing w:after="60"/>
      </w:pPr>
      <w:r>
        <w:t>Which is correct: She studies / She studys? What happens to consonant + y?</w:t>
      </w:r>
    </w:p>
    <w:p>
      <w:pPr>
        <w:pStyle w:val="ListBullet"/>
        <w:spacing w:after="60"/>
      </w:pPr>
      <w:r>
        <w:t>Where does usually go in He ___ watches TV? What changes with the verb be?</w:t>
      </w:r>
    </w:p>
    <w:p>
      <w:pPr>
        <w:pStyle w:val="ListBullet"/>
        <w:spacing w:after="60"/>
      </w:pPr>
      <w:r>
        <w:t>Which phrase is a collocation: catch the bus / catch to the bus / go the bus?</w:t>
      </w:r>
    </w:p>
    <w:p>
      <w:pPr>
        <w:pStyle w:val="ListBullet"/>
        <w:spacing w:after="60"/>
      </w:pPr>
      <w:r>
        <w:t>Can you point to the exact words in the reading that prove your answer?</w:t>
      </w:r>
    </w:p>
    <w:p>
      <w:pPr>
        <w:pStyle w:val="Heading1"/>
      </w:pPr>
      <w:r>
        <w:t>Smallest useful 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6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Teacher move</w:t>
            </w:r>
          </w:p>
        </w:tc>
        <w:tc>
          <w:tcPr>
            <w:tcW w:type="dxa" w:w="295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Do not do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Cannot recall phrase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Give first word or category; ask again after two items.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Immediately provide the full sentence.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Knows rule, misses ending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Underline subject; ask: one person or more?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Re-teach every present-simple rule.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Speaking overload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Allow six keywords and 30 seconds planning.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Let the learner read a full script.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Quick mastery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Remove word bank; require comparison and a follow-up question.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Add unrelated grammar.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F4EEE4"/>
          </w:tcPr>
          <w:p>
            <w:pPr>
              <w:spacing w:after="0"/>
            </w:pPr>
            <w:r>
              <w:rPr>
                <w:rFonts w:ascii="Arial" w:hAnsi="Arial"/>
                <w:b/>
                <w:color w:val="B85435"/>
                <w:sz w:val="18"/>
              </w:rPr>
              <w:t xml:space="preserve">TRANSITION  </w:t>
            </w:r>
            <w:r>
              <w:rPr>
                <w:rFonts w:ascii="Arial" w:hAnsi="Arial"/>
                <w:color w:val="202B33"/>
                <w:sz w:val="20"/>
              </w:rPr>
              <w:t>At minute 30 say: I have enough evidence. Now we will use the clues to make your English more reliable.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EVIDENCE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Observation and follow-up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Use evidence to choose the next lesson, not to assign an IELTS band.</w:t>
      </w:r>
    </w:p>
    <w:p>
      <w:pPr>
        <w:pStyle w:val="Heading1"/>
      </w:pPr>
      <w:r>
        <w:t>Live observation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1123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Independent</w:t>
            </w:r>
          </w:p>
        </w:tc>
        <w:tc>
          <w:tcPr>
            <w:tcW w:type="dxa" w:w="10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With cue</w:t>
            </w:r>
          </w:p>
        </w:tc>
        <w:tc>
          <w:tcPr>
            <w:tcW w:type="dxa" w:w="10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Not yet</w:t>
            </w:r>
          </w:p>
        </w:tc>
        <w:tc>
          <w:tcPr>
            <w:tcW w:type="dxa" w:w="44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Evidence note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Routine collocations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Third-person forms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Adverb placement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Reading evidence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60–90 sec speaking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Self-correction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□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________________________</w:t>
            </w:r>
          </w:p>
        </w:tc>
      </w:tr>
    </w:tbl>
    <w:p>
      <w:pPr>
        <w:pStyle w:val="Heading1"/>
      </w:pPr>
      <w:r>
        <w:t>Decision after the lesson</w:t>
      </w:r>
    </w:p>
    <w:p>
      <w:pPr>
        <w:pStyle w:val="ListBullet"/>
        <w:spacing w:after="60"/>
      </w:pPr>
      <w:r>
        <w:t>If vocabulary &lt; 6/10 independently: retrieve the same phrases next lesson before adding time expressions.</w:t>
      </w:r>
    </w:p>
    <w:p>
      <w:pPr>
        <w:pStyle w:val="ListBullet"/>
        <w:spacing w:after="60"/>
      </w:pPr>
      <w:r>
        <w:t>If grammar &lt; 7/10: begin Lesson 2 with subject–verb sorting and a completion problem.</w:t>
      </w:r>
    </w:p>
    <w:p>
      <w:pPr>
        <w:pStyle w:val="ListBullet"/>
        <w:spacing w:after="60"/>
      </w:pPr>
      <w:r>
        <w:t>If reading &lt; 5/7: teach question-word → keyword → evidence before longer texts.</w:t>
      </w:r>
    </w:p>
    <w:p>
      <w:pPr>
        <w:pStyle w:val="ListBullet"/>
        <w:spacing w:after="60"/>
      </w:pPr>
      <w:r>
        <w:t>If redo improves: keep feedback to two priorities. If not, restore one scaffold and repeat a shorter talk.</w:t>
      </w:r>
    </w:p>
    <w:p>
      <w:pPr>
        <w:pStyle w:val="Heading1"/>
      </w:pPr>
      <w:r>
        <w:t>Spaced retrieval</w:t>
      </w:r>
    </w:p>
    <w:p>
      <w:pPr>
        <w:pStyle w:val="ListBullet"/>
        <w:spacing w:after="60"/>
      </w:pPr>
      <w:r>
        <w:t>Within 48–72 hours: six-item mixed retrieval quiz.</w:t>
      </w:r>
    </w:p>
    <w:p>
      <w:pPr>
        <w:pStyle w:val="ListBullet"/>
        <w:spacing w:after="60"/>
      </w:pPr>
      <w:r>
        <w:t>One week later: describe a different weekday without the model.</w:t>
      </w:r>
    </w:p>
    <w:p>
      <w:pPr>
        <w:pStyle w:val="ListBullet"/>
        <w:spacing w:after="60"/>
      </w:pPr>
      <w:r>
        <w:t>Two weeks later: compare school-day and weekend routines using evidence-rich sentences.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F4EEE4"/>
          </w:tcPr>
          <w:p>
            <w:pPr>
              <w:spacing w:after="0"/>
            </w:pPr>
            <w:r>
              <w:rPr>
                <w:rFonts w:ascii="Arial" w:hAnsi="Arial"/>
                <w:b/>
                <w:color w:val="B85435"/>
                <w:sz w:val="18"/>
              </w:rPr>
              <w:t xml:space="preserve">TEACHER NOTE  </w:t>
            </w:r>
            <w:r>
              <w:rPr>
                <w:rFonts w:ascii="Arial" w:hAnsi="Arial"/>
                <w:color w:val="202B33"/>
                <w:sz w:val="20"/>
              </w:rPr>
              <w:t>The learner’s estimated IELTS 3.0–3.5 is background context only. This lesson does not generate a certified CEFR or IELTS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7324D"/>
        <w:sz w:val="16"/>
      </w:rPr>
      <w:t xml:space="preserve">zamery  ·  rooted in strength     |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TEACHER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