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B85435"/>
          <w:sz w:val="18"/>
        </w:rPr>
        <w:t>TEACHER ONLY</w:t>
      </w:r>
    </w:p>
    <w:p>
      <w:pPr>
        <w:pStyle w:val="Title"/>
      </w:pPr>
      <w:r>
        <w:t>{{ exam_title }} · Administration guide</w:t>
      </w:r>
    </w:p>
    <w:p>
      <w:pPr>
        <w:spacing w:after="240"/>
      </w:pPr>
      <w:r>
        <w:rPr>
          <w:rFonts w:ascii="Arial" w:hAnsi="Arial"/>
          <w:color w:val="2B746F"/>
          <w:sz w:val="22"/>
        </w:rPr>
        <w:t>{{ form_ids }}  •  {{ duration }}  •  {{ item_count }} items</w:t>
      </w:r>
    </w:p>
    <w:p>
      <w:pPr>
        <w:shd w:fill="F4EEE4"/>
        <w:pBdr>
          <w:left w:val="single" w:sz="18" w:space="8" w:color="B85435"/>
        </w:pBdr>
        <w:spacing w:before="80" w:after="160"/>
        <w:ind w:left="173" w:right="173"/>
      </w:pPr>
      <w:r>
        <w:rPr>
          <w:rFonts w:ascii="Arial" w:hAnsi="Arial"/>
          <w:b/>
          <w:color w:val="B85435"/>
          <w:sz w:val="19"/>
        </w:rPr>
        <w:t xml:space="preserve">SECURITY  </w:t>
      </w:r>
      <w:r>
        <w:rPr>
          <w:rFonts w:ascii="Arial" w:hAnsi="Arial"/>
          <w:color w:val="202B33"/>
          <w:sz w:val="21"/>
        </w:rPr>
        <w:t>Keep student papers, answer sheets, keys, and form manifests separated before and after administration.</w:t>
      </w:r>
    </w:p>
    <w:p>
      <w:pPr>
        <w:pStyle w:val="Heading1"/>
      </w:pPr>
      <w:r>
        <w:t>Before students enter</w:t>
      </w:r>
    </w:p>
    <w:p>
      <w:pPr>
        <w:pStyle w:val="ListBullet"/>
        <w:spacing w:after="60"/>
      </w:pPr>
      <w:r>
        <w:t>Verify form labels and page counts.</w:t>
      </w:r>
    </w:p>
    <w:p>
      <w:pPr>
        <w:pStyle w:val="ListBullet"/>
        <w:spacing w:after="60"/>
      </w:pPr>
      <w:r>
        <w:t>Prepare accommodations without changing the construct.</w:t>
      </w:r>
    </w:p>
    <w:p>
      <w:pPr>
        <w:pStyle w:val="ListBullet"/>
        <w:spacing w:after="60"/>
      </w:pPr>
      <w:r>
        <w:t>Check permitted materials and room setup.</w:t>
      </w:r>
    </w:p>
    <w:p>
      <w:pPr>
        <w:pStyle w:val="Heading1"/>
      </w:pPr>
      <w:r>
        <w:t>Timing and script</w:t>
      </w:r>
    </w:p>
    <w:tbl>
      <w:tblPr>
        <w:tblStyle w:val="TableGrid"/>
        <w:tblW w:type="dxa" w:w="10224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40"/>
        <w:gridCol w:w="5521"/>
        <w:gridCol w:w="2863"/>
      </w:tblGrid>
      <w:tr>
        <w:trPr>
          <w:tblHeader w:val="true"/>
        </w:trP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Time</w:t>
            </w:r>
          </w:p>
        </w:tc>
        <w:tc>
          <w:tcPr>
            <w:tcW w:type="dxa" w:w="55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Read / do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CEAF2"/>
          </w:tcPr>
          <w:p>
            <w:r>
              <w:rPr>
                <w:rFonts w:ascii="Arial" w:hAnsi="Arial"/>
                <w:b/>
                <w:color w:val="17324D"/>
                <w:sz w:val="19"/>
              </w:rPr>
              <w:t>Record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time }}</w:t>
            </w:r>
          </w:p>
        </w:tc>
        <w:tc>
          <w:tcPr>
            <w:tcW w:type="dxa" w:w="55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Start: {{ standardized script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incident / absence }}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time }}</w:t>
            </w:r>
          </w:p>
        </w:tc>
        <w:tc>
          <w:tcPr>
            <w:tcW w:type="dxa" w:w="55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Section change: {{ standardized script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incident / absence }}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time }}</w:t>
            </w:r>
          </w:p>
        </w:tc>
        <w:tc>
          <w:tcPr>
            <w:tcW w:type="dxa" w:w="55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10 minutes left: {{ standardized script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incident / absence }}</w:t>
            </w:r>
          </w:p>
        </w:tc>
      </w:tr>
      <w:tr>
        <w:tc>
          <w:tcPr>
            <w:tcW w:type="dxa" w:w="1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time }}</w:t>
            </w:r>
          </w:p>
        </w:tc>
        <w:tc>
          <w:tcPr>
            <w:tcW w:type="dxa" w:w="55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Stop: {{ standardized script }}</w:t>
            </w:r>
          </w:p>
        </w:tc>
        <w:tc>
          <w:tcPr>
            <w:tcW w:type="dxa" w:w="28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{{ incident / absence }}</w:t>
            </w:r>
          </w:p>
        </w:tc>
      </w:tr>
    </w:tbl>
    <w:p>
      <w:pPr>
        <w:pStyle w:val="Heading1"/>
      </w:pPr>
      <w:r>
        <w:t>After the assessment</w:t>
      </w:r>
    </w:p>
    <w:p>
      <w:pPr>
        <w:pStyle w:val="ListBullet"/>
        <w:spacing w:after="60"/>
      </w:pPr>
      <w:r>
        <w:t>Count and reconcile every paper.</w:t>
      </w:r>
    </w:p>
    <w:p>
      <w:pPr>
        <w:pStyle w:val="ListBullet"/>
        <w:spacing w:after="60"/>
      </w:pPr>
      <w:r>
        <w:t>Store answer data separately from student files.</w:t>
      </w:r>
    </w:p>
    <w:p>
      <w:pPr>
        <w:pStyle w:val="ListBullet"/>
        <w:spacing w:after="60"/>
      </w:pPr>
      <w:r>
        <w:t>Record incidents before scoring.</w:t>
      </w:r>
    </w:p>
    <w:p>
      <w:pPr>
        <w:pStyle w:val="Heading1"/>
      </w:pPr>
      <w:r>
        <w:t>Incident log</w:t>
      </w:r>
    </w:p>
    <w:p>
      <w:pPr>
        <w:shd w:fill="DCEAF2"/>
        <w:pBdr>
          <w:left w:val="single" w:sz="18" w:space="8" w:color="2B746F"/>
        </w:pBdr>
        <w:spacing w:before="80" w:after="160"/>
        <w:ind w:left="173" w:right="173"/>
      </w:pPr>
      <w:r>
        <w:rPr>
          <w:rFonts w:ascii="Arial" w:hAnsi="Arial"/>
          <w:b/>
          <w:color w:val="2B746F"/>
          <w:sz w:val="19"/>
        </w:rPr>
        <w:t xml:space="preserve">RECORD  </w:t>
      </w:r>
      <w:r>
        <w:rPr>
          <w:rFonts w:ascii="Arial" w:hAnsi="Arial"/>
          <w:color w:val="202B33"/>
          <w:sz w:val="21"/>
        </w:rPr>
        <w:t>Candidate __________  Time ______  Event ____________________  Action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17324D"/>
        <w:sz w:val="16"/>
      </w:rPr>
      <w:t xml:space="preserve">zamery  •  rooted in strength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10224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3724"/>
    </w:tblGrid>
    <w:tr>
      <w:tc>
        <w:tcPr>
          <w:tcW w:type="dxa" w:w="650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rial" w:hAnsi="Arial"/>
              <w:b/>
              <w:color w:val="17324D"/>
              <w:sz w:val="26"/>
            </w:rPr>
            <w:t>zamery</w:t>
          </w:r>
          <w:r>
            <w:rPr>
              <w:rFonts w:ascii="Arial" w:hAnsi="Arial"/>
              <w:i/>
              <w:color w:val="B85435"/>
              <w:sz w:val="16"/>
            </w:rPr>
            <w:t xml:space="preserve">   rooted in strength</w:t>
          </w:r>
        </w:p>
      </w:tc>
      <w:tc>
        <w:tcPr>
          <w:tcW w:type="dxa" w:w="372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rial" w:hAnsi="Arial"/>
              <w:b/>
              <w:color w:val="2B746F"/>
              <w:sz w:val="16"/>
            </w:rPr>
            <w:t>ADMINISTRATION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B74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