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B85435"/>
          <w:sz w:val="18"/>
        </w:rPr>
        <w:t>TEACHER ONLY</w:t>
      </w:r>
    </w:p>
    <w:p>
      <w:pPr>
        <w:pStyle w:val="Title"/>
      </w:pPr>
      <w:r>
        <w:t>{{ answer_key_title }}</w:t>
      </w:r>
    </w:p>
    <w:p>
      <w:pPr>
        <w:spacing w:after="240"/>
      </w:pPr>
      <w:r>
        <w:rPr>
          <w:rFonts w:ascii="Arial" w:hAnsi="Arial"/>
          <w:color w:val="2B746F"/>
          <w:sz w:val="22"/>
        </w:rPr>
        <w:t>Source: {{ source_artifact_id }}  •  Version {{ source_version }}</w:t>
      </w:r>
    </w:p>
    <w:p>
      <w:pPr>
        <w:shd w:fill="F4EEE4"/>
        <w:pBdr>
          <w:left w:val="single" w:sz="18" w:space="8" w:color="B85435"/>
        </w:pBdr>
        <w:spacing w:before="80" w:after="160"/>
        <w:ind w:left="173" w:right="173"/>
      </w:pPr>
      <w:r>
        <w:rPr>
          <w:rFonts w:ascii="Arial" w:hAnsi="Arial"/>
          <w:b/>
          <w:color w:val="B85435"/>
          <w:sz w:val="19"/>
        </w:rPr>
        <w:t xml:space="preserve">MARKING PRINCIPLE  </w:t>
      </w:r>
      <w:r>
        <w:rPr>
          <w:rFonts w:ascii="Arial" w:hAnsi="Arial"/>
          <w:color w:val="202B33"/>
          <w:sz w:val="21"/>
        </w:rPr>
        <w:t>{{ answer authority and accepted alternatives }}</w:t>
      </w:r>
    </w:p>
    <w:tbl>
      <w:tblPr>
        <w:tblStyle w:val="TableGrid"/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22"/>
        <w:gridCol w:w="2863"/>
        <w:gridCol w:w="6339"/>
      </w:tblGrid>
      <w:tr>
        <w:trPr>
          <w:tblHeader w:val="true"/>
        </w:trP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EE4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Item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EE4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Answer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EE4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Clue / rationale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evidence, accepted alternative, or misconception note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evidence, accepted alternative, or misconception note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evidence, accepted alternative, or misconception note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evidence, accepted alternative, or misconception note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evidence, accepted alternative, or misconception note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evidence, accepted alternative, or misconception note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evidence, accepted alternative, or misconception note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evidence, accepted alternative, or misconception note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evidence, accepted alternative, or misconception note }}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answer }}</w:t>
            </w:r>
          </w:p>
        </w:tc>
        <w:tc>
          <w:tcPr>
            <w:tcW w:type="dxa" w:w="63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evidence, accepted alternative, or misconception note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17324D"/>
        <w:sz w:val="16"/>
      </w:rPr>
      <w:t xml:space="preserve">zamery  •  rooted in strength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TEACHER ONLY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