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A7" w:rsidRDefault="00624BF1" w:rsidP="000029A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The Accounting Information System</w:t>
      </w:r>
      <w:r w:rsidR="006535B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Handout</w:t>
      </w:r>
    </w:p>
    <w:p w:rsidR="000029A7" w:rsidRPr="000029A7" w:rsidRDefault="000029A7" w:rsidP="000029A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:rsidR="003B26BC" w:rsidRDefault="003B26BC" w:rsidP="003B26BC">
      <w:pPr>
        <w:pStyle w:val="NormalWeb"/>
        <w:shd w:val="clear" w:color="auto" w:fill="E3EFF5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inherit" w:hAnsi="inherit"/>
          <w:i/>
          <w:iCs/>
          <w:color w:val="000000"/>
          <w:bdr w:val="none" w:sz="0" w:space="0" w:color="auto" w:frame="1"/>
        </w:rPr>
        <w:t>Identify financial accounting concepts and principles</w:t>
      </w:r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r>
        <w:rPr>
          <w:rStyle w:val="orangeback1"/>
          <w:rFonts w:ascii="inherit" w:hAnsi="inherit"/>
          <w:b/>
          <w:bCs/>
          <w:color w:val="FFFFFF"/>
          <w:bdr w:val="none" w:sz="0" w:space="0" w:color="auto" w:frame="1"/>
          <w:shd w:val="clear" w:color="auto" w:fill="B22222"/>
        </w:rPr>
        <w:t>DO IT! 3.1</w:t>
      </w:r>
      <w:r>
        <w:rPr>
          <w:rFonts w:ascii="Georgia" w:hAnsi="Georgia"/>
          <w:color w:val="000000"/>
        </w:rPr>
        <w:t> The following characteristics, assumptions, principles, and constraint guide the FASB when it creates accounting standards.</w:t>
      </w:r>
    </w:p>
    <w:tbl>
      <w:tblPr>
        <w:tblW w:w="4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</w:tblGrid>
      <w:tr w:rsidR="003B26BC" w:rsidTr="003B2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a.</w:t>
            </w:r>
            <w:r>
              <w:t>Relevance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b.</w:t>
            </w:r>
            <w:r>
              <w:t>Faithful representation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c.</w:t>
            </w:r>
            <w:r>
              <w:t>Comparability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d.</w:t>
            </w:r>
            <w:r>
              <w:t>Consistency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e.</w:t>
            </w:r>
            <w:r>
              <w:t>Monetary unit assumption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f.</w:t>
            </w:r>
            <w:r>
              <w:t>Economic entity assumption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g.</w:t>
            </w:r>
            <w:r>
              <w:t>Periodicity assumption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h.</w:t>
            </w:r>
            <w:r>
              <w:t>Going concern assumption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i.</w:t>
            </w:r>
            <w:r>
              <w:t>Historical cost principle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j.</w:t>
            </w:r>
            <w:r>
              <w:t>Full disclosure principle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k.</w:t>
            </w:r>
            <w:r>
              <w:t>Materiality</w:t>
            </w:r>
          </w:p>
          <w:p w:rsidR="003B26BC" w:rsidRDefault="003B26BC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label"/>
                <w:bdr w:val="none" w:sz="0" w:space="0" w:color="auto" w:frame="1"/>
              </w:rPr>
              <w:t>l.</w:t>
            </w:r>
            <w:r>
              <w:t>Cost constraint</w:t>
            </w:r>
          </w:p>
        </w:tc>
      </w:tr>
    </w:tbl>
    <w:p w:rsidR="003B26BC" w:rsidRDefault="003B26BC" w:rsidP="003B26BC">
      <w:pPr>
        <w:pStyle w:val="NormalWeb"/>
        <w:shd w:val="clear" w:color="auto" w:fill="E3EFF5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Match each item above with a description below.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1.</w:t>
      </w:r>
      <w:r>
        <w:rPr>
          <w:rFonts w:ascii="Georgia" w:hAnsi="Georgia"/>
          <w:color w:val="000000"/>
        </w:rPr>
        <w:t>_____ Items not easily quantified in dollar terms are not reported in the financial statements.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2.</w:t>
      </w:r>
      <w:r>
        <w:rPr>
          <w:rFonts w:ascii="Georgia" w:hAnsi="Georgia"/>
          <w:color w:val="000000"/>
        </w:rPr>
        <w:t>_____ Accounting information must be complete, neutral, and free from error.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3.</w:t>
      </w:r>
      <w:r>
        <w:rPr>
          <w:rFonts w:ascii="Georgia" w:hAnsi="Georgia"/>
          <w:color w:val="000000"/>
        </w:rPr>
        <w:t>_____ Personal transactions are not mixed with the company's transactions.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4.</w:t>
      </w:r>
      <w:r>
        <w:rPr>
          <w:rFonts w:ascii="Georgia" w:hAnsi="Georgia"/>
          <w:color w:val="000000"/>
        </w:rPr>
        <w:t>_____ The cost to provide information should be weighed against the benefit that users will gain from having the information available.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5.</w:t>
      </w:r>
      <w:r>
        <w:rPr>
          <w:rFonts w:ascii="Georgia" w:hAnsi="Georgia"/>
          <w:color w:val="000000"/>
        </w:rPr>
        <w:t>_____ A company's use of the same accounting principles from year to year.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6.</w:t>
      </w:r>
      <w:r>
        <w:rPr>
          <w:rFonts w:ascii="Georgia" w:hAnsi="Georgia"/>
          <w:color w:val="000000"/>
        </w:rPr>
        <w:t>_____ Assets are recorded and reported at original purchase price.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7.</w:t>
      </w:r>
      <w:r>
        <w:rPr>
          <w:rFonts w:ascii="Georgia" w:hAnsi="Georgia"/>
          <w:color w:val="000000"/>
        </w:rPr>
        <w:t>_____ Accounting information should help users predict future events, and should confirm or correct prior expectations.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8.</w:t>
      </w:r>
      <w:r>
        <w:rPr>
          <w:rFonts w:ascii="Georgia" w:hAnsi="Georgia"/>
          <w:color w:val="000000"/>
        </w:rPr>
        <w:t>_____ The life of a business can be divided into artificial segments of time.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9.</w:t>
      </w:r>
      <w:r>
        <w:rPr>
          <w:rFonts w:ascii="Georgia" w:hAnsi="Georgia"/>
          <w:color w:val="000000"/>
        </w:rPr>
        <w:t>_____ The reporting of all information that would make a difference to financial statement users.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10.</w:t>
      </w:r>
      <w:r>
        <w:rPr>
          <w:rFonts w:ascii="Georgia" w:hAnsi="Georgia"/>
          <w:color w:val="000000"/>
        </w:rPr>
        <w:t>_____ The judgment concerning whether an item's size makes it likely to influence a decision-maker.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11.</w:t>
      </w:r>
      <w:r>
        <w:rPr>
          <w:rFonts w:ascii="Georgia" w:hAnsi="Georgia"/>
          <w:color w:val="000000"/>
        </w:rPr>
        <w:t>_____ Assumes a business will remain in operation for the foreseeable future.</w:t>
      </w:r>
    </w:p>
    <w:p w:rsidR="003B26BC" w:rsidRDefault="003B26BC" w:rsidP="003B26BC">
      <w:pPr>
        <w:pStyle w:val="paralist1"/>
        <w:shd w:val="clear" w:color="auto" w:fill="E3EFF5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Style w:val="label"/>
          <w:rFonts w:ascii="Georgia" w:hAnsi="Georgia"/>
          <w:color w:val="000000"/>
          <w:bdr w:val="none" w:sz="0" w:space="0" w:color="auto" w:frame="1"/>
        </w:rPr>
        <w:t>12.</w:t>
      </w:r>
      <w:r>
        <w:rPr>
          <w:rFonts w:ascii="Georgia" w:hAnsi="Georgia"/>
          <w:color w:val="000000"/>
        </w:rPr>
        <w:t>_____ Different companies use the same accounting principles.</w:t>
      </w:r>
    </w:p>
    <w:p w:rsidR="003B26BC" w:rsidRDefault="003B26BC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p w:rsidR="000029A7" w:rsidRDefault="00365F9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Exercise 3-1</w:t>
      </w:r>
      <w:r w:rsidR="005F53CC"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 xml:space="preserve"> page 102</w:t>
      </w:r>
    </w:p>
    <w:p w:rsidR="00624BF1" w:rsidRDefault="00624BF1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624BF1" w:rsidRDefault="00624BF1" w:rsidP="00624BF1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24BF1">
        <w:rPr>
          <w:rFonts w:ascii="Georgia" w:eastAsia="Times New Roman" w:hAnsi="Georgia" w:cs="Times New Roman"/>
          <w:color w:val="000000"/>
          <w:sz w:val="24"/>
          <w:szCs w:val="24"/>
        </w:rPr>
        <w:t>Presented below are assumptions and principles discussed in this chapter.</w:t>
      </w:r>
    </w:p>
    <w:p w:rsidR="00624BF1" w:rsidRPr="00624BF1" w:rsidRDefault="00624BF1" w:rsidP="00624BF1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3"/>
      </w:tblGrid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Full disclosure principle</w:t>
            </w:r>
          </w:p>
          <w:p w:rsidR="00624BF1" w:rsidRPr="00624BF1" w:rsidRDefault="00624BF1" w:rsidP="00624B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Going concern assumption</w:t>
            </w:r>
          </w:p>
          <w:p w:rsidR="00624BF1" w:rsidRPr="00624BF1" w:rsidRDefault="00624BF1" w:rsidP="00624B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Monetary unit assumption</w:t>
            </w:r>
          </w:p>
          <w:p w:rsidR="00624BF1" w:rsidRPr="00624BF1" w:rsidRDefault="00624BF1" w:rsidP="00624B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Periodicity assumption</w:t>
            </w:r>
          </w:p>
          <w:p w:rsidR="00624BF1" w:rsidRPr="00624BF1" w:rsidRDefault="00624BF1" w:rsidP="00624B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cost principle</w:t>
            </w:r>
          </w:p>
          <w:p w:rsidR="00624BF1" w:rsidRPr="00624BF1" w:rsidRDefault="00624BF1" w:rsidP="00624B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Economic entity assumption</w:t>
            </w:r>
          </w:p>
        </w:tc>
      </w:tr>
    </w:tbl>
    <w:p w:rsidR="00624BF1" w:rsidRDefault="00624BF1" w:rsidP="00624BF1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</w:p>
    <w:p w:rsidR="00624BF1" w:rsidRPr="00624BF1" w:rsidRDefault="00624BF1" w:rsidP="00624BF1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4BF1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:rsidR="00624BF1" w:rsidRDefault="00624BF1" w:rsidP="00624BF1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24BF1">
        <w:rPr>
          <w:rFonts w:ascii="Georgia" w:eastAsia="Times New Roman" w:hAnsi="Georgia" w:cs="Times New Roman"/>
          <w:color w:val="000000"/>
          <w:sz w:val="24"/>
          <w:szCs w:val="24"/>
        </w:rPr>
        <w:t>Identify by number the accounting assumption or principle that is described below. Do not use a number more than once.</w:t>
      </w:r>
    </w:p>
    <w:p w:rsidR="006E799A" w:rsidRPr="00624BF1" w:rsidRDefault="006E799A" w:rsidP="00624BF1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624BF1" w:rsidRDefault="00624BF1" w:rsidP="00624B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 w:rsidRPr="00624BF1">
        <w:rPr>
          <w:rFonts w:ascii="Georgia" w:eastAsia="Times New Roman" w:hAnsi="Georgia" w:cs="Times New Roman"/>
          <w:color w:val="000000"/>
          <w:szCs w:val="24"/>
          <w:bdr w:val="none" w:sz="0" w:space="0" w:color="auto" w:frame="1"/>
        </w:rPr>
        <w:t>_____</w:t>
      </w:r>
      <w:r w:rsidRPr="00624BF1">
        <w:rPr>
          <w:rFonts w:ascii="Georgia" w:eastAsia="Times New Roman" w:hAnsi="Georgia" w:cs="Times New Roman"/>
          <w:color w:val="000000"/>
          <w:szCs w:val="24"/>
        </w:rPr>
        <w:t>Belief that a company will remain in operation for the foreseeable future.</w:t>
      </w:r>
    </w:p>
    <w:p w:rsidR="006E799A" w:rsidRPr="006E799A" w:rsidRDefault="006E799A" w:rsidP="006E79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</w:p>
    <w:p w:rsidR="00624BF1" w:rsidRDefault="00624BF1" w:rsidP="00624B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 w:rsidRPr="00624BF1">
        <w:rPr>
          <w:rFonts w:ascii="Georgia" w:eastAsia="Times New Roman" w:hAnsi="Georgia" w:cs="Times New Roman"/>
          <w:color w:val="000000"/>
          <w:szCs w:val="24"/>
          <w:bdr w:val="none" w:sz="0" w:space="0" w:color="auto" w:frame="1"/>
        </w:rPr>
        <w:t>_____</w:t>
      </w:r>
      <w:r w:rsidRPr="00624BF1">
        <w:rPr>
          <w:rFonts w:ascii="Georgia" w:eastAsia="Times New Roman" w:hAnsi="Georgia" w:cs="Times New Roman"/>
          <w:color w:val="000000"/>
          <w:szCs w:val="24"/>
        </w:rPr>
        <w:t>Indicates that personal and business recordkeeping should be separately maintained.</w:t>
      </w:r>
    </w:p>
    <w:p w:rsidR="006E799A" w:rsidRPr="006E799A" w:rsidRDefault="006E799A" w:rsidP="006E79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</w:p>
    <w:p w:rsidR="00B46515" w:rsidRDefault="00624BF1" w:rsidP="00B46515">
      <w:pPr>
        <w:pStyle w:val="ListParagraph"/>
        <w:numPr>
          <w:ilvl w:val="0"/>
          <w:numId w:val="12"/>
        </w:numPr>
        <w:tabs>
          <w:tab w:val="left" w:pos="1080"/>
        </w:tabs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 w:rsidRPr="00624BF1">
        <w:rPr>
          <w:rFonts w:ascii="Georgia" w:eastAsia="Times New Roman" w:hAnsi="Georgia" w:cs="Times New Roman"/>
          <w:color w:val="000000"/>
          <w:szCs w:val="24"/>
          <w:bdr w:val="none" w:sz="0" w:space="0" w:color="auto" w:frame="1"/>
        </w:rPr>
        <w:t>_____</w:t>
      </w:r>
      <w:r w:rsidRPr="00624BF1">
        <w:rPr>
          <w:rFonts w:ascii="Georgia" w:eastAsia="Times New Roman" w:hAnsi="Georgia" w:cs="Times New Roman"/>
          <w:color w:val="000000"/>
          <w:szCs w:val="24"/>
        </w:rPr>
        <w:t xml:space="preserve">Only those items that can be expressed in money are included in the accounting </w:t>
      </w:r>
    </w:p>
    <w:p w:rsidR="00624BF1" w:rsidRPr="00B46515" w:rsidRDefault="00B46515" w:rsidP="00B46515">
      <w:pPr>
        <w:tabs>
          <w:tab w:val="left" w:pos="1080"/>
        </w:tabs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>
        <w:rPr>
          <w:rFonts w:ascii="Georgia" w:eastAsia="Times New Roman" w:hAnsi="Georgia" w:cs="Times New Roman"/>
          <w:color w:val="000000"/>
          <w:szCs w:val="24"/>
        </w:rPr>
        <w:tab/>
      </w:r>
      <w:r w:rsidR="00624BF1" w:rsidRPr="00B46515">
        <w:rPr>
          <w:rFonts w:ascii="Georgia" w:eastAsia="Times New Roman" w:hAnsi="Georgia" w:cs="Times New Roman"/>
          <w:color w:val="000000"/>
          <w:szCs w:val="24"/>
        </w:rPr>
        <w:t>records.</w:t>
      </w:r>
    </w:p>
    <w:p w:rsidR="006E799A" w:rsidRPr="006E799A" w:rsidRDefault="006E799A" w:rsidP="006E79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</w:p>
    <w:p w:rsidR="00624BF1" w:rsidRDefault="00624BF1" w:rsidP="00624B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 w:rsidRPr="00624BF1">
        <w:rPr>
          <w:rFonts w:ascii="Georgia" w:eastAsia="Times New Roman" w:hAnsi="Georgia" w:cs="Times New Roman"/>
          <w:color w:val="000000"/>
          <w:szCs w:val="24"/>
          <w:bdr w:val="none" w:sz="0" w:space="0" w:color="auto" w:frame="1"/>
        </w:rPr>
        <w:t>_____</w:t>
      </w:r>
      <w:r w:rsidRPr="00624BF1">
        <w:rPr>
          <w:rFonts w:ascii="Georgia" w:eastAsia="Times New Roman" w:hAnsi="Georgia" w:cs="Times New Roman"/>
          <w:color w:val="000000"/>
          <w:szCs w:val="24"/>
        </w:rPr>
        <w:t>Separates financial information into time periods for reporting purposes.</w:t>
      </w:r>
    </w:p>
    <w:p w:rsidR="006E799A" w:rsidRPr="006E799A" w:rsidRDefault="006E799A" w:rsidP="006E79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</w:p>
    <w:p w:rsidR="00624BF1" w:rsidRDefault="00624BF1" w:rsidP="00624B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 w:rsidRPr="00624BF1">
        <w:rPr>
          <w:rFonts w:ascii="Georgia" w:eastAsia="Times New Roman" w:hAnsi="Georgia" w:cs="Times New Roman"/>
          <w:color w:val="000000"/>
          <w:szCs w:val="24"/>
          <w:bdr w:val="none" w:sz="0" w:space="0" w:color="auto" w:frame="1"/>
        </w:rPr>
        <w:t>_____</w:t>
      </w:r>
      <w:r w:rsidRPr="00624BF1">
        <w:rPr>
          <w:rFonts w:ascii="Georgia" w:eastAsia="Times New Roman" w:hAnsi="Georgia" w:cs="Times New Roman"/>
          <w:color w:val="000000"/>
          <w:szCs w:val="24"/>
        </w:rPr>
        <w:t>Measurement basis used when a reliable estimate of fair value is not available.</w:t>
      </w:r>
    </w:p>
    <w:p w:rsidR="006E799A" w:rsidRPr="006E799A" w:rsidRDefault="006E799A" w:rsidP="006E79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</w:p>
    <w:p w:rsidR="00B46515" w:rsidRDefault="00624BF1" w:rsidP="006E799A">
      <w:pPr>
        <w:pStyle w:val="ListParagraph"/>
        <w:numPr>
          <w:ilvl w:val="0"/>
          <w:numId w:val="12"/>
        </w:numPr>
        <w:tabs>
          <w:tab w:val="left" w:pos="1080"/>
        </w:tabs>
        <w:spacing w:after="0" w:line="240" w:lineRule="auto"/>
        <w:ind w:left="360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 w:rsidRPr="00624BF1">
        <w:rPr>
          <w:rFonts w:ascii="Georgia" w:eastAsia="Times New Roman" w:hAnsi="Georgia" w:cs="Times New Roman"/>
          <w:color w:val="000000"/>
          <w:szCs w:val="24"/>
          <w:bdr w:val="none" w:sz="0" w:space="0" w:color="auto" w:frame="1"/>
        </w:rPr>
        <w:t>_____</w:t>
      </w:r>
      <w:r w:rsidRPr="00624BF1">
        <w:rPr>
          <w:rFonts w:ascii="Georgia" w:eastAsia="Times New Roman" w:hAnsi="Georgia" w:cs="Times New Roman"/>
          <w:color w:val="000000"/>
          <w:szCs w:val="24"/>
        </w:rPr>
        <w:t xml:space="preserve">Dictates that companies should report all circumstances and events that make a </w:t>
      </w:r>
    </w:p>
    <w:p w:rsidR="00624BF1" w:rsidRPr="00B46515" w:rsidRDefault="00B46515" w:rsidP="00B46515">
      <w:pPr>
        <w:tabs>
          <w:tab w:val="left" w:pos="1080"/>
        </w:tabs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Cs w:val="24"/>
        </w:rPr>
      </w:pPr>
      <w:r>
        <w:rPr>
          <w:rFonts w:ascii="Georgia" w:eastAsia="Times New Roman" w:hAnsi="Georgia" w:cs="Times New Roman"/>
          <w:color w:val="000000"/>
          <w:szCs w:val="24"/>
        </w:rPr>
        <w:tab/>
      </w:r>
      <w:r w:rsidR="00624BF1" w:rsidRPr="00B46515">
        <w:rPr>
          <w:rFonts w:ascii="Georgia" w:eastAsia="Times New Roman" w:hAnsi="Georgia" w:cs="Times New Roman"/>
          <w:color w:val="000000"/>
          <w:szCs w:val="24"/>
        </w:rPr>
        <w:t>difference to financial statement users.</w:t>
      </w:r>
    </w:p>
    <w:p w:rsidR="00624BF1" w:rsidRDefault="00624BF1" w:rsidP="00624BF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1D6B55" w:rsidRDefault="001D6B55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p w:rsidR="00624BF1" w:rsidRDefault="005F53CC" w:rsidP="00624BF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P3-7 page 107</w:t>
      </w:r>
    </w:p>
    <w:p w:rsidR="00624BF1" w:rsidRPr="00624BF1" w:rsidRDefault="00624BF1" w:rsidP="00624BF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624BF1" w:rsidRDefault="00624BF1" w:rsidP="00624BF1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24BF1">
        <w:rPr>
          <w:rFonts w:ascii="Georgia" w:eastAsia="Times New Roman" w:hAnsi="Georgia" w:cs="Times New Roman"/>
          <w:color w:val="000000"/>
          <w:sz w:val="24"/>
          <w:szCs w:val="24"/>
        </w:rPr>
        <w:t>Nancy Tercek started a delivery service, Tercek Deliveries, on June 1, 2017. The following transactions occurred during the month of June.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330"/>
        <w:gridCol w:w="8484"/>
      </w:tblGrid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Stockholders invested $10,000 cash in the business in exchange for common stock.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Purchased a used van for deliveries for $14,000. Nancy paid $2,000 cash and signed a note payable for the remaining balance.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Paid $500 for office rent for the month.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Performed $4,800 of services on account.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Declared and paid $300 in cash dividends.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Purchased supplies for $150 on account.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Received a cash payment of $1,250 for services performed on June 5.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Purchased gasoline for $100 on account.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Received a cash payment of $1,500 for services performed.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Made a cash payment of $500 on the note payable.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Paid $250 for utilities.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Paid for the gasoline purchased on account on June 17.</w:t>
            </w:r>
          </w:p>
        </w:tc>
      </w:tr>
      <w:tr w:rsidR="00624BF1" w:rsidRPr="00624BF1" w:rsidTr="00624B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Paid $1,000 for employee salaries.</w:t>
            </w:r>
          </w:p>
        </w:tc>
      </w:tr>
    </w:tbl>
    <w:p w:rsidR="00624BF1" w:rsidRDefault="00624BF1" w:rsidP="00624BF1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</w:p>
    <w:p w:rsidR="00624BF1" w:rsidRDefault="00624BF1" w:rsidP="00624BF1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  <w:r w:rsidRPr="00624BF1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:rsidR="00BE7AA4" w:rsidRPr="00624BF1" w:rsidRDefault="00BE7AA4" w:rsidP="00624BF1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C6379" w:rsidRPr="00C11DE0" w:rsidRDefault="00624BF1" w:rsidP="00C11DE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6379">
        <w:rPr>
          <w:rFonts w:ascii="Times New Roman" w:eastAsia="Times New Roman" w:hAnsi="Times New Roman" w:cs="Times New Roman"/>
          <w:sz w:val="24"/>
          <w:szCs w:val="24"/>
        </w:rPr>
        <w:t>Show the effects of the previous transactions on the accounting equation using the following format</w:t>
      </w:r>
      <w:r w:rsidR="00C11D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C0D08">
        <w:rPr>
          <w:rFonts w:ascii="Times New Roman" w:eastAsia="Times New Roman" w:hAnsi="Times New Roman" w:cs="Times New Roman"/>
          <w:b/>
          <w:sz w:val="24"/>
          <w:szCs w:val="24"/>
        </w:rPr>
        <w:t>page 3</w:t>
      </w:r>
      <w:r w:rsidR="001D6B55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1DE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69"/>
        <w:tblW w:w="10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491"/>
        <w:gridCol w:w="203"/>
        <w:gridCol w:w="988"/>
        <w:gridCol w:w="203"/>
        <w:gridCol w:w="779"/>
        <w:gridCol w:w="203"/>
        <w:gridCol w:w="968"/>
        <w:gridCol w:w="204"/>
        <w:gridCol w:w="730"/>
        <w:gridCol w:w="203"/>
        <w:gridCol w:w="854"/>
        <w:gridCol w:w="204"/>
        <w:gridCol w:w="841"/>
        <w:gridCol w:w="203"/>
        <w:gridCol w:w="868"/>
        <w:gridCol w:w="203"/>
        <w:gridCol w:w="846"/>
        <w:gridCol w:w="203"/>
        <w:gridCol w:w="913"/>
      </w:tblGrid>
      <w:tr w:rsidR="001C6379" w:rsidRPr="00624BF1" w:rsidTr="00C11DE0">
        <w:trPr>
          <w:trHeight w:val="122"/>
          <w:tblHeader/>
        </w:trPr>
        <w:tc>
          <w:tcPr>
            <w:tcW w:w="4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837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Assets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=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Liabilities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Stockholders' Equity</w:t>
            </w:r>
          </w:p>
        </w:tc>
      </w:tr>
      <w:tr w:rsidR="001C6379" w:rsidRPr="001C6379" w:rsidTr="00C11DE0">
        <w:trPr>
          <w:trHeight w:val="149"/>
        </w:trPr>
        <w:tc>
          <w:tcPr>
            <w:tcW w:w="469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Date</w:t>
            </w:r>
          </w:p>
        </w:tc>
        <w:tc>
          <w:tcPr>
            <w:tcW w:w="491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Cash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Receivable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Supplies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Equipment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Notes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Common Stock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Retained Earnings</w:t>
            </w:r>
          </w:p>
        </w:tc>
      </w:tr>
      <w:tr w:rsidR="00C11DE0" w:rsidRPr="001C6379" w:rsidTr="00C11DE0">
        <w:trPr>
          <w:trHeight w:val="360"/>
        </w:trPr>
        <w:tc>
          <w:tcPr>
            <w:tcW w:w="469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49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Revenues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624BF1" w:rsidRDefault="001C6379" w:rsidP="001C63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Dividends</w:t>
            </w:r>
          </w:p>
        </w:tc>
      </w:tr>
    </w:tbl>
    <w:p w:rsidR="00C11DE0" w:rsidRDefault="00C11DE0" w:rsidP="00624BF1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24BF1" w:rsidRPr="00624BF1" w:rsidRDefault="00624BF1" w:rsidP="00C11DE0">
      <w:pPr>
        <w:spacing w:before="120" w:after="12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24BF1">
        <w:rPr>
          <w:rFonts w:ascii="Times New Roman" w:eastAsia="Times New Roman" w:hAnsi="Times New Roman" w:cs="Times New Roman"/>
          <w:sz w:val="24"/>
          <w:szCs w:val="24"/>
        </w:rPr>
        <w:t>Include margin explanations for any changes in revenues or expenses in your analysis.</w:t>
      </w:r>
    </w:p>
    <w:tbl>
      <w:tblPr>
        <w:tblW w:w="0" w:type="auto"/>
        <w:tblInd w:w="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1217"/>
        <w:gridCol w:w="870"/>
      </w:tblGrid>
      <w:tr w:rsidR="00624BF1" w:rsidRPr="00624BF1" w:rsidTr="00C11D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Total assets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BF1" w:rsidRPr="00624BF1" w:rsidRDefault="00624BF1" w:rsidP="00624BF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$25,800</w:t>
            </w:r>
          </w:p>
        </w:tc>
      </w:tr>
    </w:tbl>
    <w:p w:rsidR="001D6B55" w:rsidRDefault="001D6B55" w:rsidP="00624B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BE7AA4" w:rsidRDefault="00BE7AA4" w:rsidP="00C11DE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6379">
        <w:rPr>
          <w:rFonts w:ascii="Times New Roman" w:eastAsia="Times New Roman" w:hAnsi="Times New Roman" w:cs="Times New Roman"/>
          <w:sz w:val="24"/>
          <w:szCs w:val="24"/>
        </w:rPr>
        <w:t xml:space="preserve">Prepare an income statement and a retained earnings </w:t>
      </w:r>
      <w:r w:rsidR="00C11DE0">
        <w:rPr>
          <w:rFonts w:ascii="Times New Roman" w:eastAsia="Times New Roman" w:hAnsi="Times New Roman" w:cs="Times New Roman"/>
          <w:sz w:val="24"/>
          <w:szCs w:val="24"/>
        </w:rPr>
        <w:t>statement for the month of June (page 5).</w:t>
      </w:r>
    </w:p>
    <w:p w:rsidR="00BE7AA4" w:rsidRPr="001C6379" w:rsidRDefault="00BE7AA4" w:rsidP="00BE7A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203"/>
        <w:gridCol w:w="750"/>
        <w:gridCol w:w="395"/>
        <w:gridCol w:w="540"/>
        <w:gridCol w:w="780"/>
      </w:tblGrid>
      <w:tr w:rsidR="00C11DE0" w:rsidRPr="00624BF1" w:rsidTr="00C11D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Net income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$4,450</w:t>
            </w:r>
          </w:p>
        </w:tc>
        <w:tc>
          <w:tcPr>
            <w:tcW w:w="0" w:type="auto"/>
          </w:tcPr>
          <w:p w:rsidR="00C11DE0" w:rsidRPr="00624BF1" w:rsidRDefault="00C11DE0" w:rsidP="00C1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</w:tcPr>
          <w:p w:rsidR="00C11DE0" w:rsidRPr="00624BF1" w:rsidRDefault="00C11DE0" w:rsidP="00C1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0" w:type="auto"/>
          </w:tcPr>
          <w:p w:rsidR="00C11DE0" w:rsidRPr="00624BF1" w:rsidRDefault="00C11DE0" w:rsidP="00C11DE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24BF1">
              <w:rPr>
                <w:rFonts w:ascii="Times New Roman" w:eastAsia="Times New Roman" w:hAnsi="Times New Roman" w:cs="Times New Roman"/>
                <w:sz w:val="24"/>
                <w:szCs w:val="24"/>
              </w:rPr>
              <w:t>$8,100</w:t>
            </w:r>
          </w:p>
        </w:tc>
      </w:tr>
    </w:tbl>
    <w:p w:rsidR="001D6B55" w:rsidRDefault="001D6B55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C11DE0" w:rsidRPr="00C11DE0" w:rsidRDefault="00C11DE0" w:rsidP="001B5199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C11DE0">
        <w:rPr>
          <w:rFonts w:ascii="Times New Roman" w:eastAsia="Times New Roman" w:hAnsi="Times New Roman" w:cs="Times New Roman"/>
          <w:sz w:val="24"/>
          <w:szCs w:val="24"/>
        </w:rPr>
        <w:t>Prepare a classified balance sheet at June 30, 2017 (page 5).</w:t>
      </w:r>
    </w:p>
    <w:p w:rsidR="00C11DE0" w:rsidRDefault="00C11DE0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sectPr w:rsidR="00C11DE0" w:rsidSect="001D6B5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-142"/>
        <w:tblW w:w="13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6"/>
        <w:gridCol w:w="213"/>
        <w:gridCol w:w="1882"/>
        <w:gridCol w:w="214"/>
        <w:gridCol w:w="822"/>
        <w:gridCol w:w="214"/>
        <w:gridCol w:w="1022"/>
        <w:gridCol w:w="205"/>
        <w:gridCol w:w="1244"/>
        <w:gridCol w:w="204"/>
        <w:gridCol w:w="1534"/>
        <w:gridCol w:w="204"/>
        <w:gridCol w:w="1346"/>
        <w:gridCol w:w="204"/>
        <w:gridCol w:w="871"/>
        <w:gridCol w:w="204"/>
        <w:gridCol w:w="849"/>
        <w:gridCol w:w="204"/>
        <w:gridCol w:w="916"/>
      </w:tblGrid>
      <w:tr w:rsidR="001D6B55" w:rsidRPr="00624BF1" w:rsidTr="009C0D08">
        <w:trPr>
          <w:trHeight w:val="108"/>
          <w:tblHeader/>
        </w:trPr>
        <w:tc>
          <w:tcPr>
            <w:tcW w:w="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5228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Assets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=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Liabilities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Stockholders' Equity</w:t>
            </w:r>
          </w:p>
        </w:tc>
      </w:tr>
      <w:tr w:rsidR="001D6B55" w:rsidRPr="001C6379" w:rsidTr="009C0D08">
        <w:trPr>
          <w:trHeight w:val="131"/>
        </w:trPr>
        <w:tc>
          <w:tcPr>
            <w:tcW w:w="616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Date</w:t>
            </w:r>
          </w:p>
        </w:tc>
        <w:tc>
          <w:tcPr>
            <w:tcW w:w="833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Cash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Receivable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Supplies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Equipment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Notes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Common Stock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Retained Earnings</w:t>
            </w:r>
          </w:p>
        </w:tc>
      </w:tr>
      <w:tr w:rsidR="001D6B55" w:rsidRPr="001C6379" w:rsidTr="009C0D08">
        <w:trPr>
          <w:trHeight w:val="319"/>
        </w:trPr>
        <w:tc>
          <w:tcPr>
            <w:tcW w:w="616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33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Revenues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6B55" w:rsidRPr="00624BF1" w:rsidRDefault="001D6B55" w:rsidP="001D6B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Dividends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20"/>
        <w:tblW w:w="13879" w:type="dxa"/>
        <w:tblLook w:val="04A0" w:firstRow="1" w:lastRow="0" w:firstColumn="1" w:lastColumn="0" w:noHBand="0" w:noVBand="1"/>
      </w:tblPr>
      <w:tblGrid>
        <w:gridCol w:w="13879"/>
      </w:tblGrid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C0D0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1D6B55" w:rsidRDefault="001D6B55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9C0D08" w:rsidRDefault="001D6B55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 w:type="page"/>
      </w:r>
    </w:p>
    <w:p w:rsidR="00BE7AA4" w:rsidRDefault="00BE7AA4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sectPr w:rsidR="00BE7AA4" w:rsidSect="001D6B5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BE7AA4" w:rsidTr="001B5199">
        <w:trPr>
          <w:trHeight w:val="1187"/>
        </w:trPr>
        <w:tc>
          <w:tcPr>
            <w:tcW w:w="9350" w:type="dxa"/>
            <w:gridSpan w:val="3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Revenues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Expenses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Expenses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Net Income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1C6379" w:rsidRDefault="001C6379" w:rsidP="001C637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BE7AA4" w:rsidTr="001B5199">
        <w:trPr>
          <w:trHeight w:val="1160"/>
        </w:trPr>
        <w:tc>
          <w:tcPr>
            <w:tcW w:w="9350" w:type="dxa"/>
            <w:gridSpan w:val="3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Retained Earnings, June 1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Add: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Less: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Retained Earnings, June 30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BE7AA4" w:rsidRDefault="00BE7AA4" w:rsidP="00BE7AA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BE7AA4" w:rsidTr="001B5199">
        <w:trPr>
          <w:trHeight w:val="1160"/>
        </w:trPr>
        <w:tc>
          <w:tcPr>
            <w:tcW w:w="9350" w:type="dxa"/>
            <w:gridSpan w:val="3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Current Assets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BE7AA4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Current Assets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Assets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Current Liabilities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BE7AA4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Total Liabilities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Stockholders’ Equity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BE7AA4" w:rsidTr="001B5199">
        <w:tc>
          <w:tcPr>
            <w:tcW w:w="566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Total liabilities and stockholders’ equity</w:t>
            </w:r>
          </w:p>
        </w:tc>
        <w:tc>
          <w:tcPr>
            <w:tcW w:w="1890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BE7AA4" w:rsidRDefault="00BE7AA4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1C6379" w:rsidRDefault="005F53CC" w:rsidP="001C637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P3-5 page 106</w:t>
      </w:r>
    </w:p>
    <w:p w:rsidR="001C6379" w:rsidRDefault="001C637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1C6379" w:rsidRPr="001C6379" w:rsidRDefault="001C6379" w:rsidP="001C6379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Fredonia Repair Inc. was started on May 1. A summary of May transactions is presented below.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1.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Stockholders invested $10,000 cash in the business in exchange for common stock.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2.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Purchased equipment for $5,000 cash.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3.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Paid $400 cash for May office rent.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4.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Paid $300 cash for supplies.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5.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Incurred $250 of advertising costs in the </w:t>
      </w:r>
      <w:r w:rsidRPr="001C6379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Beacon News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 on account.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6.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Received $4,700 in cash from customers for performing repair service.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7.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Paid a $700 cash dividend.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8.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Paid part-time employee salaries $1,000.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9.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Paid utility bills $140.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10.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Performed repair services worth $1,100 on account.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11.</w:t>
      </w:r>
      <w:r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Collected cash of $120 for services billed in transaction (10).</w:t>
      </w:r>
    </w:p>
    <w:p w:rsidR="001C6379" w:rsidRDefault="001C6379" w:rsidP="001C6379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</w:p>
    <w:p w:rsidR="001C6379" w:rsidRDefault="001C6379" w:rsidP="001C6379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  <w:r w:rsidRPr="001C6379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:rsidR="001C6379" w:rsidRPr="001C6379" w:rsidRDefault="001C6379" w:rsidP="001C6379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C6379" w:rsidRDefault="001C6379" w:rsidP="001C637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6379">
        <w:rPr>
          <w:rFonts w:ascii="Times New Roman" w:eastAsia="Times New Roman" w:hAnsi="Times New Roman" w:cs="Times New Roman"/>
          <w:sz w:val="24"/>
          <w:szCs w:val="24"/>
        </w:rPr>
        <w:t>Prepare a tabular analysis of the transactions using the following column headings: Cash, Accounts Receivable, Supplies, Equipment, Accounts Payable, Common Stock, and Retained Earnings (with separate columns for Revenues, Expenses, and Dividends). Include margin explanations for any changes in revenues or expenses. Re</w:t>
      </w:r>
      <w:r w:rsidR="00C11DE0">
        <w:rPr>
          <w:rFonts w:ascii="Times New Roman" w:eastAsia="Times New Roman" w:hAnsi="Times New Roman" w:cs="Times New Roman"/>
          <w:sz w:val="24"/>
          <w:szCs w:val="24"/>
        </w:rPr>
        <w:t xml:space="preserve">venue is called Service Revenue </w:t>
      </w:r>
      <w:r w:rsidR="00C11DE0" w:rsidRPr="009C0D08">
        <w:rPr>
          <w:rFonts w:ascii="Times New Roman" w:eastAsia="Times New Roman" w:hAnsi="Times New Roman" w:cs="Times New Roman"/>
          <w:b/>
          <w:sz w:val="24"/>
          <w:szCs w:val="24"/>
        </w:rPr>
        <w:t xml:space="preserve">(page </w:t>
      </w:r>
      <w:r w:rsidR="009C0D08" w:rsidRPr="009C0D08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C11DE0" w:rsidRPr="009C0D08"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1C6379" w:rsidRPr="001C6379" w:rsidRDefault="001C6379" w:rsidP="001C637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7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1217"/>
        <w:gridCol w:w="870"/>
      </w:tblGrid>
      <w:tr w:rsidR="001C6379" w:rsidRPr="001C6379" w:rsidTr="00C11D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Total assets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$13,560</w:t>
            </w:r>
          </w:p>
        </w:tc>
      </w:tr>
    </w:tbl>
    <w:p w:rsidR="001C6379" w:rsidRDefault="001C6379" w:rsidP="001C637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C6379" w:rsidRDefault="001C6379" w:rsidP="001C637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6379">
        <w:rPr>
          <w:rFonts w:ascii="Times New Roman" w:eastAsia="Times New Roman" w:hAnsi="Times New Roman" w:cs="Times New Roman"/>
          <w:sz w:val="24"/>
          <w:szCs w:val="24"/>
        </w:rPr>
        <w:t>From an analysis of the Retained Earnings columns, compute the net income or net loss for May.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203"/>
        <w:gridCol w:w="750"/>
      </w:tblGrid>
      <w:tr w:rsidR="001C6379" w:rsidRPr="001C6379" w:rsidTr="00C11D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Net income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$4,010</w:t>
            </w:r>
          </w:p>
        </w:tc>
      </w:tr>
    </w:tbl>
    <w:p w:rsidR="001C6379" w:rsidRDefault="001C637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C11DE0" w:rsidRDefault="00C11DE0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C11DE0" w:rsidSect="00BE7A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tbl>
      <w:tblPr>
        <w:tblpPr w:leftFromText="180" w:rightFromText="180" w:vertAnchor="text" w:horzAnchor="margin" w:tblpXSpec="center" w:tblpY="-177"/>
        <w:tblW w:w="13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33"/>
        <w:gridCol w:w="215"/>
        <w:gridCol w:w="1894"/>
        <w:gridCol w:w="215"/>
        <w:gridCol w:w="828"/>
        <w:gridCol w:w="215"/>
        <w:gridCol w:w="1028"/>
        <w:gridCol w:w="205"/>
        <w:gridCol w:w="1247"/>
        <w:gridCol w:w="204"/>
        <w:gridCol w:w="1537"/>
        <w:gridCol w:w="204"/>
        <w:gridCol w:w="1348"/>
        <w:gridCol w:w="204"/>
        <w:gridCol w:w="873"/>
        <w:gridCol w:w="204"/>
        <w:gridCol w:w="851"/>
        <w:gridCol w:w="204"/>
        <w:gridCol w:w="918"/>
      </w:tblGrid>
      <w:tr w:rsidR="00C11DE0" w:rsidRPr="00624BF1" w:rsidTr="00C11DE0">
        <w:trPr>
          <w:trHeight w:val="108"/>
          <w:tblHeader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5204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Assets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=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Liabilities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Stockholders' Equity</w:t>
            </w:r>
          </w:p>
        </w:tc>
      </w:tr>
      <w:tr w:rsidR="00C11DE0" w:rsidRPr="001C6379" w:rsidTr="00C11DE0">
        <w:trPr>
          <w:trHeight w:val="131"/>
        </w:trPr>
        <w:tc>
          <w:tcPr>
            <w:tcW w:w="61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Date</w:t>
            </w:r>
          </w:p>
        </w:tc>
        <w:tc>
          <w:tcPr>
            <w:tcW w:w="788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Cash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Receivable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Supplies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Equipment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Notes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Common Stock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Retained Earnings</w:t>
            </w:r>
          </w:p>
        </w:tc>
      </w:tr>
      <w:tr w:rsidR="00C11DE0" w:rsidRPr="001C6379" w:rsidTr="00C11DE0">
        <w:trPr>
          <w:trHeight w:val="319"/>
        </w:trPr>
        <w:tc>
          <w:tcPr>
            <w:tcW w:w="61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788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Revenues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1DE0" w:rsidRPr="00624BF1" w:rsidRDefault="00C11DE0" w:rsidP="00C11D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Dividends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10"/>
        <w:tblW w:w="13879" w:type="dxa"/>
        <w:tblLook w:val="04A0" w:firstRow="1" w:lastRow="0" w:firstColumn="1" w:lastColumn="0" w:noHBand="0" w:noVBand="1"/>
      </w:tblPr>
      <w:tblGrid>
        <w:gridCol w:w="13879"/>
      </w:tblGrid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$10,000                                                                                                                                   $10,000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-$5,000                                                          $5,000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-$400                                                                                                                                                  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$400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-$300                                             $300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950EB0" w:rsidP="00853339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</w:t>
            </w:r>
            <w:r w:rsidR="00FB51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                          </w:t>
            </w:r>
            <w:r w:rsidR="008533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FB51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$250</w:t>
            </w:r>
            <w:r w:rsidR="008533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  </w:t>
            </w:r>
            <w:r w:rsidR="008533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$250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7D3F67" w:rsidP="007D3F67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</w:t>
            </w:r>
            <w:r w:rsidR="00FB51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$4,700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          $4,700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-$700                                                                                                                                                                      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$700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-$1,000                                                                                       </w:t>
            </w:r>
            <w:r w:rsidR="008533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950EB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</w:t>
            </w:r>
            <w:r w:rsidR="008533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  </w:t>
            </w:r>
            <w:r w:rsidR="0085333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$1,000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FB5118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-$140                                                                                                                                                        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$140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7D3F67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</w:t>
            </w:r>
            <w:r w:rsidR="00FB51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$1,100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             $1,100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7D3F67" w:rsidP="009C0D08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$120</w:t>
            </w:r>
          </w:p>
        </w:tc>
      </w:tr>
      <w:tr w:rsidR="009C0D08" w:rsidTr="009C0D08">
        <w:trPr>
          <w:trHeight w:val="432"/>
        </w:trPr>
        <w:tc>
          <w:tcPr>
            <w:tcW w:w="13879" w:type="dxa"/>
          </w:tcPr>
          <w:p w:rsidR="009C0D08" w:rsidRDefault="007D3F67" w:rsidP="007D3F67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$2,330     +  $5,900           +           $300    +     $5,000          </w:t>
            </w:r>
            <w:r w:rsidR="00950EB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250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</w:t>
            </w:r>
            <w:r w:rsidR="00950EB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10,000      </w:t>
            </w:r>
            <w:r w:rsidR="00950EB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5,900    </w:t>
            </w:r>
            <w:r w:rsidR="00950EB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1,790    </w:t>
            </w:r>
            <w:r w:rsidR="00950EB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</w:t>
            </w:r>
            <w:r w:rsidR="001B519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      700</w:t>
            </w:r>
          </w:p>
          <w:p w:rsidR="007D3F67" w:rsidRDefault="007D3F67" w:rsidP="007D3F67">
            <w:pP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Assets = </w:t>
            </w:r>
          </w:p>
        </w:tc>
      </w:tr>
    </w:tbl>
    <w:p w:rsidR="00C11DE0" w:rsidRDefault="00C11DE0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C11DE0" w:rsidRDefault="00C11DE0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C11DE0" w:rsidSect="00C11D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p w:rsidR="001C6379" w:rsidRDefault="005F53CC" w:rsidP="001C637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P3-4 page 106</w:t>
      </w:r>
    </w:p>
    <w:p w:rsidR="001C6379" w:rsidRDefault="001C637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1C6379" w:rsidRDefault="001C6379" w:rsidP="001C6379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379">
        <w:rPr>
          <w:rFonts w:ascii="Georgia" w:eastAsia="Times New Roman" w:hAnsi="Georgia" w:cs="Times New Roman"/>
          <w:color w:val="000000"/>
          <w:sz w:val="24"/>
          <w:szCs w:val="24"/>
        </w:rPr>
        <w:t>Bindy Crawford created a corporation providing legal services, Bindy Crawford Inc., on July 1, 2017. On July 31 the balance sheet showed Cash $4,000, Accounts Receivable $2,500, Supplies $500, Equipment $5,000, Accounts Payable $4,200, Common Stock $6,200, and Retained Earnings $1,600. During August, the following transactions occurred.</w:t>
      </w:r>
    </w:p>
    <w:p w:rsidR="00C11DE0" w:rsidRPr="001C6379" w:rsidRDefault="00C11DE0" w:rsidP="001C6379">
      <w:pPr>
        <w:spacing w:before="120" w:after="12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330"/>
        <w:gridCol w:w="8450"/>
      </w:tblGrid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Aug.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$1,100 of accounts receivable due from customers.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Paid $2,700 cash for accounts payable due.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Performed services worth $5,400, of which $3,600 is collected in cash and the balance is due in September.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Purchased additional office equipment for $4,000, paying $700 in cash and the balance on account.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Paid salaries $1,400, rent for August $700, and advertising expenses $350.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Paid a cash dividend of $700.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Borrowed $5,000 from American Federal Bank; the money was borrowed on a 4-month note payable.</w:t>
            </w:r>
          </w:p>
        </w:tc>
      </w:tr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Incurred utility expenses for the month on account $380.</w:t>
            </w:r>
          </w:p>
        </w:tc>
      </w:tr>
    </w:tbl>
    <w:p w:rsidR="001C6379" w:rsidRDefault="001C6379" w:rsidP="001C6379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</w:p>
    <w:p w:rsidR="001C6379" w:rsidRDefault="001C6379" w:rsidP="001C6379">
      <w:pPr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</w:pPr>
      <w:r w:rsidRPr="001C6379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:rsidR="006247BF" w:rsidRPr="001C6379" w:rsidRDefault="006247BF" w:rsidP="001C6379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C6379" w:rsidRPr="001C6379" w:rsidRDefault="001C6379" w:rsidP="001C6379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63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Prepare a tabular analysis of the August transactions beginning with July 31 balances. The column headings should be Cash + Accounts Receivable + Supplies + Equipment = Notes Payable + Accounts Payable + Common Stock + Retained Earnings + Revenues − Expenses − Dividends. Include margin explanations for any </w:t>
      </w:r>
      <w:r w:rsidR="006247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changes in revenues or expenses </w:t>
      </w:r>
      <w:r w:rsidR="006247BF" w:rsidRPr="009C0D0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(page </w:t>
      </w:r>
      <w:r w:rsidR="009C0D08" w:rsidRPr="009C0D0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8</w:t>
      </w:r>
      <w:r w:rsidR="006247BF" w:rsidRPr="009C0D0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).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570"/>
        <w:gridCol w:w="750"/>
      </w:tblGrid>
      <w:tr w:rsidR="001C6379" w:rsidRPr="001C6379" w:rsidTr="001C6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$7,150</w:t>
            </w:r>
          </w:p>
        </w:tc>
      </w:tr>
    </w:tbl>
    <w:p w:rsidR="001C6379" w:rsidRDefault="001C6379" w:rsidP="001C637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C6379" w:rsidRDefault="001C6379" w:rsidP="001C6379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6379">
        <w:rPr>
          <w:rFonts w:ascii="Times New Roman" w:eastAsia="Times New Roman" w:hAnsi="Times New Roman" w:cs="Times New Roman"/>
          <w:sz w:val="24"/>
          <w:szCs w:val="24"/>
        </w:rPr>
        <w:t>Prepare an income statement for August, a retained earnings statement for August, and a classi</w:t>
      </w:r>
      <w:r w:rsidR="006247BF">
        <w:rPr>
          <w:rFonts w:ascii="Times New Roman" w:eastAsia="Times New Roman" w:hAnsi="Times New Roman" w:cs="Times New Roman"/>
          <w:sz w:val="24"/>
          <w:szCs w:val="24"/>
        </w:rPr>
        <w:t>fied ba</w:t>
      </w:r>
      <w:r w:rsidR="00A5295E">
        <w:rPr>
          <w:rFonts w:ascii="Times New Roman" w:eastAsia="Times New Roman" w:hAnsi="Times New Roman" w:cs="Times New Roman"/>
          <w:sz w:val="24"/>
          <w:szCs w:val="24"/>
        </w:rPr>
        <w:t xml:space="preserve">lance sheet at August 31 </w:t>
      </w:r>
      <w:r w:rsidR="00A5295E" w:rsidRPr="00A5295E">
        <w:rPr>
          <w:rFonts w:ascii="Times New Roman" w:eastAsia="Times New Roman" w:hAnsi="Times New Roman" w:cs="Times New Roman"/>
          <w:b/>
          <w:sz w:val="24"/>
          <w:szCs w:val="24"/>
        </w:rPr>
        <w:t>(page 9</w:t>
      </w:r>
      <w:r w:rsidR="006247BF" w:rsidRPr="00A5295E"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1C6379" w:rsidRPr="001C6379" w:rsidRDefault="001C6379" w:rsidP="001C637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5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395"/>
        <w:gridCol w:w="771"/>
      </w:tblGrid>
      <w:tr w:rsidR="001C6379" w:rsidRPr="001C6379" w:rsidTr="00C11DE0">
        <w:trPr>
          <w:trHeight w:val="32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Net income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$2,570</w:t>
            </w:r>
          </w:p>
        </w:tc>
      </w:tr>
      <w:tr w:rsidR="001C6379" w:rsidRPr="001C6379" w:rsidTr="00C11DE0">
        <w:trPr>
          <w:trHeight w:val="37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Ret. earnings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6379" w:rsidRPr="001C6379" w:rsidRDefault="001C6379" w:rsidP="001C637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4"/>
                <w:szCs w:val="24"/>
              </w:rPr>
              <w:t>$3,470</w:t>
            </w:r>
          </w:p>
        </w:tc>
      </w:tr>
    </w:tbl>
    <w:p w:rsidR="006247BF" w:rsidRDefault="006247BF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6247BF" w:rsidRDefault="006247BF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6247BF" w:rsidSect="00C11D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tbl>
      <w:tblPr>
        <w:tblpPr w:leftFromText="180" w:rightFromText="180" w:vertAnchor="text" w:horzAnchor="margin" w:tblpXSpec="center" w:tblpY="-177"/>
        <w:tblW w:w="13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917"/>
        <w:gridCol w:w="213"/>
        <w:gridCol w:w="1869"/>
        <w:gridCol w:w="213"/>
        <w:gridCol w:w="816"/>
        <w:gridCol w:w="213"/>
        <w:gridCol w:w="1014"/>
        <w:gridCol w:w="204"/>
        <w:gridCol w:w="1243"/>
        <w:gridCol w:w="203"/>
        <w:gridCol w:w="1533"/>
        <w:gridCol w:w="203"/>
        <w:gridCol w:w="1344"/>
        <w:gridCol w:w="203"/>
        <w:gridCol w:w="870"/>
        <w:gridCol w:w="203"/>
        <w:gridCol w:w="848"/>
        <w:gridCol w:w="203"/>
        <w:gridCol w:w="915"/>
      </w:tblGrid>
      <w:tr w:rsidR="006247BF" w:rsidRPr="00624BF1" w:rsidTr="001B5199">
        <w:trPr>
          <w:trHeight w:val="108"/>
          <w:tblHeader/>
        </w:trPr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5243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Assets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=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Liabilities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624BF1"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sz w:val="20"/>
                <w:szCs w:val="24"/>
              </w:rPr>
            </w:pPr>
            <w:r w:rsidRPr="001C6379">
              <w:rPr>
                <w:rFonts w:ascii="inherit" w:eastAsia="Times New Roman" w:hAnsi="inherit" w:cs="Times New Roman"/>
                <w:b/>
                <w:bCs/>
                <w:sz w:val="20"/>
                <w:szCs w:val="24"/>
                <w:u w:val="single"/>
                <w:bdr w:val="none" w:sz="0" w:space="0" w:color="auto" w:frame="1"/>
              </w:rPr>
              <w:t>Stockholders' Equity</w:t>
            </w:r>
          </w:p>
        </w:tc>
      </w:tr>
      <w:tr w:rsidR="006247BF" w:rsidRPr="001C6379" w:rsidTr="001B5199">
        <w:trPr>
          <w:trHeight w:val="131"/>
        </w:trPr>
        <w:tc>
          <w:tcPr>
            <w:tcW w:w="61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Date</w:t>
            </w:r>
          </w:p>
        </w:tc>
        <w:tc>
          <w:tcPr>
            <w:tcW w:w="876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Cash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Receivable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Supplies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Equipment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Notes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Accounts Payable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Common Stock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Retained Earnings</w:t>
            </w:r>
          </w:p>
        </w:tc>
      </w:tr>
      <w:tr w:rsidR="006247BF" w:rsidRPr="001C6379" w:rsidTr="001B5199">
        <w:trPr>
          <w:trHeight w:val="319"/>
        </w:trPr>
        <w:tc>
          <w:tcPr>
            <w:tcW w:w="61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76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bottom"/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Revenues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24BF1">
              <w:rPr>
                <w:rFonts w:ascii="Times New Roman" w:eastAsia="Times New Roman" w:hAnsi="Times New Roman" w:cs="Times New Roman"/>
                <w:sz w:val="20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247BF" w:rsidRPr="00624BF1" w:rsidRDefault="006247BF" w:rsidP="006247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C6379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bdr w:val="none" w:sz="0" w:space="0" w:color="auto" w:frame="1"/>
              </w:rPr>
              <w:t>Dividends</w:t>
            </w:r>
          </w:p>
        </w:tc>
      </w:tr>
    </w:tbl>
    <w:tbl>
      <w:tblPr>
        <w:tblStyle w:val="TableGrid"/>
        <w:tblW w:w="13229" w:type="dxa"/>
        <w:tblLook w:val="04A0" w:firstRow="1" w:lastRow="0" w:firstColumn="1" w:lastColumn="0" w:noHBand="0" w:noVBand="1"/>
      </w:tblPr>
      <w:tblGrid>
        <w:gridCol w:w="1207"/>
        <w:gridCol w:w="2028"/>
        <w:gridCol w:w="1080"/>
        <w:gridCol w:w="1260"/>
        <w:gridCol w:w="1530"/>
        <w:gridCol w:w="1710"/>
        <w:gridCol w:w="1488"/>
        <w:gridCol w:w="1112"/>
        <w:gridCol w:w="1000"/>
        <w:gridCol w:w="814"/>
      </w:tblGrid>
      <w:tr w:rsidR="001B5199" w:rsidTr="001B5199">
        <w:trPr>
          <w:trHeight w:val="278"/>
        </w:trPr>
        <w:tc>
          <w:tcPr>
            <w:tcW w:w="1207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$1,100</w:t>
            </w:r>
          </w:p>
        </w:tc>
        <w:tc>
          <w:tcPr>
            <w:tcW w:w="2028" w:type="dxa"/>
          </w:tcPr>
          <w:p w:rsidR="001B5199" w:rsidRDefault="008C68D4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</w:t>
            </w:r>
            <w:r w:rsidR="001B5199"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$1,100</w:t>
            </w: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-$2,700</w:t>
            </w:r>
          </w:p>
        </w:tc>
        <w:tc>
          <w:tcPr>
            <w:tcW w:w="2028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950EB0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</w:t>
            </w:r>
            <w:r w:rsidR="001B5199"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$2,700</w:t>
            </w: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$3,600</w:t>
            </w:r>
          </w:p>
        </w:tc>
        <w:tc>
          <w:tcPr>
            <w:tcW w:w="2028" w:type="dxa"/>
          </w:tcPr>
          <w:p w:rsidR="001B5199" w:rsidRDefault="008C68D4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$1,800</w:t>
            </w: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$5,400</w:t>
            </w: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-$700</w:t>
            </w:r>
          </w:p>
        </w:tc>
        <w:tc>
          <w:tcPr>
            <w:tcW w:w="2028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$4,000</w:t>
            </w: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8C68D4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$3,300</w:t>
            </w: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-$2,450</w:t>
            </w:r>
          </w:p>
        </w:tc>
        <w:tc>
          <w:tcPr>
            <w:tcW w:w="2028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-$1,400</w:t>
            </w:r>
          </w:p>
          <w:p w:rsidR="008C68D4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-700-350</w:t>
            </w: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-$700</w:t>
            </w:r>
          </w:p>
        </w:tc>
        <w:tc>
          <w:tcPr>
            <w:tcW w:w="2028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$700</w:t>
            </w: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$5,000</w:t>
            </w:r>
          </w:p>
        </w:tc>
        <w:tc>
          <w:tcPr>
            <w:tcW w:w="2028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8C68D4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  <w:t>$5,000</w:t>
            </w:r>
            <w:bookmarkStart w:id="0" w:name="_GoBack"/>
            <w:bookmarkEnd w:id="0"/>
          </w:p>
        </w:tc>
        <w:tc>
          <w:tcPr>
            <w:tcW w:w="1710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  <w:tr w:rsidR="001B5199" w:rsidTr="001B5199">
        <w:trPr>
          <w:trHeight w:val="278"/>
        </w:trPr>
        <w:tc>
          <w:tcPr>
            <w:tcW w:w="1207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2028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710" w:type="dxa"/>
          </w:tcPr>
          <w:p w:rsidR="001B5199" w:rsidRDefault="001B5199" w:rsidP="001B5199">
            <w:pPr>
              <w:jc w:val="center"/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488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112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1000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  <w:tc>
          <w:tcPr>
            <w:tcW w:w="814" w:type="dxa"/>
          </w:tcPr>
          <w:p w:rsidR="001B5199" w:rsidRDefault="001B5199">
            <w:pPr>
              <w:rPr>
                <w:rFonts w:ascii="inherit" w:eastAsia="Times New Roman" w:hAnsi="inherit" w:cs="Times New Roman"/>
                <w:b/>
                <w:bCs/>
                <w:color w:val="F05422"/>
                <w:sz w:val="24"/>
                <w:szCs w:val="24"/>
                <w:u w:val="single"/>
                <w:bdr w:val="none" w:sz="0" w:space="0" w:color="auto" w:frame="1"/>
              </w:rPr>
            </w:pPr>
          </w:p>
        </w:tc>
      </w:tr>
    </w:tbl>
    <w:p w:rsidR="006247BF" w:rsidRDefault="006247BF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:rsidR="006247BF" w:rsidRDefault="006247BF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6247BF" w:rsidSect="006247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6247BF" w:rsidTr="001B5199">
        <w:trPr>
          <w:trHeight w:val="1187"/>
        </w:trPr>
        <w:tc>
          <w:tcPr>
            <w:tcW w:w="9350" w:type="dxa"/>
            <w:gridSpan w:val="3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Revenues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Expenses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Expenses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Net Income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1C6379" w:rsidRDefault="001C637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6247BF" w:rsidTr="001B5199">
        <w:trPr>
          <w:trHeight w:val="1160"/>
        </w:trPr>
        <w:tc>
          <w:tcPr>
            <w:tcW w:w="9350" w:type="dxa"/>
            <w:gridSpan w:val="3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Retained Earnings, June 1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Add: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Less: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1B5199">
        <w:tc>
          <w:tcPr>
            <w:tcW w:w="566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Retained Earnings, June 30</w:t>
            </w:r>
          </w:p>
        </w:tc>
        <w:tc>
          <w:tcPr>
            <w:tcW w:w="1890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6247BF" w:rsidRDefault="006247BF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5708"/>
        <w:gridCol w:w="1904"/>
        <w:gridCol w:w="1808"/>
      </w:tblGrid>
      <w:tr w:rsidR="006247BF" w:rsidTr="006247BF">
        <w:trPr>
          <w:trHeight w:val="1152"/>
        </w:trPr>
        <w:tc>
          <w:tcPr>
            <w:tcW w:w="9420" w:type="dxa"/>
            <w:gridSpan w:val="3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Current Assets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Current Assets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Assets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82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Current Liabilities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Total Liabilities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Stockholders’ Equity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6247BF" w:rsidTr="006247BF">
        <w:trPr>
          <w:trHeight w:val="265"/>
        </w:trPr>
        <w:tc>
          <w:tcPr>
            <w:tcW w:w="57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Total liabilities and stockholders’ equity</w:t>
            </w:r>
          </w:p>
        </w:tc>
        <w:tc>
          <w:tcPr>
            <w:tcW w:w="1904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6247BF" w:rsidRDefault="006247BF" w:rsidP="001B519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6247BF" w:rsidRPr="006247BF" w:rsidRDefault="006247BF" w:rsidP="006247BF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"/>
          <w:szCs w:val="2"/>
          <w:u w:val="single"/>
          <w:bdr w:val="none" w:sz="0" w:space="0" w:color="auto" w:frame="1"/>
        </w:rPr>
      </w:pPr>
    </w:p>
    <w:sectPr w:rsidR="006247BF" w:rsidRPr="006247BF" w:rsidSect="006247BF">
      <w:pgSz w:w="12240" w:h="15840"/>
      <w:pgMar w:top="1440" w:right="1440" w:bottom="18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06" w:rsidRDefault="005E7D06" w:rsidP="000029A7">
      <w:pPr>
        <w:spacing w:after="0" w:line="240" w:lineRule="auto"/>
      </w:pPr>
      <w:r>
        <w:separator/>
      </w:r>
    </w:p>
  </w:endnote>
  <w:endnote w:type="continuationSeparator" w:id="0">
    <w:p w:rsidR="005E7D06" w:rsidRDefault="005E7D06" w:rsidP="0000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839468"/>
      <w:docPartObj>
        <w:docPartGallery w:val="Page Numbers (Bottom of Page)"/>
        <w:docPartUnique/>
      </w:docPartObj>
    </w:sdtPr>
    <w:sdtContent>
      <w:sdt>
        <w:sdtPr>
          <w:id w:val="-882021023"/>
          <w:docPartObj>
            <w:docPartGallery w:val="Page Numbers (Top of Page)"/>
            <w:docPartUnique/>
          </w:docPartObj>
        </w:sdtPr>
        <w:sdtContent>
          <w:p w:rsidR="001B5199" w:rsidRPr="00A421D0" w:rsidRDefault="001B5199" w:rsidP="001D6B55">
            <w:pPr>
              <w:pStyle w:val="Header"/>
              <w:jc w:val="center"/>
            </w:pPr>
            <w:r>
              <w:t>_____________________________________________________________________________________</w:t>
            </w:r>
          </w:p>
          <w:p w:rsidR="001B5199" w:rsidRDefault="001B5199" w:rsidP="001D6B55">
            <w:pPr>
              <w:pStyle w:val="Footer"/>
              <w:jc w:val="center"/>
              <w:rPr>
                <w:rFonts w:ascii="inherit" w:hAnsi="inherit"/>
                <w:i/>
                <w:sz w:val="20"/>
              </w:rPr>
            </w:pPr>
            <w:r w:rsidRPr="00C42390">
              <w:rPr>
                <w:rFonts w:ascii="inherit" w:hAnsi="inherit"/>
                <w:i/>
                <w:sz w:val="20"/>
              </w:rPr>
              <w:t>All problems: Kimmel, Paul D., and Jerry J. Weygandt. Survey of Accounting. Wiley, 2017.</w:t>
            </w:r>
          </w:p>
          <w:p w:rsidR="001B5199" w:rsidRDefault="001B5199" w:rsidP="00C42390">
            <w:pPr>
              <w:pStyle w:val="Footer"/>
              <w:rPr>
                <w:rFonts w:ascii="inherit" w:hAnsi="inherit"/>
                <w:i/>
                <w:sz w:val="20"/>
              </w:rPr>
            </w:pPr>
          </w:p>
          <w:p w:rsidR="001B5199" w:rsidRPr="00A421D0" w:rsidRDefault="001B5199" w:rsidP="00A421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08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08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06" w:rsidRDefault="005E7D06" w:rsidP="000029A7">
      <w:pPr>
        <w:spacing w:after="0" w:line="240" w:lineRule="auto"/>
      </w:pPr>
      <w:r>
        <w:separator/>
      </w:r>
    </w:p>
  </w:footnote>
  <w:footnote w:type="continuationSeparator" w:id="0">
    <w:p w:rsidR="005E7D06" w:rsidRDefault="005E7D06" w:rsidP="0000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199" w:rsidRPr="00C42390" w:rsidRDefault="001B5199">
    <w:pPr>
      <w:pStyle w:val="Header"/>
      <w:rPr>
        <w:rFonts w:ascii="inherit" w:hAnsi="inherit"/>
        <w:sz w:val="20"/>
        <w:szCs w:val="20"/>
      </w:rPr>
    </w:pPr>
    <w:r w:rsidRPr="00C42390">
      <w:rPr>
        <w:rFonts w:ascii="inherit" w:hAnsi="inherit"/>
        <w:sz w:val="20"/>
        <w:szCs w:val="20"/>
      </w:rPr>
      <w:t>ACT205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F01"/>
    <w:multiLevelType w:val="hybridMultilevel"/>
    <w:tmpl w:val="CF627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4F50"/>
    <w:multiLevelType w:val="hybridMultilevel"/>
    <w:tmpl w:val="EF369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3234A"/>
    <w:multiLevelType w:val="hybridMultilevel"/>
    <w:tmpl w:val="E9D8A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7794"/>
    <w:multiLevelType w:val="hybridMultilevel"/>
    <w:tmpl w:val="D840B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36B8"/>
    <w:multiLevelType w:val="hybridMultilevel"/>
    <w:tmpl w:val="DFAAF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DE6"/>
    <w:multiLevelType w:val="hybridMultilevel"/>
    <w:tmpl w:val="F1420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F6CB3"/>
    <w:multiLevelType w:val="hybridMultilevel"/>
    <w:tmpl w:val="B482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34E43"/>
    <w:multiLevelType w:val="multilevel"/>
    <w:tmpl w:val="6A7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77A61"/>
    <w:multiLevelType w:val="hybridMultilevel"/>
    <w:tmpl w:val="56D45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546F2"/>
    <w:multiLevelType w:val="hybridMultilevel"/>
    <w:tmpl w:val="CB0C2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51986"/>
    <w:multiLevelType w:val="hybridMultilevel"/>
    <w:tmpl w:val="DAD26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4572"/>
    <w:multiLevelType w:val="hybridMultilevel"/>
    <w:tmpl w:val="EFB6D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11B35"/>
    <w:multiLevelType w:val="hybridMultilevel"/>
    <w:tmpl w:val="CE725F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E306B"/>
    <w:multiLevelType w:val="hybridMultilevel"/>
    <w:tmpl w:val="EFB6D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F7E99"/>
    <w:multiLevelType w:val="hybridMultilevel"/>
    <w:tmpl w:val="1B5CF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76038"/>
    <w:multiLevelType w:val="hybridMultilevel"/>
    <w:tmpl w:val="DFAAF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D190B"/>
    <w:multiLevelType w:val="hybridMultilevel"/>
    <w:tmpl w:val="E7404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6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A7"/>
    <w:rsid w:val="000029A7"/>
    <w:rsid w:val="00043B93"/>
    <w:rsid w:val="00112AFF"/>
    <w:rsid w:val="001A1CEE"/>
    <w:rsid w:val="001B5199"/>
    <w:rsid w:val="001C6379"/>
    <w:rsid w:val="001D6B55"/>
    <w:rsid w:val="001F0D87"/>
    <w:rsid w:val="00280F56"/>
    <w:rsid w:val="003509AA"/>
    <w:rsid w:val="00365F99"/>
    <w:rsid w:val="00370FFE"/>
    <w:rsid w:val="003A0080"/>
    <w:rsid w:val="003B26BC"/>
    <w:rsid w:val="003B65A2"/>
    <w:rsid w:val="00565870"/>
    <w:rsid w:val="005E7D06"/>
    <w:rsid w:val="005F53CC"/>
    <w:rsid w:val="006247BF"/>
    <w:rsid w:val="00624BF1"/>
    <w:rsid w:val="006535BA"/>
    <w:rsid w:val="00657151"/>
    <w:rsid w:val="006B757F"/>
    <w:rsid w:val="006E799A"/>
    <w:rsid w:val="007C4080"/>
    <w:rsid w:val="007D3F67"/>
    <w:rsid w:val="007E595E"/>
    <w:rsid w:val="0082452B"/>
    <w:rsid w:val="00853339"/>
    <w:rsid w:val="00856EAE"/>
    <w:rsid w:val="0086717A"/>
    <w:rsid w:val="00897228"/>
    <w:rsid w:val="008C68D4"/>
    <w:rsid w:val="00950EB0"/>
    <w:rsid w:val="009C0D08"/>
    <w:rsid w:val="00A421D0"/>
    <w:rsid w:val="00A5295E"/>
    <w:rsid w:val="00AD53B5"/>
    <w:rsid w:val="00B46515"/>
    <w:rsid w:val="00B975AE"/>
    <w:rsid w:val="00BE7AA4"/>
    <w:rsid w:val="00C11DE0"/>
    <w:rsid w:val="00C42390"/>
    <w:rsid w:val="00C53FB0"/>
    <w:rsid w:val="00CF5991"/>
    <w:rsid w:val="00D75CCC"/>
    <w:rsid w:val="00DB1B8B"/>
    <w:rsid w:val="00E36034"/>
    <w:rsid w:val="00E92375"/>
    <w:rsid w:val="00F729D7"/>
    <w:rsid w:val="00F85147"/>
    <w:rsid w:val="00F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6F4A1-7F7B-43A4-A808-DFE33C7E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24BF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ange">
    <w:name w:val="orange"/>
    <w:basedOn w:val="DefaultParagraphFont"/>
    <w:rsid w:val="000029A7"/>
  </w:style>
  <w:style w:type="paragraph" w:customStyle="1" w:styleId="blue">
    <w:name w:val="blue"/>
    <w:basedOn w:val="Normal"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list1">
    <w:name w:val="paralist1"/>
    <w:basedOn w:val="Normal"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029A7"/>
  </w:style>
  <w:style w:type="character" w:customStyle="1" w:styleId="blue1">
    <w:name w:val="blue1"/>
    <w:basedOn w:val="DefaultParagraphFont"/>
    <w:rsid w:val="000029A7"/>
  </w:style>
  <w:style w:type="character" w:styleId="Hyperlink">
    <w:name w:val="Hyperlink"/>
    <w:basedOn w:val="DefaultParagraphFont"/>
    <w:uiPriority w:val="99"/>
    <w:semiHidden/>
    <w:unhideWhenUsed/>
    <w:rsid w:val="00002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9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A7"/>
  </w:style>
  <w:style w:type="paragraph" w:styleId="Footer">
    <w:name w:val="footer"/>
    <w:basedOn w:val="Normal"/>
    <w:link w:val="FooterChar"/>
    <w:uiPriority w:val="99"/>
    <w:unhideWhenUsed/>
    <w:rsid w:val="0000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A7"/>
  </w:style>
  <w:style w:type="character" w:customStyle="1" w:styleId="exercise-number">
    <w:name w:val="exercise-number"/>
    <w:basedOn w:val="DefaultParagraphFont"/>
    <w:rsid w:val="0082452B"/>
  </w:style>
  <w:style w:type="character" w:customStyle="1" w:styleId="exerciseicon">
    <w:name w:val="exerciseicon"/>
    <w:basedOn w:val="DefaultParagraphFont"/>
    <w:rsid w:val="0082452B"/>
  </w:style>
  <w:style w:type="character" w:styleId="Emphasis">
    <w:name w:val="Emphasis"/>
    <w:basedOn w:val="DefaultParagraphFont"/>
    <w:uiPriority w:val="20"/>
    <w:qFormat/>
    <w:rsid w:val="0082452B"/>
    <w:rPr>
      <w:i/>
      <w:iCs/>
    </w:rPr>
  </w:style>
  <w:style w:type="character" w:customStyle="1" w:styleId="text-decorationunderline">
    <w:name w:val="text-decoration:underline"/>
    <w:basedOn w:val="DefaultParagraphFont"/>
    <w:rsid w:val="0082452B"/>
  </w:style>
  <w:style w:type="character" w:customStyle="1" w:styleId="item-number">
    <w:name w:val="item-number"/>
    <w:basedOn w:val="DefaultParagraphFont"/>
    <w:rsid w:val="0082452B"/>
  </w:style>
  <w:style w:type="character" w:customStyle="1" w:styleId="border-bottom3px">
    <w:name w:val="border-bottom:3px"/>
    <w:basedOn w:val="DefaultParagraphFont"/>
    <w:rsid w:val="00370FFE"/>
  </w:style>
  <w:style w:type="character" w:styleId="Strong">
    <w:name w:val="Strong"/>
    <w:basedOn w:val="DefaultParagraphFont"/>
    <w:uiPriority w:val="22"/>
    <w:qFormat/>
    <w:rsid w:val="00370FFE"/>
    <w:rPr>
      <w:b/>
      <w:bCs/>
    </w:rPr>
  </w:style>
  <w:style w:type="character" w:customStyle="1" w:styleId="red1">
    <w:name w:val="red1"/>
    <w:basedOn w:val="DefaultParagraphFont"/>
    <w:rsid w:val="003B65A2"/>
  </w:style>
  <w:style w:type="character" w:customStyle="1" w:styleId="un">
    <w:name w:val="un"/>
    <w:basedOn w:val="DefaultParagraphFont"/>
    <w:rsid w:val="003B65A2"/>
  </w:style>
  <w:style w:type="character" w:customStyle="1" w:styleId="un2">
    <w:name w:val="un2"/>
    <w:basedOn w:val="DefaultParagraphFont"/>
    <w:rsid w:val="003B65A2"/>
  </w:style>
  <w:style w:type="table" w:styleId="TableGrid">
    <w:name w:val="Table Grid"/>
    <w:basedOn w:val="TableNormal"/>
    <w:uiPriority w:val="39"/>
    <w:rsid w:val="00C5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624BF1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aralist1-h1">
    <w:name w:val="paralist1-h1"/>
    <w:basedOn w:val="Normal"/>
    <w:rsid w:val="0062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s">
    <w:name w:val="mathematics"/>
    <w:basedOn w:val="DefaultParagraphFont"/>
    <w:rsid w:val="001C6379"/>
  </w:style>
  <w:style w:type="paragraph" w:styleId="BalloonText">
    <w:name w:val="Balloon Text"/>
    <w:basedOn w:val="Normal"/>
    <w:link w:val="BalloonTextChar"/>
    <w:uiPriority w:val="99"/>
    <w:semiHidden/>
    <w:unhideWhenUsed/>
    <w:rsid w:val="001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FF"/>
    <w:rPr>
      <w:rFonts w:ascii="Segoe UI" w:hAnsi="Segoe UI" w:cs="Segoe UI"/>
      <w:sz w:val="18"/>
      <w:szCs w:val="18"/>
    </w:rPr>
  </w:style>
  <w:style w:type="character" w:customStyle="1" w:styleId="orangeback1">
    <w:name w:val="orange_back1"/>
    <w:basedOn w:val="DefaultParagraphFont"/>
    <w:rsid w:val="003B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2406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uble" w:sz="6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0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9662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21174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auto"/>
                    <w:right w:val="none" w:sz="0" w:space="0" w:color="auto"/>
                  </w:divBdr>
                </w:div>
                <w:div w:id="1626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3820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9444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413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232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6300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5092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191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38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45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829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8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3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2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1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0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0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5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4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7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7D25E-21A1-4895-A217-A8C0F252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</Company>
  <LinksUpToDate>false</LinksUpToDate>
  <CharactersWithSpaces>10459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Young,Falene</dc:creator>
  <cp:keywords/>
  <dc:description/>
  <cp:lastModifiedBy>Matt Aertker</cp:lastModifiedBy>
  <cp:revision>3</cp:revision>
  <cp:lastPrinted>2019-02-05T16:31:00Z</cp:lastPrinted>
  <dcterms:created xsi:type="dcterms:W3CDTF">2019-02-07T20:41:00Z</dcterms:created>
  <dcterms:modified xsi:type="dcterms:W3CDTF">2019-02-07T20:41:00Z</dcterms:modified>
</cp:coreProperties>
</file>