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8"/>
          <w:szCs w:val="28"/>
        </w:rPr>
        <w:t xml:space="preserve">Group Project: Introduction Data Engineering  —  System Design</w:t>
      </w:r>
    </w:p>
    <w:p>
      <w:pPr>
        <w:spacing w:after="60"/>
      </w:pPr>
      <w:r>
        <w:rPr>
          <w:rFonts w:ascii="Arial" w:cs="Arial" w:eastAsia="Arial" w:hAnsi="Arial"/>
          <w:color w:val="666666"/>
          <w:sz w:val="24"/>
          <w:szCs w:val="24"/>
        </w:rPr>
        <w:t xml:space="preserve">Section 3</w:t>
      </w:r>
    </w:p>
    <w:p>
      <w:pPr>
        <w:spacing w:after="100"/>
      </w:pPr>
    </w:p>
    <w:p>
      <w:pPr>
        <w:pStyle w:val="Heading1"/>
        <w:spacing w:after="200" w:before="360"/>
      </w:pPr>
      <w:r>
        <w:rPr>
          <w:rFonts w:ascii="Arial" w:cs="Arial" w:eastAsia="Arial" w:hAnsi="Arial"/>
          <w:b/>
          <w:bCs/>
          <w:sz w:val="32"/>
          <w:szCs w:val="32"/>
        </w:rPr>
        <w:t xml:space="preserve">3  System Design</w:t>
      </w:r>
    </w:p>
    <w:p>
      <w:pPr>
        <w:pStyle w:val="Heading2"/>
        <w:spacing w:after="140" w:before="280"/>
      </w:pPr>
      <w:r>
        <w:rPr>
          <w:rFonts w:ascii="Arial" w:cs="Arial" w:eastAsia="Arial" w:hAnsi="Arial"/>
          <w:b/>
          <w:bCs/>
          <w:sz w:val="28"/>
          <w:szCs w:val="28"/>
        </w:rPr>
        <w:t xml:space="preserve">3.1  Overview of the System Architecture</w:t>
      </w:r>
    </w:p>
    <w:p>
      <w:pPr>
        <w:spacing w:after="140"/>
      </w:pPr>
      <w:r>
        <w:rPr>
          <w:rFonts w:ascii="Arial" w:cs="Arial" w:eastAsia="Arial" w:hAnsi="Arial"/>
          <w:sz w:val="24"/>
          <w:szCs w:val="24"/>
        </w:rPr>
        <w:t xml:space="preserve">With the data sources mapped out (Section 1) and PostgreSQL chosen as the database (Section 2), this section gets into the actual design of the system. Four areas are covered: the relational schema, which defines how the five sources are laid out in the database; the ETL pipeline, which describes how raw CSV files are cleaned and loaded; the distributed architecture, which explains how the database is deployed and kept reliable; and the data security policy, which addresses how personal health and academic data is protected throughout the project.</w:t>
      </w:r>
    </w:p>
    <w:p>
      <w:pPr>
        <w:spacing w:after="100"/>
      </w:pPr>
    </w:p>
    <w:p>
      <w:pPr>
        <w:spacing w:after="140"/>
      </w:pPr>
      <w:r>
        <w:rPr>
          <w:rFonts w:ascii="Arial" w:cs="Arial" w:eastAsia="Arial" w:hAnsi="Arial"/>
          <w:sz w:val="24"/>
          <w:szCs w:val="24"/>
        </w:rPr>
        <w:t xml:space="preserve">At the centre of everything is a single PostgreSQL database, bringing together data from three students across 89 days — 2 September to 29 November 2024. Getting there requires three steps:</w:t>
      </w:r>
    </w:p>
    <w:p>
      <w:pPr>
        <w:spacing w:after="100"/>
      </w:pPr>
    </w:p>
    <w:p>
      <w:pPr>
        <w:pStyle w:val="ListParagraph"/>
        <w:numPr>
          <w:ilvl w:val="0"/>
          <w:numId w:val="2"/>
        </w:numPr>
        <w:spacing w:after="60"/>
      </w:pPr>
      <w:r>
        <w:rPr>
          <w:rFonts w:ascii="Arial" w:cs="Arial" w:eastAsia="Arial" w:hAnsi="Arial"/>
          <w:sz w:val="22"/>
          <w:szCs w:val="22"/>
        </w:rPr>
        <w:t xml:space="preserve">Extract — read the eleven raw CSV files, one file per student per source type.</w:t>
      </w:r>
    </w:p>
    <w:p>
      <w:pPr>
        <w:pStyle w:val="ListParagraph"/>
        <w:numPr>
          <w:ilvl w:val="0"/>
          <w:numId w:val="2"/>
        </w:numPr>
        <w:spacing w:after="60"/>
      </w:pPr>
      <w:r>
        <w:rPr>
          <w:rFonts w:ascii="Arial" w:cs="Arial" w:eastAsia="Arial" w:hAnsi="Arial"/>
          <w:sz w:val="22"/>
          <w:szCs w:val="22"/>
        </w:rPr>
        <w:t xml:space="preserve">Transform: Python scripts standardise date formats, coerce data types, handle NULL values, and remove duplicates.</w:t>
      </w:r>
    </w:p>
    <w:p>
      <w:pPr>
        <w:pStyle w:val="ListParagraph"/>
        <w:numPr>
          <w:ilvl w:val="0"/>
          <w:numId w:val="2"/>
        </w:numPr>
        <w:spacing w:after="60"/>
      </w:pPr>
      <w:r>
        <w:rPr>
          <w:rFonts w:ascii="Arial" w:cs="Arial" w:eastAsia="Arial" w:hAnsi="Arial"/>
          <w:sz w:val="22"/>
          <w:szCs w:val="22"/>
        </w:rPr>
        <w:t xml:space="preserve">Load — insert the cleaned records into PostgreSQL using psycopg2.</w:t>
      </w:r>
    </w:p>
    <w:p>
      <w:pPr>
        <w:pStyle w:val="ListParagraph"/>
        <w:numPr>
          <w:ilvl w:val="0"/>
          <w:numId w:val="2"/>
        </w:numPr>
        <w:spacing w:after="60"/>
      </w:pPr>
      <w:r>
        <w:rPr>
          <w:rFonts w:ascii="Arial" w:cs="Arial" w:eastAsia="Arial" w:hAnsi="Arial"/>
          <w:sz w:val="22"/>
          <w:szCs w:val="22"/>
        </w:rPr>
        <w:t xml:space="preserve">Query: five analytical SQL queries run against the database to answer the research sub-questions.</w:t>
      </w:r>
    </w:p>
    <w:p>
      <w:pPr>
        <w:spacing w:after="100"/>
      </w:pPr>
    </w:p>
    <w:p>
      <w:pPr>
        <w:spacing w:after="140"/>
      </w:pPr>
      <w:r>
        <w:rPr>
          <w:rFonts w:ascii="Arial" w:cs="Arial" w:eastAsia="Arial" w:hAnsi="Arial"/>
          <w:sz w:val="24"/>
          <w:szCs w:val="24"/>
        </w:rPr>
        <w:t xml:space="preserve">One thing worth stating upfront: this system is small. Three students, roughly 1,400 rows, queries that finish in milliseconds. That context matters for Section 3.4, where distributed concepts like sharding are discussed. The design is honest about what is and is not warranted at this scale, and explains why.</w:t>
      </w:r>
    </w:p>
    <w:p>
      <w:pPr>
        <w:spacing w:after="100"/>
      </w:pPr>
    </w:p>
    <w:p>
      <w:pPr>
        <w:pStyle w:val="Heading2"/>
        <w:spacing w:after="140" w:before="280"/>
      </w:pPr>
      <w:r>
        <w:rPr>
          <w:rFonts w:ascii="Arial" w:cs="Arial" w:eastAsia="Arial" w:hAnsi="Arial"/>
          <w:b/>
          <w:bCs/>
          <w:sz w:val="28"/>
          <w:szCs w:val="28"/>
        </w:rPr>
        <w:t xml:space="preserve">3.2  Relational Schema Design</w:t>
      </w:r>
    </w:p>
    <w:p>
      <w:pPr>
        <w:spacing w:after="140"/>
      </w:pPr>
      <w:r>
        <w:rPr>
          <w:rFonts w:ascii="Arial" w:cs="Arial" w:eastAsia="Arial" w:hAnsi="Arial"/>
          <w:sz w:val="24"/>
          <w:szCs w:val="24"/>
        </w:rPr>
        <w:t xml:space="preserve">Before writing any code, the schema has to be decided: which tables will exist, what each column is called, what type of data it holds, and how tables link to each other. A good way to picture it is a set of filing drawers — each drawer holds one type of record, and cross-reference tabs let you pull records from different drawers and combine them. Here, the schema defines six tables: a small reference table for student identities, and one table per data source.</w:t>
      </w:r>
    </w:p>
    <w:p>
      <w:pPr>
        <w:spacing w:after="100"/>
      </w:pPr>
    </w:p>
    <w:p>
      <w:pPr>
        <w:spacing w:after="140"/>
      </w:pPr>
      <w:r>
        <w:rPr>
          <w:rFonts w:ascii="Arial" w:cs="Arial" w:eastAsia="Arial" w:hAnsi="Arial"/>
          <w:sz w:val="24"/>
          <w:szCs w:val="24"/>
        </w:rPr>
        <w:t xml:space="preserve">Throughout, the design follows the principle of normalisation: each piece of information lives in exactly one place. If something changes — say a student identifier — it is updated in one row, and that change flows everywhere automatically. Nothing gets out of sync.</w:t>
      </w:r>
    </w:p>
    <w:p>
      <w:pPr>
        <w:spacing w:after="100"/>
      </w:pPr>
    </w:p>
    <w:p>
      <w:pPr>
        <w:pStyle w:val="Heading3"/>
        <w:spacing w:after="80" w:before="200"/>
      </w:pPr>
      <w:r>
        <w:rPr>
          <w:rFonts w:ascii="Arial" w:cs="Arial" w:eastAsia="Arial" w:hAnsi="Arial"/>
          <w:b/>
          <w:bCs/>
          <w:sz w:val="24"/>
          <w:szCs w:val="24"/>
        </w:rPr>
        <w:t xml:space="preserve">3.2.1  Table: students</w:t>
      </w:r>
    </w:p>
    <w:p>
      <w:pPr>
        <w:spacing w:after="140"/>
      </w:pPr>
      <w:r>
        <w:rPr>
          <w:rFonts w:ascii="Arial" w:cs="Arial" w:eastAsia="Arial" w:hAnsi="Arial"/>
          <w:sz w:val="24"/>
          <w:szCs w:val="24"/>
        </w:rPr>
        <w:t xml:space="preserve">A small but essential anchor table. Every other table in the schema has a foreign key pointing back here, which creates a single place to manage student identity. It also makes GDPR erasure straightforward: deleting one row automatically cascades through all five data tables, removing every record belonging to that student in a single command.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714"/>
        <w:gridCol w:w="2437"/>
        <w:gridCol w:w="2890"/>
      </w:tblGrid>
      <w:tr>
        <w:trPr>
          <w:tblHeader/>
        </w:trPr>
        <w:tc>
          <w:tcPr>
            <w:tcW w:type="dxa" w:w="1985"/>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Column</w:t>
            </w:r>
          </w:p>
        </w:tc>
        <w:tc>
          <w:tcPr>
            <w:tcW w:type="dxa" w:w="1714"/>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PostgreSQL type</w:t>
            </w:r>
          </w:p>
        </w:tc>
        <w:tc>
          <w:tcPr>
            <w:tcW w:type="dxa" w:w="2437"/>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Constraints / notes</w:t>
            </w:r>
          </w:p>
        </w:tc>
        <w:tc>
          <w:tcPr>
            <w:tcW w:type="dxa" w:w="289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student_id</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VARCHAR(4)</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PRIMARY KEY</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Anonymous identifier (S001, S002, S003)</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name</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VARCHAR(100)</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Pseudonymised display name</w:t>
            </w:r>
          </w:p>
        </w:tc>
      </w:tr>
    </w:tbl>
    <w:p>
      <w:pPr>
        <w:spacing w:after="100"/>
      </w:pPr>
    </w:p>
    <w:p>
      <w:pPr>
        <w:pStyle w:val="Heading3"/>
        <w:spacing w:after="80" w:before="200"/>
      </w:pPr>
      <w:r>
        <w:rPr>
          <w:rFonts w:ascii="Arial" w:cs="Arial" w:eastAsia="Arial" w:hAnsi="Arial"/>
          <w:b/>
          <w:bCs/>
          <w:sz w:val="24"/>
          <w:szCs w:val="24"/>
        </w:rPr>
        <w:t xml:space="preserve">3.2.2  Table: whoop_cycles</w:t>
      </w:r>
    </w:p>
    <w:p>
      <w:pPr>
        <w:spacing w:after="140"/>
      </w:pPr>
      <w:r>
        <w:rPr>
          <w:rFonts w:ascii="Arial" w:cs="Arial" w:eastAsia="Arial" w:hAnsi="Arial"/>
          <w:sz w:val="24"/>
          <w:szCs w:val="24"/>
        </w:rPr>
        <w:t xml:space="preserve">One row per student per day — the cleanest structure in the whole dataset. Columns follow the WHOOP export format closely, since there is no need to rename what is already well-structured. The unique constraint on (student_id, cycle_date) acts as a safeguard: if the ETL pipeline runs twice by accident, duplicate rows are silently rejected instead of committed.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714"/>
        <w:gridCol w:w="2437"/>
        <w:gridCol w:w="2890"/>
      </w:tblGrid>
      <w:tr>
        <w:trPr>
          <w:tblHeader/>
        </w:trPr>
        <w:tc>
          <w:tcPr>
            <w:tcW w:type="dxa" w:w="1985"/>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Column</w:t>
            </w:r>
          </w:p>
        </w:tc>
        <w:tc>
          <w:tcPr>
            <w:tcW w:type="dxa" w:w="1714"/>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PostgreSQL type</w:t>
            </w:r>
          </w:p>
        </w:tc>
        <w:tc>
          <w:tcPr>
            <w:tcW w:type="dxa" w:w="2437"/>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Constraints / notes</w:t>
            </w:r>
          </w:p>
        </w:tc>
        <w:tc>
          <w:tcPr>
            <w:tcW w:type="dxa" w:w="289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cycle_id</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SERIAL</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PRIMARY KEY</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Auto-incrementing surrogate key</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student_id</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VARCHAR(4)</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REFERENCES students ON DELETE CASCADE</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Links to the students table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cycle_date</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DATE</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Calendar date derived from cycle_start_time</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cycle_start_time</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Start of the physiological cycle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cycle_end_time</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End of the physiological cycle</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recovery_score_pct</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NUMERIC(4,1)</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CHECK (1 AND 99)</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WHOOP recovery score (1–99%)</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hrv_rmssd_milli</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NUMERIC(6,2)</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Heart rate variability in ms</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resting_heart_rate_bpm</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CHECK (&gt; 0)</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Resting heart rate in bpm</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day_strain</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NUMERIC(4,2)</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CHECK (0 AND 21)</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Cardiovascular load score (0–21)</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energy_burned_cal</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Total energy expenditure in kcal</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avg_heart_rate_bpm</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Average heart rate over the full day</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max_heart_rate_bpm</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Maximum heart rate recorded</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respiratory_rate_rpm</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NUMERIC(4,1)</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Average breaths per minute</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blood_oxygen_pct</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NUMERIC(4,1)</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CHECK (80 AND 100)</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Average SpO2 percentage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skin_temp_celsius</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NUMERIC(4,2)</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Average skin temperature in °C</w:t>
            </w:r>
          </w:p>
        </w:tc>
      </w:tr>
    </w:tbl>
    <w:p>
      <w:pPr>
        <w:spacing w:after="140"/>
      </w:pPr>
      <w:r>
        <w:rPr>
          <w:rFonts w:ascii="Arial" w:cs="Arial" w:eastAsia="Arial" w:hAnsi="Arial"/>
          <w:color w:val="666666"/>
          <w:sz w:val="24"/>
          <w:szCs w:val="24"/>
        </w:rPr>
        <w:t xml:space="preserve">Unique constraint: (student_id, cycle_date)</w:t>
      </w:r>
    </w:p>
    <w:p>
      <w:pPr>
        <w:spacing w:after="100"/>
      </w:pPr>
    </w:p>
    <w:p>
      <w:pPr>
        <w:pStyle w:val="Heading3"/>
        <w:spacing w:after="80" w:before="200"/>
      </w:pPr>
      <w:r>
        <w:rPr>
          <w:rFonts w:ascii="Arial" w:cs="Arial" w:eastAsia="Arial" w:hAnsi="Arial"/>
          <w:b/>
          <w:bCs/>
          <w:sz w:val="24"/>
          <w:szCs w:val="24"/>
        </w:rPr>
        <w:t xml:space="preserve">3.2.3  Table: whoop_sleep</w:t>
      </w:r>
    </w:p>
    <w:p>
      <w:pPr>
        <w:spacing w:after="140"/>
      </w:pPr>
      <w:r>
        <w:rPr>
          <w:rFonts w:ascii="Arial" w:cs="Arial" w:eastAsia="Arial" w:hAnsi="Arial"/>
          <w:sz w:val="24"/>
          <w:szCs w:val="24"/>
        </w:rPr>
        <w:t xml:space="preserve">One row per student per sleep session, aligned to a calendar date. In practice, a single overnight session is recorded per day, so this table joins naturally to whoop_cycles via student_id and sleep_date. The sleep architecture columns — REM, deep, light, and awake — are what make this table analytically valuable beyond just total sleep duration.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714"/>
        <w:gridCol w:w="2437"/>
        <w:gridCol w:w="2890"/>
      </w:tblGrid>
      <w:tr>
        <w:trPr>
          <w:tblHeader/>
        </w:trPr>
        <w:tc>
          <w:tcPr>
            <w:tcW w:type="dxa" w:w="1985"/>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Column</w:t>
            </w:r>
          </w:p>
        </w:tc>
        <w:tc>
          <w:tcPr>
            <w:tcW w:type="dxa" w:w="1714"/>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PostgreSQL type</w:t>
            </w:r>
          </w:p>
        </w:tc>
        <w:tc>
          <w:tcPr>
            <w:tcW w:type="dxa" w:w="2437"/>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Constraints / notes</w:t>
            </w:r>
          </w:p>
        </w:tc>
        <w:tc>
          <w:tcPr>
            <w:tcW w:type="dxa" w:w="289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sleep_id</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SERIAL</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PRIMARY KEY</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Auto-incrementing surrogate key</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student_id</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VARCHAR(4)</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REFERENCES students ON DELETE CASCADE</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Links to the students table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sleep_date</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DATE</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Calendar date derived from sleep_start_time</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sleep_start_time</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Sleep onset time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sleep_end_time</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Wake-up time</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sleep_duration_hrs</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NUMERIC(4,2)</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CHECK (&gt;= 0)</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Total time asleep in hours</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sleep_needed_hrs</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NUMERIC(4,2)</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WHOOP-calculated optimal sleep need</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sleep_performance_pct</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NUMERIC(4,1)</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CHECK (0 AND 200)</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Duration as % of sleep need</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sleep_efficiency_pct</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NUMERIC(4,1)</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CHECK (0 AND 100)</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of time in bed actually asleep</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rem_sleep_hrs</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NUMERIC(4,2)</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Time in REM stage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sws_deep_sleep_hrs</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NUMERIC(4,2)</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Time in slow-wave (deep) sleep stage</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light_sleep_hrs</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NUMERIC(4,2)</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Time in light sleep stage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awake_hrs</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NUMERIC(4,2)</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Time awake within the sleep window</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sleep_consistency_pct</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NUMERIC(4,1)</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Consistency of sleep schedule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respiratory_rate_rpm</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NUMERIC(4,1)</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Breathing rate during sleep</w:t>
            </w:r>
          </w:p>
        </w:tc>
      </w:tr>
    </w:tbl>
    <w:p>
      <w:pPr>
        <w:spacing w:after="140"/>
      </w:pPr>
      <w:r>
        <w:rPr>
          <w:rFonts w:ascii="Arial" w:cs="Arial" w:eastAsia="Arial" w:hAnsi="Arial"/>
          <w:color w:val="666666"/>
          <w:sz w:val="24"/>
          <w:szCs w:val="24"/>
        </w:rPr>
        <w:t xml:space="preserve">Unique constraint: (student_id, sleep_date)</w:t>
      </w:r>
    </w:p>
    <w:p>
      <w:pPr>
        <w:spacing w:after="100"/>
      </w:pPr>
    </w:p>
    <w:p>
      <w:pPr>
        <w:pStyle w:val="Heading3"/>
        <w:spacing w:after="80" w:before="200"/>
      </w:pPr>
      <w:r>
        <w:rPr>
          <w:rFonts w:ascii="Arial" w:cs="Arial" w:eastAsia="Arial" w:hAnsi="Arial"/>
          <w:b/>
          <w:bCs/>
          <w:sz w:val="24"/>
          <w:szCs w:val="24"/>
        </w:rPr>
        <w:t xml:space="preserve">3.2.4  Table: whoop_workouts</w:t>
      </w:r>
    </w:p>
    <w:p>
      <w:pPr>
        <w:spacing w:after="140"/>
      </w:pPr>
      <w:r>
        <w:rPr>
          <w:rFonts w:ascii="Arial" w:cs="Arial" w:eastAsia="Arial" w:hAnsi="Arial"/>
          <w:sz w:val="24"/>
          <w:szCs w:val="24"/>
        </w:rPr>
        <w:t xml:space="preserve">Unlike the cycles and sleep tables, this one is sparse: rows only exist on days when a workout actually happened. That structural difference matters for querying. Joining to whoop_cycles requires a LEFT JOIN — whoop_cycles has a row for every single day, but this table goes silent on rest days. The distance_km column is intentionally nullable; for gym-based sports like weightlifting or yoga, distance has no meaning and should not be stored as zero.</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714"/>
        <w:gridCol w:w="2437"/>
        <w:gridCol w:w="2890"/>
      </w:tblGrid>
      <w:tr>
        <w:trPr>
          <w:tblHeader/>
        </w:trPr>
        <w:tc>
          <w:tcPr>
            <w:tcW w:type="dxa" w:w="1985"/>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Column</w:t>
            </w:r>
          </w:p>
        </w:tc>
        <w:tc>
          <w:tcPr>
            <w:tcW w:type="dxa" w:w="1714"/>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PostgreSQL type</w:t>
            </w:r>
          </w:p>
        </w:tc>
        <w:tc>
          <w:tcPr>
            <w:tcW w:type="dxa" w:w="2437"/>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Constraints / notes</w:t>
            </w:r>
          </w:p>
        </w:tc>
        <w:tc>
          <w:tcPr>
            <w:tcW w:type="dxa" w:w="289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workout_id</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SERIAL</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PRIMARY KEY</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Auto-incrementing surrogate key</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student_id</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VARCHAR(4)</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REFERENCES students ON DELETE CASCADE</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Links to the students table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workout_date</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DATE</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Calendar date derived from workout_start_time</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workout_start_time</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TIMESTAMP</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Start time of the session</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sport</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VARCHAR(50)</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Activity type (Running, HIIT, Yoga, etc.)</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workout_strain</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NUMERIC(4,2)</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CHECK (0 AND 21)</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Cardiovascular load of the session</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duration_min</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CHECK (&gt; 0)</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Session duration in minutes (source for active minutes in Q1)</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avg_heart_rate_bpm</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Average heart rate during session</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max_heart_rate_bpm</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Peak heart rate during session</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calories_burned</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Estimated energy expenditure in kcal</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distance_km</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NUMERIC(6,3)</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NULL (nullable)</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Distance covered; NULL for gym-based sports</w:t>
            </w:r>
          </w:p>
        </w:tc>
      </w:tr>
    </w:tbl>
    <w:p>
      <w:pPr>
        <w:spacing w:after="100"/>
      </w:pPr>
    </w:p>
    <w:p>
      <w:pPr>
        <w:pStyle w:val="Heading3"/>
        <w:spacing w:after="80" w:before="200"/>
      </w:pPr>
      <w:r>
        <w:rPr>
          <w:rFonts w:ascii="Arial" w:cs="Arial" w:eastAsia="Arial" w:hAnsi="Arial"/>
          <w:b/>
          <w:bCs/>
          <w:sz w:val="24"/>
          <w:szCs w:val="24"/>
        </w:rPr>
        <w:t xml:space="preserve">3.2.5  Table: nutrition_logs</w:t>
      </w:r>
    </w:p>
    <w:p>
      <w:pPr>
        <w:spacing w:after="140"/>
      </w:pPr>
      <w:r>
        <w:rPr>
          <w:rFonts w:ascii="Arial" w:cs="Arial" w:eastAsia="Arial" w:hAnsi="Arial"/>
          <w:sz w:val="24"/>
          <w:szCs w:val="24"/>
        </w:rPr>
        <w:t xml:space="preserve">The most structurally complex table: up to four rows per student per day, one for each meal slot. Crucially, a missing day is not just a gap — it is information. As established in Section 1.5, S003 did not log 57% of days, and that absence likely reflects poor dietary habits rather than a data collection failure. Filling in averages would distort the analysis, so missing days are left as missing. A CHECK constraint on the meal column ensures only the four valid MyFitnessPal export values can enter the database.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714"/>
        <w:gridCol w:w="2437"/>
        <w:gridCol w:w="2890"/>
      </w:tblGrid>
      <w:tr>
        <w:trPr>
          <w:tblHeader/>
        </w:trPr>
        <w:tc>
          <w:tcPr>
            <w:tcW w:type="dxa" w:w="1985"/>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Column</w:t>
            </w:r>
          </w:p>
        </w:tc>
        <w:tc>
          <w:tcPr>
            <w:tcW w:type="dxa" w:w="1714"/>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PostgreSQL type</w:t>
            </w:r>
          </w:p>
        </w:tc>
        <w:tc>
          <w:tcPr>
            <w:tcW w:type="dxa" w:w="2437"/>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Constraints / notes</w:t>
            </w:r>
          </w:p>
        </w:tc>
        <w:tc>
          <w:tcPr>
            <w:tcW w:type="dxa" w:w="289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log_id</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SERIAL</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PRIMARY KEY</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Auto-incrementing surrogate key</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student_id</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VARCHAR(4)</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REFERENCES students ON DELETE CASCADE</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Links to the students table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log_date</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DATE</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Calendar date of the meal</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meal</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VARCHAR(20)</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CHECK IN (Breakfast, Lunch, Dinner, Snacks)</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Meal slot</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calories_kcal</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CHECK (&gt;= 0)</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Total calories for this meal</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protein_g</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NUMERIC(6,1)</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Protein in grams</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carbohydrates_g</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NUMERIC(6,1)</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Carbohydrates in grams</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fat_g</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NUMERIC(6,1)</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Fat in grams</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fiber_g</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NUMERIC(6,1)</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Dietary fibre in grams</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sugar_g</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NUMERIC(6,1)</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Sugar in grams</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sodium_mg</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Sodium in milligrams</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water_ml</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INTEGER</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Water intake in millilitres</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food_notes</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TEXT</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NULL (nullable)</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Optional free-text notes; empty in this dataset</w:t>
            </w:r>
          </w:p>
        </w:tc>
      </w:tr>
    </w:tbl>
    <w:p>
      <w:pPr>
        <w:spacing w:after="140"/>
      </w:pPr>
      <w:r>
        <w:rPr>
          <w:rFonts w:ascii="Arial" w:cs="Arial" w:eastAsia="Arial" w:hAnsi="Arial"/>
          <w:color w:val="666666"/>
          <w:sz w:val="24"/>
          <w:szCs w:val="24"/>
        </w:rPr>
        <w:t xml:space="preserve">Unique constraint: (student_id, log_date, meal)</w:t>
      </w:r>
    </w:p>
    <w:p>
      <w:pPr>
        <w:spacing w:after="100"/>
      </w:pPr>
    </w:p>
    <w:p>
      <w:pPr>
        <w:pStyle w:val="Heading3"/>
        <w:spacing w:after="80" w:before="200"/>
      </w:pPr>
      <w:r>
        <w:rPr>
          <w:rFonts w:ascii="Arial" w:cs="Arial" w:eastAsia="Arial" w:hAnsi="Arial"/>
          <w:b/>
          <w:bCs/>
          <w:sz w:val="24"/>
          <w:szCs w:val="24"/>
        </w:rPr>
        <w:t xml:space="preserve">3.2.6  Table: academic_performance</w:t>
      </w:r>
    </w:p>
    <w:p>
      <w:pPr>
        <w:spacing w:after="140"/>
      </w:pPr>
      <w:r>
        <w:rPr>
          <w:rFonts w:ascii="Arial" w:cs="Arial" w:eastAsia="Arial" w:hAnsi="Arial"/>
          <w:sz w:val="24"/>
          <w:szCs w:val="24"/>
        </w:rPr>
        <w:t xml:space="preserve">One row per student per assessment, 45 records in total across three students and five courses. This table is the destination for all cross-source analysis: to compare sleep or nutrition against grades, the daily data from other tables first has to be aggregated up to the timescale of this one. Everything flows into a comparison against these grades.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714"/>
        <w:gridCol w:w="2437"/>
        <w:gridCol w:w="2890"/>
      </w:tblGrid>
      <w:tr>
        <w:trPr>
          <w:tblHeader/>
        </w:trPr>
        <w:tc>
          <w:tcPr>
            <w:tcW w:type="dxa" w:w="1985"/>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Column</w:t>
            </w:r>
          </w:p>
        </w:tc>
        <w:tc>
          <w:tcPr>
            <w:tcW w:type="dxa" w:w="1714"/>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PostgreSQL type</w:t>
            </w:r>
          </w:p>
        </w:tc>
        <w:tc>
          <w:tcPr>
            <w:tcW w:type="dxa" w:w="2437"/>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Constraints / notes</w:t>
            </w:r>
          </w:p>
        </w:tc>
        <w:tc>
          <w:tcPr>
            <w:tcW w:type="dxa" w:w="289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Description</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record_id</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SERIAL</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PRIMARY KEY</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Auto-incrementing surrogate key</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student_id</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VARCHAR(4)</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REFERENCES students ON DELETE CASCADE</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Links to the students table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course</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VARCHAR(100)</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Course name (5 courses total)</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assessment_type</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VARCHAR(20)</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CHECK IN (Exam, Final)</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Type of assessment</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assessment_date</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DATE</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Date of the assessment</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grade</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NUMERIC(3,1)</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CHECK (0 AND 10)</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Grade on a 1–10 scale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Courier New" w:cs="Courier New" w:eastAsia="Courier New" w:hAnsi="Courier New"/>
                <w:sz w:val="18"/>
                <w:szCs w:val="18"/>
              </w:rPr>
              <w:t xml:space="preserve">study_hours_prior_week</w:t>
            </w:r>
          </w:p>
        </w:tc>
        <w:tc>
          <w:tcPr>
            <w:tcW w:type="dxa" w:w="1714"/>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NUMERIC(4,1)</w:t>
            </w:r>
          </w:p>
        </w:tc>
        <w:tc>
          <w:tcPr>
            <w:tcW w:type="dxa" w:w="243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CHECK (&gt;= 0)</w:t>
            </w:r>
          </w:p>
        </w:tc>
        <w:tc>
          <w:tcPr>
            <w:tcW w:type="dxa" w:w="289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Self-reported study hours in the prior week</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Courier New" w:cs="Courier New" w:eastAsia="Courier New" w:hAnsi="Courier New"/>
                <w:sz w:val="18"/>
                <w:szCs w:val="18"/>
              </w:rPr>
              <w:t xml:space="preserve">submission_on_time</w:t>
            </w:r>
          </w:p>
        </w:tc>
        <w:tc>
          <w:tcPr>
            <w:tcW w:type="dxa" w:w="1714"/>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BOOLEAN</w:t>
            </w:r>
          </w:p>
        </w:tc>
        <w:tc>
          <w:tcPr>
            <w:tcW w:type="dxa" w:w="243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NOT NULL</w:t>
            </w:r>
          </w:p>
        </w:tc>
        <w:tc>
          <w:tcPr>
            <w:tcW w:type="dxa" w:w="289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Whether submission was on time</w:t>
            </w:r>
          </w:p>
        </w:tc>
      </w:tr>
    </w:tbl>
    <w:p>
      <w:pPr>
        <w:spacing w:after="140"/>
      </w:pPr>
      <w:r>
        <w:rPr>
          <w:rFonts w:ascii="Arial" w:cs="Arial" w:eastAsia="Arial" w:hAnsi="Arial"/>
          <w:color w:val="666666"/>
          <w:sz w:val="24"/>
          <w:szCs w:val="24"/>
        </w:rPr>
        <w:t xml:space="preserve">Unique constraint: (student_id, course, assessment_type, assessment_date)</w:t>
      </w:r>
    </w:p>
    <w:p>
      <w:pPr>
        <w:spacing w:after="100"/>
      </w:pPr>
    </w:p>
    <w:p>
      <w:pPr>
        <w:pStyle w:val="Heading3"/>
        <w:spacing w:after="80" w:before="200"/>
      </w:pPr>
      <w:r>
        <w:rPr>
          <w:rFonts w:ascii="Arial" w:cs="Arial" w:eastAsia="Arial" w:hAnsi="Arial"/>
          <w:b/>
          <w:bCs/>
          <w:sz w:val="24"/>
          <w:szCs w:val="24"/>
        </w:rPr>
        <w:t xml:space="preserve">3.2.7  Foreign Key Relationships Summary</w:t>
      </w:r>
    </w:p>
    <w:p>
      <w:pPr>
        <w:spacing w:after="140"/>
      </w:pPr>
      <w:r>
        <w:rPr>
          <w:rFonts w:ascii="Arial" w:cs="Arial" w:eastAsia="Arial" w:hAnsi="Arial"/>
          <w:sz w:val="24"/>
          <w:szCs w:val="24"/>
        </w:rPr>
        <w:t xml:space="preserve">All five data tables link back to the students table via student_id — that is the backbone of the whole schema. The daily tables (cycles, sleep, workouts) join each other by date. Nutrition joins the same way. Academic performance sits at a lower resolution and is reached through date-range aggregations: to compare a student’s sleep to their exam grade, sleep data is first averaged over the week preceding each assessment date.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527"/>
        <w:gridCol w:w="3972"/>
      </w:tblGrid>
      <w:tr>
        <w:trPr>
          <w:tblHeader/>
        </w:trPr>
        <w:tc>
          <w:tcPr>
            <w:tcW w:type="dxa" w:w="2527"/>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Table</w:t>
            </w:r>
          </w:p>
        </w:tc>
        <w:tc>
          <w:tcPr>
            <w:tcW w:type="dxa" w:w="2527"/>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Joins to</w:t>
            </w:r>
          </w:p>
        </w:tc>
        <w:tc>
          <w:tcPr>
            <w:tcW w:type="dxa" w:w="3972"/>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Join key(s)</w:t>
            </w:r>
          </w:p>
        </w:tc>
      </w:tr>
      <w:tr>
        <w:tc>
          <w:tcPr>
            <w:tcW w:type="dxa" w:w="252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whoop_cycles</w:t>
            </w:r>
          </w:p>
        </w:tc>
        <w:tc>
          <w:tcPr>
            <w:tcW w:type="dxa" w:w="252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students</w:t>
            </w:r>
          </w:p>
        </w:tc>
        <w:tc>
          <w:tcPr>
            <w:tcW w:type="dxa" w:w="3972"/>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student_id</w:t>
            </w:r>
          </w:p>
        </w:tc>
      </w:tr>
      <w:tr>
        <w:tc>
          <w:tcPr>
            <w:tcW w:type="dxa" w:w="252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whoop_sleep</w:t>
            </w:r>
          </w:p>
        </w:tc>
        <w:tc>
          <w:tcPr>
            <w:tcW w:type="dxa" w:w="252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whoop_cycles</w:t>
            </w:r>
          </w:p>
        </w:tc>
        <w:tc>
          <w:tcPr>
            <w:tcW w:type="dxa" w:w="3972"/>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student_id, sleep_date = cycle_date</w:t>
            </w:r>
          </w:p>
        </w:tc>
      </w:tr>
      <w:tr>
        <w:tc>
          <w:tcPr>
            <w:tcW w:type="dxa" w:w="252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whoop_workouts</w:t>
            </w:r>
          </w:p>
        </w:tc>
        <w:tc>
          <w:tcPr>
            <w:tcW w:type="dxa" w:w="252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whoop_cycles</w:t>
            </w:r>
          </w:p>
        </w:tc>
        <w:tc>
          <w:tcPr>
            <w:tcW w:type="dxa" w:w="3972"/>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student_id, workout_date = cycle_date (LEFT JOIN)</w:t>
            </w:r>
          </w:p>
        </w:tc>
      </w:tr>
      <w:tr>
        <w:tc>
          <w:tcPr>
            <w:tcW w:type="dxa" w:w="252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nutrition_logs</w:t>
            </w:r>
          </w:p>
        </w:tc>
        <w:tc>
          <w:tcPr>
            <w:tcW w:type="dxa" w:w="252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whoop_cycles</w:t>
            </w:r>
          </w:p>
        </w:tc>
        <w:tc>
          <w:tcPr>
            <w:tcW w:type="dxa" w:w="3972"/>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student_id, log_date = cycle_date (LEFT JOIN)</w:t>
            </w:r>
          </w:p>
        </w:tc>
      </w:tr>
      <w:tr>
        <w:tc>
          <w:tcPr>
            <w:tcW w:type="dxa" w:w="252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academic_performance</w:t>
            </w:r>
          </w:p>
        </w:tc>
        <w:tc>
          <w:tcPr>
            <w:tcW w:type="dxa" w:w="252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whoop_cycles / all</w:t>
            </w:r>
          </w:p>
        </w:tc>
        <w:tc>
          <w:tcPr>
            <w:tcW w:type="dxa" w:w="3972"/>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student_id, assessment_date range joins</w:t>
            </w:r>
          </w:p>
        </w:tc>
      </w:tr>
    </w:tbl>
    <w:p>
      <w:pPr>
        <w:spacing w:after="100"/>
      </w:pPr>
    </w:p>
    <w:p>
      <w:pPr>
        <w:pStyle w:val="Heading2"/>
        <w:spacing w:after="140" w:before="280"/>
      </w:pPr>
      <w:r>
        <w:rPr>
          <w:rFonts w:ascii="Arial" w:cs="Arial" w:eastAsia="Arial" w:hAnsi="Arial"/>
          <w:b/>
          <w:bCs/>
          <w:sz w:val="28"/>
          <w:szCs w:val="28"/>
        </w:rPr>
        <w:t xml:space="preserve">3.3  ETL Pipeline Design</w:t>
      </w:r>
    </w:p>
    <w:p>
      <w:pPr>
        <w:spacing w:after="140"/>
      </w:pPr>
      <w:r>
        <w:rPr>
          <w:rFonts w:ascii="Arial" w:cs="Arial" w:eastAsia="Arial" w:hAnsi="Arial"/>
          <w:sz w:val="24"/>
          <w:szCs w:val="24"/>
        </w:rPr>
        <w:t xml:space="preserve">ETL — Extract, Transform, Load — is the process of moving raw data from where it lives into the database in a form the database can actually use. Think of it as a sorting office: letters arrive in inconsistent envelopes with scruffy handwriting, someone opens them, re-addresses them properly, and puts each one in the right labelled tray. The raw CSV files are the letters; the database tables are the trays.</w:t>
      </w:r>
    </w:p>
    <w:p>
      <w:pPr>
        <w:spacing w:after="100"/>
      </w:pPr>
    </w:p>
    <w:p>
      <w:pPr>
        <w:pStyle w:val="Heading3"/>
        <w:spacing w:after="80" w:before="200"/>
      </w:pPr>
      <w:r>
        <w:rPr>
          <w:rFonts w:ascii="Arial" w:cs="Arial" w:eastAsia="Arial" w:hAnsi="Arial"/>
          <w:b/>
          <w:bCs/>
          <w:sz w:val="24"/>
          <w:szCs w:val="24"/>
        </w:rPr>
        <w:t xml:space="preserve">3.3.1  Extract phase</w:t>
      </w:r>
    </w:p>
    <w:p>
      <w:pPr>
        <w:spacing w:after="140"/>
      </w:pPr>
      <w:r>
        <w:rPr>
          <w:rFonts w:ascii="Arial" w:cs="Arial" w:eastAsia="Arial" w:hAnsi="Arial"/>
          <w:sz w:val="24"/>
          <w:szCs w:val="24"/>
        </w:rPr>
        <w:t xml:space="preserve">The first job is simply to read the files. Python’s pandas library opens each CSV from disk exactly as it is — no changes, no assumptions, just raw data. Files are identified by their naming convention: whoop_S001_physiological_cycles.csv, for example, encodes the source, the student, and the data type in the filename itself. Nothing is modified here; that is the transform stage’s job.</w:t>
      </w:r>
    </w:p>
    <w:p>
      <w:pPr>
        <w:spacing w:after="100"/>
      </w:pPr>
    </w:p>
    <w:p>
      <w:pPr>
        <w:pStyle w:val="ListParagraph"/>
        <w:numPr>
          <w:ilvl w:val="0"/>
          <w:numId w:val="2"/>
        </w:numPr>
        <w:spacing w:after="60"/>
      </w:pPr>
      <w:r>
        <w:rPr>
          <w:rFonts w:ascii="Arial" w:cs="Arial" w:eastAsia="Arial" w:hAnsi="Arial"/>
          <w:sz w:val="22"/>
          <w:szCs w:val="22"/>
        </w:rPr>
        <w:t xml:space="preserve">Input: 11 CSV files across 3 students and 5 source types, totalling 1,371 rows (267 cycles + 267 sleep + 140 workouts + 624 nutrition + 45 academic).</w:t>
      </w:r>
    </w:p>
    <w:p>
      <w:pPr>
        <w:pStyle w:val="ListParagraph"/>
        <w:numPr>
          <w:ilvl w:val="0"/>
          <w:numId w:val="2"/>
        </w:numPr>
        <w:spacing w:after="60"/>
      </w:pPr>
      <w:r>
        <w:rPr>
          <w:rFonts w:ascii="Arial" w:cs="Arial" w:eastAsia="Arial" w:hAnsi="Arial"/>
          <w:sz w:val="22"/>
          <w:szCs w:val="22"/>
        </w:rPr>
        <w:t xml:space="preserve">Tool: pandas read_csv(), called with explicit dtype declarations so that pandas does not guess column types and silently misinterpret a value.</w:t>
      </w:r>
    </w:p>
    <w:p>
      <w:pPr>
        <w:pStyle w:val="ListParagraph"/>
        <w:numPr>
          <w:ilvl w:val="0"/>
          <w:numId w:val="2"/>
        </w:numPr>
        <w:spacing w:after="60"/>
      </w:pPr>
      <w:r>
        <w:rPr>
          <w:rFonts w:ascii="Arial" w:cs="Arial" w:eastAsia="Arial" w:hAnsi="Arial"/>
          <w:sz w:val="22"/>
          <w:szCs w:val="22"/>
        </w:rPr>
        <w:t xml:space="preserve">Validation: after each file is read, the row count is logged and compared against the expected counts from Section 1. Any mismatch stops the pipeline before anything is written to the database.</w:t>
      </w:r>
    </w:p>
    <w:p>
      <w:pPr>
        <w:spacing w:after="100"/>
      </w:pPr>
    </w:p>
    <w:p>
      <w:pPr>
        <w:pStyle w:val="Heading3"/>
        <w:spacing w:after="80" w:before="200"/>
      </w:pPr>
      <w:r>
        <w:rPr>
          <w:rFonts w:ascii="Arial" w:cs="Arial" w:eastAsia="Arial" w:hAnsi="Arial"/>
          <w:b/>
          <w:bCs/>
          <w:sz w:val="24"/>
          <w:szCs w:val="24"/>
        </w:rPr>
        <w:t xml:space="preserve">3.3.2  Transform phase</w:t>
      </w:r>
    </w:p>
    <w:p>
      <w:pPr>
        <w:spacing w:after="140"/>
      </w:pPr>
      <w:r>
        <w:rPr>
          <w:rFonts w:ascii="Arial" w:cs="Arial" w:eastAsia="Arial" w:hAnsi="Arial"/>
          <w:sz w:val="24"/>
          <w:szCs w:val="24"/>
        </w:rPr>
        <w:t xml:space="preserve">This is the most critical stage for data quality. The CSV files were generated to mimic real app exports — which means mixed date formats, string values where booleans belong, and empty cells that need to become proper SQL NULLs. Every transformation in the table below is motivated by a specific property of the source data that Section 1 identified.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39"/>
        <w:gridCol w:w="2707"/>
        <w:gridCol w:w="2980"/>
      </w:tblGrid>
      <w:tr>
        <w:trPr>
          <w:tblHeader/>
        </w:trPr>
        <w:tc>
          <w:tcPr>
            <w:tcW w:type="dxa" w:w="3339"/>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Transform operation</w:t>
            </w:r>
          </w:p>
        </w:tc>
        <w:tc>
          <w:tcPr>
            <w:tcW w:type="dxa" w:w="2707"/>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Applies to</w:t>
            </w:r>
          </w:p>
        </w:tc>
        <w:tc>
          <w:tcPr>
            <w:tcW w:type="dxa" w:w="298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Reason</w:t>
            </w:r>
          </w:p>
        </w:tc>
      </w:tr>
      <w:tr>
        <w:tc>
          <w:tcPr>
            <w:tcW w:type="dxa" w:w="3339"/>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Parse timestamps to ISO 8601 DATE / TIMESTAMP</w:t>
            </w:r>
          </w:p>
        </w:tc>
        <w:tc>
          <w:tcPr>
            <w:tcW w:type="dxa" w:w="270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All tables</w:t>
            </w:r>
          </w:p>
        </w:tc>
        <w:tc>
          <w:tcPr>
            <w:tcW w:type="dxa" w:w="298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CSV exports use mixed formats; PostgreSQL requires ISO 8601</w:t>
            </w:r>
          </w:p>
        </w:tc>
      </w:tr>
      <w:tr>
        <w:tc>
          <w:tcPr>
            <w:tcW w:type="dxa" w:w="3339"/>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Derive cycle_date from cycle_start_time</w:t>
            </w:r>
          </w:p>
        </w:tc>
        <w:tc>
          <w:tcPr>
            <w:tcW w:type="dxa" w:w="270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whoop_cycles</w:t>
            </w:r>
          </w:p>
        </w:tc>
        <w:tc>
          <w:tcPr>
            <w:tcW w:type="dxa" w:w="298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Schema uses DATE as join key; raw data uses full timestamp</w:t>
            </w:r>
          </w:p>
        </w:tc>
      </w:tr>
      <w:tr>
        <w:tc>
          <w:tcPr>
            <w:tcW w:type="dxa" w:w="3339"/>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Inject student_id from filename</w:t>
            </w:r>
          </w:p>
        </w:tc>
        <w:tc>
          <w:tcPr>
            <w:tcW w:type="dxa" w:w="270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nutrition_logs only</w:t>
            </w:r>
          </w:p>
        </w:tc>
        <w:tc>
          <w:tcPr>
            <w:tcW w:type="dxa" w:w="298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MyFitnessPal per-student files do not include a student_id column (see Section 1.5); it must be injected from the filename during load. WHOOP files already contain student_id and do not require this step.</w:t>
            </w:r>
          </w:p>
        </w:tc>
      </w:tr>
      <w:tr>
        <w:tc>
          <w:tcPr>
            <w:tcW w:type="dxa" w:w="3339"/>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Normalise meal labels (trim whitespace, title case)</w:t>
            </w:r>
          </w:p>
        </w:tc>
        <w:tc>
          <w:tcPr>
            <w:tcW w:type="dxa" w:w="270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nutrition_logs</w:t>
            </w:r>
          </w:p>
        </w:tc>
        <w:tc>
          <w:tcPr>
            <w:tcW w:type="dxa" w:w="298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Prevents constraint violations from trailing spaces or case mismatches</w:t>
            </w:r>
          </w:p>
        </w:tc>
      </w:tr>
      <w:tr>
        <w:tc>
          <w:tcPr>
            <w:tcW w:type="dxa" w:w="3339"/>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Convert submission_on_time (Yes/No → TRUE/FALSE)</w:t>
            </w:r>
          </w:p>
        </w:tc>
        <w:tc>
          <w:tcPr>
            <w:tcW w:type="dxa" w:w="270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academic_performance</w:t>
            </w:r>
          </w:p>
        </w:tc>
        <w:tc>
          <w:tcPr>
            <w:tcW w:type="dxa" w:w="298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PostgreSQL BOOLEAN requires true/false, not string values</w:t>
            </w:r>
          </w:p>
        </w:tc>
      </w:tr>
      <w:tr>
        <w:tc>
          <w:tcPr>
            <w:tcW w:type="dxa" w:w="3339"/>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Set distance_km = NULL for non-cardio sports</w:t>
            </w:r>
          </w:p>
        </w:tc>
        <w:tc>
          <w:tcPr>
            <w:tcW w:type="dxa" w:w="270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whoop_workouts</w:t>
            </w:r>
          </w:p>
        </w:tc>
        <w:tc>
          <w:tcPr>
            <w:tcW w:type="dxa" w:w="298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Empty strings in CSV must become SQL NULL, not empty strings</w:t>
            </w:r>
          </w:p>
        </w:tc>
      </w:tr>
      <w:tr>
        <w:tc>
          <w:tcPr>
            <w:tcW w:type="dxa" w:w="3339"/>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Detect and skip duplicate rows</w:t>
            </w:r>
          </w:p>
        </w:tc>
        <w:tc>
          <w:tcPr>
            <w:tcW w:type="dxa" w:w="270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All tables</w:t>
            </w:r>
          </w:p>
        </w:tc>
        <w:tc>
          <w:tcPr>
            <w:tcW w:type="dxa" w:w="298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Re-running the ETL pipeline on already-loaded data must not create duplicates (idempotency)</w:t>
            </w:r>
          </w:p>
        </w:tc>
      </w:tr>
      <w:tr>
        <w:tc>
          <w:tcPr>
            <w:tcW w:type="dxa" w:w="3339"/>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Validate CHECK constraint ranges before insert</w:t>
            </w:r>
          </w:p>
        </w:tc>
        <w:tc>
          <w:tcPr>
            <w:tcW w:type="dxa" w:w="270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whoop_cycles, academic_performance</w:t>
            </w:r>
          </w:p>
        </w:tc>
        <w:tc>
          <w:tcPr>
            <w:tcW w:type="dxa" w:w="298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Early error detection prevents partial loads; e.g. a recovery_score_pct outside 1–99 raises an exception before any data is written</w:t>
            </w:r>
          </w:p>
        </w:tc>
      </w:tr>
    </w:tbl>
    <w:p>
      <w:pPr>
        <w:spacing w:after="100"/>
      </w:pPr>
    </w:p>
    <w:p>
      <w:pPr>
        <w:pStyle w:val="Heading3"/>
        <w:spacing w:after="80" w:before="200"/>
      </w:pPr>
      <w:r>
        <w:rPr>
          <w:rFonts w:ascii="Arial" w:cs="Arial" w:eastAsia="Arial" w:hAnsi="Arial"/>
          <w:b/>
          <w:bCs/>
          <w:sz w:val="24"/>
          <w:szCs w:val="24"/>
        </w:rPr>
        <w:t xml:space="preserve">3.3.3  Load phase</w:t>
      </w:r>
    </w:p>
    <w:p>
      <w:pPr>
        <w:spacing w:after="140"/>
      </w:pPr>
      <w:r>
        <w:rPr>
          <w:rFonts w:ascii="Arial" w:cs="Arial" w:eastAsia="Arial" w:hAnsi="Arial"/>
          <w:sz w:val="24"/>
          <w:szCs w:val="24"/>
        </w:rPr>
        <w:t xml:space="preserve">Once the data is clean, psycopg2 inserts it into PostgreSQL. Every file is loaded inside a single transaction — all rows succeed together or none of them do. If a single row violates a constraint, the whole file rolls back cleanly. There is no risk of ending up with half a day’s data committed and the rest missing.</w:t>
      </w:r>
    </w:p>
    <w:p>
      <w:pPr>
        <w:spacing w:after="100"/>
      </w:pPr>
    </w:p>
    <w:p>
      <w:pPr>
        <w:pStyle w:val="ListParagraph"/>
        <w:numPr>
          <w:ilvl w:val="0"/>
          <w:numId w:val="2"/>
        </w:numPr>
        <w:spacing w:after="60"/>
      </w:pPr>
      <w:r>
        <w:rPr>
          <w:rFonts w:ascii="Arial" w:cs="Arial" w:eastAsia="Arial" w:hAnsi="Arial"/>
          <w:sz w:val="22"/>
          <w:szCs w:val="22"/>
        </w:rPr>
        <w:t xml:space="preserve">Idempotency: every INSERT uses ON CONFLICT DO NOTHING. If a row already exists — identified by the table’s unique constraint — it is silently skipped. Running the script twice produces the same result as running it once.</w:t>
      </w:r>
    </w:p>
    <w:p>
      <w:pPr>
        <w:pStyle w:val="ListParagraph"/>
        <w:numPr>
          <w:ilvl w:val="0"/>
          <w:numId w:val="2"/>
        </w:numPr>
        <w:spacing w:after="60"/>
      </w:pPr>
      <w:r>
        <w:rPr>
          <w:rFonts w:ascii="Arial" w:cs="Arial" w:eastAsia="Arial" w:hAnsi="Arial"/>
          <w:sz w:val="22"/>
          <w:szCs w:val="22"/>
        </w:rPr>
        <w:t xml:space="preserve">Post-load validation: after each table is loaded, a COUNT(*) query confirms that the number of rows in the database matches what was read from the CSV. A mismatch here would indicate a data loss bug.</w:t>
      </w:r>
    </w:p>
    <w:p>
      <w:pPr>
        <w:pStyle w:val="ListParagraph"/>
        <w:numPr>
          <w:ilvl w:val="0"/>
          <w:numId w:val="2"/>
        </w:numPr>
        <w:spacing w:after="60"/>
      </w:pPr>
      <w:r>
        <w:rPr>
          <w:rFonts w:ascii="Arial" w:cs="Arial" w:eastAsia="Arial" w:hAnsi="Arial"/>
          <w:sz w:val="22"/>
          <w:szCs w:val="22"/>
        </w:rPr>
        <w:t xml:space="preserve">Logging: each step writes its outcome — rows read, inserted, skipped, and any errors — to a plain-text log file with a timestamp. This makes it easy to diagnose problems without re-running the whole pipeline.</w:t>
      </w:r>
    </w:p>
    <w:p>
      <w:pPr>
        <w:spacing w:after="100"/>
      </w:pPr>
    </w:p>
    <w:p>
      <w:pPr>
        <w:pStyle w:val="Heading2"/>
        <w:spacing w:after="140" w:before="280"/>
      </w:pPr>
      <w:r>
        <w:rPr>
          <w:rFonts w:ascii="Arial" w:cs="Arial" w:eastAsia="Arial" w:hAnsi="Arial"/>
          <w:b/>
          <w:bCs/>
          <w:sz w:val="28"/>
          <w:szCs w:val="28"/>
        </w:rPr>
        <w:t xml:space="preserve">3.4  Distributed Architecture</w:t>
      </w:r>
    </w:p>
    <w:p>
      <w:pPr>
        <w:spacing w:after="140"/>
      </w:pPr>
      <w:r>
        <w:rPr>
          <w:rFonts w:ascii="Arial" w:cs="Arial" w:eastAsia="Arial" w:hAnsi="Arial"/>
          <w:sz w:val="24"/>
          <w:szCs w:val="24"/>
        </w:rPr>
        <w:t xml:space="preserve">Technically, a single PostgreSQL instance running on a laptop is all this project needs — three students, 1,400 rows, queries that finish in under a second. But a design document has to think beyond the immediate dataset. A real personal data ecosystem would eventually serve more students, more sources, and more concurrent users. With that in mind, the system is designed around a primary plus read replica architecture. It demonstrates the key distributed concepts without being overengineered for the current scale.</w:t>
      </w:r>
    </w:p>
    <w:p>
      <w:pPr>
        <w:spacing w:after="100"/>
      </w:pPr>
    </w:p>
    <w:p>
      <w:pPr>
        <w:pStyle w:val="Heading3"/>
        <w:spacing w:after="80" w:before="200"/>
      </w:pPr>
      <w:r>
        <w:rPr>
          <w:rFonts w:ascii="Arial" w:cs="Arial" w:eastAsia="Arial" w:hAnsi="Arial"/>
          <w:b/>
          <w:bCs/>
          <w:sz w:val="24"/>
          <w:szCs w:val="24"/>
        </w:rPr>
        <w:t xml:space="preserve">3.4.1  Deployment topology</w:t>
      </w:r>
    </w:p>
    <w:p>
      <w:pPr>
        <w:spacing w:after="140"/>
      </w:pPr>
      <w:r>
        <w:rPr>
          <w:rFonts w:ascii="Arial" w:cs="Arial" w:eastAsia="Arial" w:hAnsi="Arial"/>
          <w:sz w:val="24"/>
          <w:szCs w:val="24"/>
        </w:rPr>
        <w:t xml:space="preserve">Two PostgreSQL instances make up the deployment:</w:t>
      </w:r>
    </w:p>
    <w:p>
      <w:pPr>
        <w:spacing w:after="100"/>
      </w:pPr>
    </w:p>
    <w:p>
      <w:pPr>
        <w:pStyle w:val="ListParagraph"/>
        <w:numPr>
          <w:ilvl w:val="0"/>
          <w:numId w:val="2"/>
        </w:numPr>
        <w:spacing w:after="60"/>
      </w:pPr>
      <w:r>
        <w:rPr>
          <w:rFonts w:ascii="Arial" w:cs="Arial" w:eastAsia="Arial" w:hAnsi="Arial"/>
          <w:sz w:val="22"/>
          <w:szCs w:val="22"/>
        </w:rPr>
        <w:t xml:space="preserve">Primary node: where all writes go. The ETL pipeline connects exclusively to the primary, which enforces all schema constraints and ACID transactions. It is the single source of truth.</w:t>
      </w:r>
    </w:p>
    <w:p>
      <w:pPr>
        <w:pStyle w:val="ListParagraph"/>
        <w:numPr>
          <w:ilvl w:val="0"/>
          <w:numId w:val="2"/>
        </w:numPr>
        <w:spacing w:after="60"/>
      </w:pPr>
      <w:r>
        <w:rPr>
          <w:rFonts w:ascii="Arial" w:cs="Arial" w:eastAsia="Arial" w:hAnsi="Arial"/>
          <w:sz w:val="22"/>
          <w:szCs w:val="22"/>
        </w:rPr>
        <w:t xml:space="preserve">Read replica: a second instance that mirrors the primary in near real-time. The five analytical queries from Section 4 can be directed here, keeping read traffic off the primary so ETL loads and analysis do not compete for resources.</w:t>
      </w:r>
    </w:p>
    <w:p>
      <w:pPr>
        <w:spacing w:after="100"/>
      </w:pPr>
    </w:p>
    <w:p>
      <w:pPr>
        <w:pStyle w:val="Heading3"/>
        <w:spacing w:after="80" w:before="200"/>
      </w:pPr>
      <w:r>
        <w:rPr>
          <w:rFonts w:ascii="Arial" w:cs="Arial" w:eastAsia="Arial" w:hAnsi="Arial"/>
          <w:b/>
          <w:bCs/>
          <w:sz w:val="24"/>
          <w:szCs w:val="24"/>
        </w:rPr>
        <w:t xml:space="preserve">3.4.2  Replication strategy</w:t>
      </w:r>
    </w:p>
    <w:p>
      <w:pPr>
        <w:spacing w:after="140"/>
      </w:pPr>
      <w:r>
        <w:rPr>
          <w:rFonts w:ascii="Arial" w:cs="Arial" w:eastAsia="Arial" w:hAnsi="Arial"/>
          <w:sz w:val="24"/>
          <w:szCs w:val="24"/>
        </w:rPr>
        <w:t xml:space="preserve">PostgreSQL’s built-in streaming replication handles synchronisation between the two nodes. Every change written to the primary is logged in the Write-Ahead Log (WAL) — a running record of every database operation. That log is continuously streamed to the replica, which replays the changes in order. Under normal conditions, the replica is never more than one or two seconds behind.</w:t>
      </w:r>
    </w:p>
    <w:p>
      <w:pPr>
        <w:spacing w:after="100"/>
      </w:pPr>
    </w:p>
    <w:p>
      <w:pPr>
        <w:spacing w:after="140"/>
      </w:pPr>
      <w:r>
        <w:rPr>
          <w:rFonts w:ascii="Arial" w:cs="Arial" w:eastAsia="Arial" w:hAnsi="Arial"/>
          <w:sz w:val="24"/>
          <w:szCs w:val="24"/>
        </w:rPr>
        <w:t xml:space="preserve">Synchronous commit is turned off, meaning the primary does not wait for the replica to confirm each write before reporting success. In a banking system, that trade-off would be unacceptable. For this project it is reasonable — the original CSV files are always available as a recovery source if anything is lost in the sub-second replication window.</w:t>
      </w:r>
    </w:p>
    <w:p>
      <w:pPr>
        <w:spacing w:after="100"/>
      </w:pPr>
    </w:p>
    <w:p>
      <w:pPr>
        <w:pStyle w:val="Heading3"/>
        <w:spacing w:after="80" w:before="200"/>
      </w:pPr>
      <w:r>
        <w:rPr>
          <w:rFonts w:ascii="Arial" w:cs="Arial" w:eastAsia="Arial" w:hAnsi="Arial"/>
          <w:b/>
          <w:bCs/>
          <w:sz w:val="24"/>
          <w:szCs w:val="24"/>
        </w:rPr>
        <w:t xml:space="preserve">3.4.3  Consistency, fault tolerance, and sharding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610"/>
        <w:gridCol w:w="3431"/>
      </w:tblGrid>
      <w:tr>
        <w:trPr>
          <w:tblHeader/>
        </w:trPr>
        <w:tc>
          <w:tcPr>
            <w:tcW w:type="dxa" w:w="1985"/>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Distributed property</w:t>
            </w:r>
          </w:p>
        </w:tc>
        <w:tc>
          <w:tcPr>
            <w:tcW w:type="dxa" w:w="3610"/>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Design decision</w:t>
            </w:r>
          </w:p>
        </w:tc>
        <w:tc>
          <w:tcPr>
            <w:tcW w:type="dxa" w:w="3431"/>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Justification</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Consistency</w:t>
            </w:r>
          </w:p>
        </w:tc>
        <w:tc>
          <w:tcPr>
            <w:tcW w:type="dxa" w:w="361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Strong consistency on primary (ACID). Eventual consistency on replica (lag &lt; 1 second).</w:t>
            </w:r>
          </w:p>
        </w:tc>
        <w:tc>
          <w:tcPr>
            <w:tcW w:type="dxa" w:w="3431"/>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ACID on primary guarantees that partial ETL loads are never committed. Replica lag is acceptable for read-only analytics.</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Fault tolerance</w:t>
            </w:r>
          </w:p>
        </w:tc>
        <w:tc>
          <w:tcPr>
            <w:tcW w:type="dxa" w:w="3610"/>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If the primary fails, the replica can be manually promoted to primary using pg_promote(). The ETL pipeline is then re-directed to the new primary.</w:t>
            </w:r>
          </w:p>
        </w:tc>
        <w:tc>
          <w:tcPr>
            <w:tcW w:type="dxa" w:w="3431"/>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Manual failover is proportionate for this project scale. An automated failover tool (e.g. Patroni) would be appropriate for a production deployment.</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Sharding</w:t>
            </w:r>
          </w:p>
        </w:tc>
        <w:tc>
          <w:tcPr>
            <w:tcW w:type="dxa" w:w="3610"/>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Not implemented. All data resides on a single primary node.</w:t>
            </w:r>
          </w:p>
        </w:tc>
        <w:tc>
          <w:tcPr>
            <w:tcW w:type="dxa" w:w="3431"/>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Sharding — partitioning data across multiple nodes to handle high write loads or large data volumes — is not warranted for 1,400 rows. It would become relevant if the system were scaled to hundreds of students generating real-time sensor data.</w:t>
            </w:r>
          </w:p>
        </w:tc>
      </w:tr>
    </w:tbl>
    <w:p>
      <w:pPr>
        <w:spacing w:after="100"/>
      </w:pPr>
    </w:p>
    <w:p>
      <w:pPr>
        <w:pStyle w:val="Heading3"/>
        <w:spacing w:after="80" w:before="200"/>
      </w:pPr>
      <w:r>
        <w:rPr>
          <w:rFonts w:ascii="Arial" w:cs="Arial" w:eastAsia="Arial" w:hAnsi="Arial"/>
          <w:b/>
          <w:bCs/>
          <w:sz w:val="24"/>
          <w:szCs w:val="24"/>
        </w:rPr>
        <w:t xml:space="preserve">3.4.4  CAP theorem position</w:t>
      </w:r>
    </w:p>
    <w:p>
      <w:pPr>
        <w:spacing w:after="140"/>
      </w:pPr>
      <w:r>
        <w:rPr>
          <w:rFonts w:ascii="Arial" w:cs="Arial" w:eastAsia="Arial" w:hAnsi="Arial"/>
          <w:sz w:val="24"/>
          <w:szCs w:val="24"/>
        </w:rPr>
        <w:t xml:space="preserve">The CAP theorem states that a distributed system can reliably guarantee at most two of three properties: Consistency, Availability, and Partition tolerance. This system is CP — it prioritises consistency over availability. If a network partition separates the primary from the replica, the primary stays authoritative and keeps accepting writes; the replica goes offline rather than risk serving outdated data. For a system handling personal health records and academic grades, serving the wrong data is a worse outcome than being temporarily unavailable.</w:t>
      </w:r>
    </w:p>
    <w:p>
      <w:pPr>
        <w:spacing w:after="100"/>
      </w:pPr>
    </w:p>
    <w:p>
      <w:pPr>
        <w:pStyle w:val="Heading2"/>
        <w:spacing w:after="140" w:before="280"/>
      </w:pPr>
      <w:r>
        <w:rPr>
          <w:rFonts w:ascii="Arial" w:cs="Arial" w:eastAsia="Arial" w:hAnsi="Arial"/>
          <w:b/>
          <w:bCs/>
          <w:sz w:val="28"/>
          <w:szCs w:val="28"/>
        </w:rPr>
        <w:t xml:space="preserve">3.5  Data Security Policy</w:t>
      </w:r>
    </w:p>
    <w:p>
      <w:pPr>
        <w:spacing w:after="140"/>
      </w:pPr>
      <w:r>
        <w:rPr>
          <w:rFonts w:ascii="Arial" w:cs="Arial" w:eastAsia="Arial" w:hAnsi="Arial"/>
          <w:sz w:val="24"/>
          <w:szCs w:val="24"/>
        </w:rPr>
        <w:t xml:space="preserve">Health metrics from a wearable device and institutional academic grades are among the more sensitive categories of personal data. Under the GDPR (Regulation (EU) 2016/679), everything in this dataset qualifies as personal data; academic grades carry additional sensitivity because they reflect individual performance and progress. The policy that follows covers the full data lifecycle — from the moment a CSV file is read, through storage and analysis, to the point when the data is deleted at the end of the project.</w:t>
      </w:r>
    </w:p>
    <w:p>
      <w:pPr>
        <w:spacing w:after="100"/>
      </w:pPr>
    </w:p>
    <w:p>
      <w:pPr>
        <w:pStyle w:val="Heading3"/>
        <w:spacing w:after="80" w:before="200"/>
      </w:pPr>
      <w:r>
        <w:rPr>
          <w:rFonts w:ascii="Arial" w:cs="Arial" w:eastAsia="Arial" w:hAnsi="Arial"/>
          <w:b/>
          <w:bCs/>
          <w:sz w:val="24"/>
          <w:szCs w:val="24"/>
        </w:rPr>
        <w:t xml:space="preserve">3.5.1  Encryption</w:t>
      </w:r>
    </w:p>
    <w:p>
      <w:pPr>
        <w:spacing w:after="140"/>
      </w:pPr>
      <w:r>
        <w:rPr>
          <w:rFonts w:ascii="Arial" w:cs="Arial" w:eastAsia="Arial" w:hAnsi="Arial"/>
          <w:sz w:val="24"/>
          <w:szCs w:val="24"/>
        </w:rPr>
        <w:t xml:space="preserve">Two threat scenarios matter for encryption. The first is someone gaining physical access to the machine hosting the database and reading files directly off disk — encryption at rest makes those files unreadable without a decryption key. The second is someone intercepting data as it travels between the Python application and the PostgreSQL server — encryption in transit prevents that. Both are addressed below.</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Encryption layer</w:t>
            </w:r>
          </w:p>
        </w:tc>
        <w:tc>
          <w:tcPr>
            <w:tcW w:type="dxa" w:w="6319"/>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Implementation</w:t>
            </w:r>
          </w:p>
        </w:tc>
      </w:tr>
      <w:tr>
        <w:tc>
          <w:tcPr>
            <w:tcW w:type="dxa" w:w="270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At rest — filesystem</w:t>
            </w:r>
          </w:p>
        </w:tc>
        <w:tc>
          <w:tcPr>
            <w:tcW w:type="dxa" w:w="6319"/>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Full-disk encryption on the machine hosting PostgreSQL, using the built-in tool for each operating system: FileVault on macOS, BitLocker on Windows. This ensures that the database files, WAL logs, and backup archives are unreadable if the storage medium is accessed directly without an authenticated login.</w:t>
            </w:r>
          </w:p>
        </w:tc>
      </w:tr>
      <w:tr>
        <w:tc>
          <w:tcPr>
            <w:tcW w:type="dxa" w:w="270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At rest — application</w:t>
            </w:r>
          </w:p>
        </w:tc>
        <w:tc>
          <w:tcPr>
            <w:tcW w:type="dxa" w:w="6319"/>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The PostgreSQL pgcrypto extension can additionally encrypt individual sensitive columns (such as a mapping from student_id to real names) at the application layer, providing a second layer of protection if the database files are accessed directly.</w:t>
            </w:r>
          </w:p>
        </w:tc>
      </w:tr>
      <w:tr>
        <w:tc>
          <w:tcPr>
            <w:tcW w:type="dxa" w:w="2707"/>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In transit</w:t>
            </w:r>
          </w:p>
        </w:tc>
        <w:tc>
          <w:tcPr>
            <w:tcW w:type="dxa" w:w="6319"/>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All client connections to PostgreSQL require SSL/TLS. The pg_hba.conf configuration accepts only hostssl connections (encrypted) and rejects host (unencrypted) connections. The psycopg2 Python client is configured with sslmode=require.</w:t>
            </w:r>
          </w:p>
        </w:tc>
      </w:tr>
      <w:tr>
        <w:tc>
          <w:tcPr>
            <w:tcW w:type="dxa" w:w="2707"/>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Replica traffic</w:t>
            </w:r>
          </w:p>
        </w:tc>
        <w:tc>
          <w:tcPr>
            <w:tcW w:type="dxa" w:w="6319"/>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The streaming replication channel between the primary and read replica is also encrypted using SSL. The replication user holds the REPLICATION privilege and connects over a TLS-protected channel.</w:t>
            </w:r>
          </w:p>
        </w:tc>
      </w:tr>
    </w:tbl>
    <w:p>
      <w:pPr>
        <w:spacing w:after="100"/>
      </w:pPr>
    </w:p>
    <w:p>
      <w:pPr>
        <w:pStyle w:val="Heading3"/>
        <w:spacing w:after="80" w:before="200"/>
      </w:pPr>
      <w:r>
        <w:rPr>
          <w:rFonts w:ascii="Arial" w:cs="Arial" w:eastAsia="Arial" w:hAnsi="Arial"/>
          <w:b/>
          <w:bCs/>
          <w:sz w:val="24"/>
          <w:szCs w:val="24"/>
        </w:rPr>
        <w:t xml:space="preserve">3.5.2  Role-based access control</w:t>
      </w:r>
    </w:p>
    <w:p>
      <w:pPr>
        <w:spacing w:after="140"/>
      </w:pPr>
      <w:r>
        <w:rPr>
          <w:rFonts w:ascii="Arial" w:cs="Arial" w:eastAsia="Arial" w:hAnsi="Arial"/>
          <w:sz w:val="24"/>
          <w:szCs w:val="24"/>
        </w:rPr>
        <w:t xml:space="preserve">Not everyone who connects to the database should see everything in it. PostgreSQL’s native role system controls exactly who can do what — each role receives only the permissions it needs to do its job, nothing more. Row-Level Security (RLS) goes further: even if a student role has SELECT on a table, a policy at the database level ensures it can only read its own rows. The restriction does not rely on the application getting it right.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429"/>
        <w:gridCol w:w="3612"/>
      </w:tblGrid>
      <w:tr>
        <w:trPr>
          <w:tblHeader/>
        </w:trPr>
        <w:tc>
          <w:tcPr>
            <w:tcW w:type="dxa" w:w="1985"/>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Role</w:t>
            </w:r>
          </w:p>
        </w:tc>
        <w:tc>
          <w:tcPr>
            <w:tcW w:type="dxa" w:w="3429"/>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Tables</w:t>
            </w:r>
          </w:p>
        </w:tc>
        <w:tc>
          <w:tcPr>
            <w:tcW w:type="dxa" w:w="3612"/>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Permissions</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student_s001</w:t>
            </w:r>
          </w:p>
        </w:tc>
        <w:tc>
          <w:tcPr>
            <w:tcW w:type="dxa" w:w="3429"/>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All data tables (own rows only via RLS)</w:t>
            </w:r>
          </w:p>
        </w:tc>
        <w:tc>
          <w:tcPr>
            <w:tcW w:type="dxa" w:w="3612"/>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SELECT where student_id = ‘S001’</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student_s002</w:t>
            </w:r>
          </w:p>
        </w:tc>
        <w:tc>
          <w:tcPr>
            <w:tcW w:type="dxa" w:w="3429"/>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All data tables (own rows only via RLS)</w:t>
            </w:r>
          </w:p>
        </w:tc>
        <w:tc>
          <w:tcPr>
            <w:tcW w:type="dxa" w:w="3612"/>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SELECT where student_id = ‘S002’</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student_s003</w:t>
            </w:r>
          </w:p>
        </w:tc>
        <w:tc>
          <w:tcPr>
            <w:tcW w:type="dxa" w:w="3429"/>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All data tables (own rows only via RLS)</w:t>
            </w:r>
          </w:p>
        </w:tc>
        <w:tc>
          <w:tcPr>
            <w:tcW w:type="dxa" w:w="3612"/>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SELECT where student_id = ‘S003’</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analyst_role</w:t>
            </w:r>
          </w:p>
        </w:tc>
        <w:tc>
          <w:tcPr>
            <w:tcW w:type="dxa" w:w="3429"/>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All tables (all rows)</w:t>
            </w:r>
          </w:p>
        </w:tc>
        <w:tc>
          <w:tcPr>
            <w:tcW w:type="dxa" w:w="3612"/>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SELECT only — no INSERT, UPDATE, or DELETE</w:t>
            </w:r>
          </w:p>
        </w:tc>
      </w:tr>
      <w:tr>
        <w:tc>
          <w:tcPr>
            <w:tcW w:type="dxa" w:w="1985"/>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etl_loader</w:t>
            </w:r>
          </w:p>
        </w:tc>
        <w:tc>
          <w:tcPr>
            <w:tcW w:type="dxa" w:w="3429"/>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All tables</w:t>
            </w:r>
          </w:p>
        </w:tc>
        <w:tc>
          <w:tcPr>
            <w:tcW w:type="dxa" w:w="3612"/>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INSERT, SELECT — used by the load_data.py script</w:t>
            </w:r>
          </w:p>
        </w:tc>
      </w:tr>
      <w:tr>
        <w:tc>
          <w:tcPr>
            <w:tcW w:type="dxa" w:w="1985"/>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db_admin</w:t>
            </w:r>
          </w:p>
        </w:tc>
        <w:tc>
          <w:tcPr>
            <w:tcW w:type="dxa" w:w="3429"/>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All tables and system catalogs</w:t>
            </w:r>
          </w:p>
        </w:tc>
        <w:tc>
          <w:tcPr>
            <w:tcW w:type="dxa" w:w="3612"/>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ALL PRIVILEGES — restricted to named administrators</w:t>
            </w:r>
          </w:p>
        </w:tc>
      </w:tr>
    </w:tbl>
    <w:p>
      <w:pPr>
        <w:spacing w:after="100"/>
      </w:pPr>
    </w:p>
    <w:p>
      <w:pPr>
        <w:pStyle w:val="Heading3"/>
        <w:spacing w:after="80" w:before="200"/>
      </w:pPr>
      <w:r>
        <w:rPr>
          <w:rFonts w:ascii="Arial" w:cs="Arial" w:eastAsia="Arial" w:hAnsi="Arial"/>
          <w:b/>
          <w:bCs/>
          <w:sz w:val="24"/>
          <w:szCs w:val="24"/>
        </w:rPr>
        <w:t xml:space="preserve">3.5.3  Backup strategy</w:t>
      </w:r>
    </w:p>
    <w:p>
      <w:pPr>
        <w:spacing w:after="140"/>
      </w:pPr>
      <w:r>
        <w:rPr>
          <w:rFonts w:ascii="Arial" w:cs="Arial" w:eastAsia="Arial" w:hAnsi="Arial"/>
          <w:sz w:val="24"/>
          <w:szCs w:val="24"/>
        </w:rPr>
        <w:t xml:space="preserve">Backups use pg_dump, PostgreSQL’s built-in export tool. Rather than copying raw disk files, pg_dump produces a logical backup — a compressed SQL file that can rebuild the entire database from scratch on any machine. That portability matters: if the primary machine fails, restoration does not depend on identical hardware or an identical PostgreSQL version.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8"/>
        <w:gridCol w:w="6048"/>
      </w:tblGrid>
      <w:tr>
        <w:trPr>
          <w:tblHeader/>
        </w:trPr>
        <w:tc>
          <w:tcPr>
            <w:tcW w:type="dxa" w:w="2978"/>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Backup parameter</w:t>
            </w:r>
          </w:p>
        </w:tc>
        <w:tc>
          <w:tcPr>
            <w:tcW w:type="dxa" w:w="6048"/>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Value</w:t>
            </w:r>
          </w:p>
        </w:tc>
      </w:tr>
      <w:tr>
        <w:tc>
          <w:tcPr>
            <w:tcW w:type="dxa" w:w="297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Method</w:t>
            </w:r>
          </w:p>
        </w:tc>
        <w:tc>
          <w:tcPr>
            <w:tcW w:type="dxa" w:w="604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pg_dump (compressed logical backup, --format=custom)</w:t>
            </w:r>
          </w:p>
        </w:tc>
      </w:tr>
      <w:tr>
        <w:tc>
          <w:tcPr>
            <w:tcW w:type="dxa" w:w="297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Schedule</w:t>
            </w:r>
          </w:p>
        </w:tc>
        <w:tc>
          <w:tcPr>
            <w:tcW w:type="dxa" w:w="604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Daily, run after the ETL pipeline completes</w:t>
            </w:r>
          </w:p>
        </w:tc>
      </w:tr>
      <w:tr>
        <w:tc>
          <w:tcPr>
            <w:tcW w:type="dxa" w:w="297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Retention period</w:t>
            </w:r>
          </w:p>
        </w:tc>
        <w:tc>
          <w:tcPr>
            <w:tcW w:type="dxa" w:w="604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30 rolling days. Backups older than 30 days are automatically deleted.</w:t>
            </w:r>
          </w:p>
        </w:tc>
      </w:tr>
      <w:tr>
        <w:tc>
          <w:tcPr>
            <w:tcW w:type="dxa" w:w="297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Storage location</w:t>
            </w:r>
          </w:p>
        </w:tc>
        <w:tc>
          <w:tcPr>
            <w:tcW w:type="dxa" w:w="604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Separate encrypted volume, physically distinct from the primary database machine</w:t>
            </w:r>
          </w:p>
        </w:tc>
      </w:tr>
      <w:tr>
        <w:tc>
          <w:tcPr>
            <w:tcW w:type="dxa" w:w="297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Restore test</w:t>
            </w:r>
          </w:p>
        </w:tc>
        <w:tc>
          <w:tcPr>
            <w:tcW w:type="dxa" w:w="604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Periodic restore to a test instance with row-count validation to confirm the backup is usable</w:t>
            </w:r>
          </w:p>
        </w:tc>
      </w:tr>
      <w:tr>
        <w:tc>
          <w:tcPr>
            <w:tcW w:type="dxa" w:w="297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WAL archiving</w:t>
            </w:r>
          </w:p>
        </w:tc>
        <w:tc>
          <w:tcPr>
            <w:tcW w:type="dxa" w:w="604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Enabled on the primary to support point-in-time recovery (PITR) between daily backups</w:t>
            </w:r>
          </w:p>
        </w:tc>
      </w:tr>
    </w:tbl>
    <w:p>
      <w:pPr>
        <w:spacing w:after="100"/>
      </w:pPr>
    </w:p>
    <w:p>
      <w:pPr>
        <w:pStyle w:val="Heading3"/>
        <w:spacing w:after="80" w:before="200"/>
      </w:pPr>
      <w:r>
        <w:rPr>
          <w:rFonts w:ascii="Arial" w:cs="Arial" w:eastAsia="Arial" w:hAnsi="Arial"/>
          <w:b/>
          <w:bCs/>
          <w:sz w:val="24"/>
          <w:szCs w:val="24"/>
        </w:rPr>
        <w:t xml:space="preserve">3.5.4  Logging and monitoring</w:t>
      </w:r>
    </w:p>
    <w:p>
      <w:pPr>
        <w:spacing w:after="140"/>
      </w:pPr>
      <w:r>
        <w:rPr>
          <w:rFonts w:ascii="Arial" w:cs="Arial" w:eastAsia="Arial" w:hAnsi="Arial"/>
          <w:sz w:val="24"/>
          <w:szCs w:val="24"/>
        </w:rPr>
        <w:t xml:space="preserve">Logs are the audit trail that makes security reviewable after the fact. PostgreSQL’s pg_log is configured to capture all connection attempts, authentication failures, schema changes (CREATE TABLE, DROP TABLE, and so on), and any query that takes longer than one second. Log files are retained for 90 days and reviewed periodically.</w:t>
      </w:r>
    </w:p>
    <w:p>
      <w:pPr>
        <w:spacing w:after="100"/>
      </w:pPr>
    </w:p>
    <w:p>
      <w:pPr>
        <w:pStyle w:val="ListParagraph"/>
        <w:numPr>
          <w:ilvl w:val="0"/>
          <w:numId w:val="2"/>
        </w:numPr>
        <w:spacing w:after="60"/>
      </w:pPr>
      <w:r>
        <w:rPr>
          <w:rFonts w:ascii="Arial" w:cs="Arial" w:eastAsia="Arial" w:hAnsi="Arial"/>
          <w:sz w:val="22"/>
          <w:szCs w:val="22"/>
        </w:rPr>
        <w:t xml:space="preserve">Authentication: every failed login is recorded at WARNING level. Multiple consecutive failures from the same host are treated as a potential intrusion attempt.</w:t>
      </w:r>
    </w:p>
    <w:p>
      <w:pPr>
        <w:pStyle w:val="ListParagraph"/>
        <w:numPr>
          <w:ilvl w:val="0"/>
          <w:numId w:val="2"/>
        </w:numPr>
        <w:spacing w:after="60"/>
      </w:pPr>
      <w:r>
        <w:rPr>
          <w:rFonts w:ascii="Arial" w:cs="Arial" w:eastAsia="Arial" w:hAnsi="Arial"/>
          <w:sz w:val="22"/>
          <w:szCs w:val="22"/>
        </w:rPr>
        <w:t xml:space="preserve">Query monitoring: the pg_stat_activity view is checked regularly for sessions that have been running too long or are stuck in a transaction — both are signs that an ETL run went wrong and needs attention.</w:t>
      </w:r>
    </w:p>
    <w:p>
      <w:pPr>
        <w:pStyle w:val="ListParagraph"/>
        <w:numPr>
          <w:ilvl w:val="0"/>
          <w:numId w:val="2"/>
        </w:numPr>
        <w:spacing w:after="60"/>
      </w:pPr>
      <w:r>
        <w:rPr>
          <w:rFonts w:ascii="Arial" w:cs="Arial" w:eastAsia="Arial" w:hAnsi="Arial"/>
          <w:sz w:val="22"/>
          <w:szCs w:val="22"/>
        </w:rPr>
        <w:t xml:space="preserve">Audit trail: write operations on academic_performance — the most sensitive table in the schema — are logged with a timestamp and the executing role. Any unexpected modification can be traced back to its source.</w:t>
      </w:r>
    </w:p>
    <w:p>
      <w:pPr>
        <w:spacing w:after="100"/>
      </w:pPr>
    </w:p>
    <w:p>
      <w:pPr>
        <w:pStyle w:val="Heading3"/>
        <w:spacing w:after="80" w:before="200"/>
      </w:pPr>
      <w:r>
        <w:rPr>
          <w:rFonts w:ascii="Arial" w:cs="Arial" w:eastAsia="Arial" w:hAnsi="Arial"/>
          <w:b/>
          <w:bCs/>
          <w:sz w:val="24"/>
          <w:szCs w:val="24"/>
        </w:rPr>
        <w:t xml:space="preserve">3.5.5  GDPR compliance</w:t>
      </w:r>
    </w:p>
    <w:p>
      <w:pPr>
        <w:spacing w:after="140"/>
      </w:pPr>
      <w:r>
        <w:rPr>
          <w:rFonts w:ascii="Arial" w:cs="Arial" w:eastAsia="Arial" w:hAnsi="Arial"/>
          <w:sz w:val="24"/>
          <w:szCs w:val="24"/>
        </w:rPr>
        <w:t xml:space="preserve">The project established four conditions that must be satisfied before any student data is stored or used. These are not formalities — they reflect a genuine commitment to responsible data handling:</w:t>
      </w:r>
    </w:p>
    <w:p>
      <w:pPr>
        <w:spacing w:after="100"/>
      </w:pPr>
    </w:p>
    <w:p>
      <w:pPr>
        <w:pStyle w:val="ListParagraph"/>
        <w:numPr>
          <w:ilvl w:val="0"/>
          <w:numId w:val="2"/>
        </w:numPr>
        <w:spacing w:after="60"/>
      </w:pPr>
      <w:r>
        <w:rPr>
          <w:rFonts w:ascii="Arial" w:cs="Arial" w:eastAsia="Arial" w:hAnsi="Arial"/>
          <w:sz w:val="22"/>
          <w:szCs w:val="22"/>
        </w:rPr>
        <w:t xml:space="preserve">Informed consent: each student has explicitly and voluntarily agreed to their health and academic data being collected, combined, and analysed for this project. The consent is specific to the data types described in Section 1 and the research questions in scope. It can be withdrawn at any time.</w:t>
      </w:r>
    </w:p>
    <w:p>
      <w:pPr>
        <w:pStyle w:val="ListParagraph"/>
        <w:numPr>
          <w:ilvl w:val="0"/>
          <w:numId w:val="2"/>
        </w:numPr>
        <w:spacing w:after="60"/>
      </w:pPr>
      <w:r>
        <w:rPr>
          <w:rFonts w:ascii="Arial" w:cs="Arial" w:eastAsia="Arial" w:hAnsi="Arial"/>
          <w:sz w:val="22"/>
          <w:szCs w:val="22"/>
        </w:rPr>
        <w:t xml:space="preserve">Transparency: the purpose of the analysis is documented here and disclosed to all three participants. There are no hidden uses — the data sources, the queries, and who can see the results are all known and agreed upon.</w:t>
      </w:r>
    </w:p>
    <w:p>
      <w:pPr>
        <w:pStyle w:val="ListParagraph"/>
        <w:numPr>
          <w:ilvl w:val="0"/>
          <w:numId w:val="2"/>
        </w:numPr>
        <w:spacing w:after="60"/>
      </w:pPr>
      <w:r>
        <w:rPr>
          <w:rFonts w:ascii="Arial" w:cs="Arial" w:eastAsia="Arial" w:hAnsi="Arial"/>
          <w:sz w:val="22"/>
          <w:szCs w:val="22"/>
        </w:rPr>
        <w:t xml:space="preserve">Data minimisation: only what is needed to answer the five research sub-questions is collected. No additional personal attributes are gathered. Columns that appear in the schema but are not referenced by any query are there for structural completeness, not for unrestricted use.</w:t>
      </w:r>
    </w:p>
    <w:p>
      <w:pPr>
        <w:pStyle w:val="ListParagraph"/>
        <w:numPr>
          <w:ilvl w:val="0"/>
          <w:numId w:val="2"/>
        </w:numPr>
        <w:spacing w:after="60"/>
      </w:pPr>
      <w:r>
        <w:rPr>
          <w:rFonts w:ascii="Arial" w:cs="Arial" w:eastAsia="Arial" w:hAnsi="Arial"/>
          <w:sz w:val="22"/>
          <w:szCs w:val="22"/>
        </w:rPr>
        <w:t xml:space="preserve">Right to erasure (Article 17 GDPR): if a student withdraws consent, a single DELETE FROM students WHERE student_id = ‘SX’ removes every row belonging to them across all six tables — the ON DELETE CASCADE foreign keys handle the rest automatically. This is not a soft delete; the data is gone.</w:t>
      </w:r>
    </w:p>
    <w:p>
      <w:pPr>
        <w:spacing w:after="100"/>
      </w:pPr>
    </w:p>
    <w:p>
      <w:pPr>
        <w:spacing w:after="140"/>
      </w:pPr>
      <w:r>
        <w:rPr>
          <w:rFonts w:ascii="Arial" w:cs="Arial" w:eastAsia="Arial" w:hAnsi="Arial"/>
          <w:sz w:val="24"/>
          <w:szCs w:val="24"/>
        </w:rPr>
        <w:t xml:space="preserve">At the end of the project, all personal data is deleted — not archived, not anonymised and kept, deleted. Nothing is shared with third parties. The dataset used here is synthetic, as disclosed to the professor and documented in this report.</w:t>
      </w:r>
    </w:p>
    <w:p>
      <w:pPr>
        <w:spacing w:after="100"/>
      </w:pPr>
    </w:p>
    <w:p>
      <w:pPr>
        <w:pStyle w:val="Heading3"/>
        <w:spacing w:after="80" w:before="200"/>
      </w:pPr>
      <w:r>
        <w:rPr>
          <w:rFonts w:ascii="Arial" w:cs="Arial" w:eastAsia="Arial" w:hAnsi="Arial"/>
          <w:b/>
          <w:bCs/>
          <w:sz w:val="24"/>
          <w:szCs w:val="24"/>
        </w:rPr>
        <w:t xml:space="preserve">3.5.6  Alignment with ISO/IEC 27001:2022</w:t>
      </w:r>
    </w:p>
    <w:p>
      <w:pPr>
        <w:spacing w:after="140"/>
      </w:pPr>
      <w:r>
        <w:rPr>
          <w:rFonts w:ascii="Arial" w:cs="Arial" w:eastAsia="Arial" w:hAnsi="Arial"/>
          <w:sz w:val="24"/>
          <w:szCs w:val="24"/>
        </w:rPr>
        <w:t xml:space="preserve">The security decisions made throughout Section 3.5 are grounded in the ISO/IEC 27001:2022 framework for information security management. Full certification is not the goal — this is a student project — but the framework provides a recognised structure for reasoning about what protections are needed and why. The table below maps each design decision to the relevant Annex A control area.</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8"/>
        <w:gridCol w:w="6048"/>
      </w:tblGrid>
      <w:tr>
        <w:trPr>
          <w:tblHeader/>
        </w:trPr>
        <w:tc>
          <w:tcPr>
            <w:tcW w:type="dxa" w:w="2978"/>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ISO 27001 control area</w:t>
            </w:r>
          </w:p>
        </w:tc>
        <w:tc>
          <w:tcPr>
            <w:tcW w:type="dxa" w:w="6048"/>
            <w:tcBorders>
              <w:top w:val="single" w:color="AACCDD" w:sz="4"/>
              <w:left w:val="single" w:color="AACCDD" w:sz="4"/>
              <w:bottom w:val="single" w:color="AACCDD" w:sz="4"/>
              <w:right w:val="single" w:color="AACCDD" w:sz="4"/>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Implementation in this project</w:t>
            </w:r>
          </w:p>
        </w:tc>
      </w:tr>
      <w:tr>
        <w:tc>
          <w:tcPr>
            <w:tcW w:type="dxa" w:w="297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A.5 — Information security policies</w:t>
            </w:r>
          </w:p>
        </w:tc>
        <w:tc>
          <w:tcPr>
            <w:tcW w:type="dxa" w:w="604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This security policy document (Section 3.5) constitutes the project’s information security policy.</w:t>
            </w:r>
          </w:p>
        </w:tc>
      </w:tr>
      <w:tr>
        <w:tc>
          <w:tcPr>
            <w:tcW w:type="dxa" w:w="297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A.8 — Asset management</w:t>
            </w:r>
          </w:p>
        </w:tc>
        <w:tc>
          <w:tcPr>
            <w:tcW w:type="dxa" w:w="604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The six database tables and eleven source CSV files are documented as data assets in Sections 1 and 3.2.</w:t>
            </w:r>
          </w:p>
        </w:tc>
      </w:tr>
      <w:tr>
        <w:tc>
          <w:tcPr>
            <w:tcW w:type="dxa" w:w="297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A.9 — Access control</w:t>
            </w:r>
          </w:p>
        </w:tc>
        <w:tc>
          <w:tcPr>
            <w:tcW w:type="dxa" w:w="604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Role-based access control with principle of least privilege (Section 3.5.2). Row-Level Security enforces per-student data isolation at the database level.</w:t>
            </w:r>
          </w:p>
        </w:tc>
      </w:tr>
      <w:tr>
        <w:tc>
          <w:tcPr>
            <w:tcW w:type="dxa" w:w="297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A.10 — Cryptography</w:t>
            </w:r>
          </w:p>
        </w:tc>
        <w:tc>
          <w:tcPr>
            <w:tcW w:type="dxa" w:w="604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Encryption at rest (FileVault / BitLocker, pgcrypto) and in transit (SSL/TLS) as described in Section 3.5.1.</w:t>
            </w:r>
          </w:p>
        </w:tc>
      </w:tr>
      <w:tr>
        <w:tc>
          <w:tcPr>
            <w:tcW w:type="dxa" w:w="297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A.12 — Operations security</w:t>
            </w:r>
          </w:p>
        </w:tc>
        <w:tc>
          <w:tcPr>
            <w:tcW w:type="dxa" w:w="6048"/>
            <w:tcBorders>
              <w:top w:val="single" w:color="DDDDDD" w:sz="4"/>
              <w:left w:val="single" w:color="DDDDDD" w:sz="4"/>
              <w:bottom w:val="single" w:color="DDDDDD" w:sz="4"/>
              <w:right w:val="single" w:color="DDDDDD" w:sz="4"/>
            </w:tcBorders>
            <w:tcMar>
              <w:top w:type="dxa" w:w="80"/>
              <w:left w:type="dxa" w:w="120"/>
              <w:bottom w:type="dxa" w:w="80"/>
              <w:right w:type="dxa" w:w="120"/>
            </w:tcMar>
            <w:vAlign w:val="top"/>
          </w:tcPr>
          <w:p>
            <w:r>
              <w:rPr>
                <w:rFonts w:ascii="Arial" w:cs="Arial" w:eastAsia="Arial" w:hAnsi="Arial"/>
                <w:sz w:val="20"/>
                <w:szCs w:val="20"/>
              </w:rPr>
              <w:t xml:space="preserve">Backup strategy (Section 3.5.3) and logging and monitoring (Section 3.5.4).</w:t>
            </w:r>
          </w:p>
        </w:tc>
      </w:tr>
      <w:tr>
        <w:tc>
          <w:tcPr>
            <w:tcW w:type="dxa" w:w="297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A.18 — Compliance</w:t>
            </w:r>
          </w:p>
        </w:tc>
        <w:tc>
          <w:tcPr>
            <w:tcW w:type="dxa" w:w="6048"/>
            <w:tcBorders>
              <w:top w:val="single" w:color="DDDDDD" w:sz="4"/>
              <w:left w:val="single" w:color="DDDDDD" w:sz="4"/>
              <w:bottom w:val="single" w:color="DDDDDD" w:sz="4"/>
              <w:right w:val="single" w:color="DDDDDD" w:sz="4"/>
            </w:tcBorders>
            <w:shd w:fill="F7FBFD" w:val="clear"/>
            <w:tcMar>
              <w:top w:type="dxa" w:w="80"/>
              <w:left w:type="dxa" w:w="120"/>
              <w:bottom w:type="dxa" w:w="80"/>
              <w:right w:type="dxa" w:w="120"/>
            </w:tcMar>
            <w:vAlign w:val="top"/>
          </w:tcPr>
          <w:p>
            <w:r>
              <w:rPr>
                <w:rFonts w:ascii="Arial" w:cs="Arial" w:eastAsia="Arial" w:hAnsi="Arial"/>
                <w:sz w:val="20"/>
                <w:szCs w:val="20"/>
              </w:rPr>
              <w:t xml:space="preserve">GDPR compliance framework, data minimisation, and right to erasure as described in Section 3.5.5.</w:t>
            </w:r>
          </w:p>
        </w:tc>
      </w:tr>
    </w:tbl>
    <w:p>
      <w:pPr>
        <w:spacing w:after="100"/>
      </w:pPr>
    </w:p>
    <w:p>
      <w:pPr>
        <w:spacing w:after="100"/>
      </w:pPr>
    </w:p>
    <w:p>
      <w:pPr>
        <w:spacing w:after="140"/>
      </w:pPr>
      <w:r>
        <w:rPr>
          <w:rFonts w:ascii="Arial" w:cs="Arial" w:eastAsia="Arial" w:hAnsi="Arial"/>
          <w:color w:val="888888"/>
          <w:sz w:val="24"/>
          <w:szCs w:val="24"/>
        </w:rPr>
        <w:t xml:space="preserve">*End of Section 3 — System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tabs>
        <w:tab w:val="right" w:pos="9026"/>
      </w:tabs>
    </w:pPr>
    <w:r>
      <w:rPr>
        <w:rFonts w:ascii="Arial" w:cs="Arial" w:eastAsia="Arial" w:hAnsi="Arial"/>
        <w:i/>
        <w:iCs/>
        <w:color w:val="888888"/>
        <w:sz w:val="18"/>
        <w:szCs w:val="18"/>
      </w:rPr>
      <w:t xml:space="preserve">Confidential — Personal Data</w:t>
    </w:r>
    <w:r>
      <w:rPr>
        <w:rFonts w:ascii="Arial" w:cs="Arial" w:eastAsia="Arial" w:hAnsi="Arial"/>
        <w:sz w:val="18"/>
        <w:szCs w:val="18"/>
      </w:rPr>
      <w:t xml:space="preserv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666666"/>
        <w:sz w:val="18"/>
        <w:szCs w:val="18"/>
      </w:rPr>
      <w:t xml:space="preserve">Group Project: Introduction Data Engineering  |  System Design</w:t>
    </w:r>
    <w:r>
      <w:rPr>
        <w:rFonts w:ascii="Arial" w:cs="Arial" w:eastAsia="Arial" w:hAnsi="Arial"/>
        <w:color w:val="2E75B6"/>
        <w:sz w:val="18"/>
        <w:szCs w:val="18"/>
      </w:rPr>
      <w:t xml:space="preserve">  |  Section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2026-06-11T21:34:18.155Z</dcterms:created>
  <dcterms:modified xsi:type="dcterms:W3CDTF">2026-06-11T21:34:18.166Z</dcterms:modified>
</cp:coreProperties>
</file>

<file path=docProps/custom.xml><?xml version="1.0" encoding="utf-8"?>
<Properties xmlns="http://schemas.openxmlformats.org/officeDocument/2006/custom-properties" xmlns:vt="http://schemas.openxmlformats.org/officeDocument/2006/docPropsVTypes"/>
</file>