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color w:val="888888"/>
          <w:sz w:val="22"/>
          <w:szCs w:val="22"/>
        </w:rPr>
        <w:t xml:space="preserve">Group Project: Introduction Data Engineering  —  System Design</w:t>
      </w:r>
    </w:p>
    <w:p>
      <w:pPr>
        <w:spacing w:after="60" w:before="0"/>
        <w:jc w:val="center"/>
      </w:pPr>
      <w:r>
        <w:rPr>
          <w:rFonts w:ascii="Arial" w:cs="Arial" w:eastAsia="Arial" w:hAnsi="Arial"/>
          <w:b/>
          <w:bCs/>
          <w:color w:val="1B3A6B"/>
          <w:sz w:val="28"/>
          <w:szCs w:val="28"/>
        </w:rPr>
        <w:t xml:space="preserve">Section 3</w:t>
      </w:r>
    </w:p>
    <w:p>
      <w:pPr>
        <w:pBdr>
          <w:bottom w:val="single" w:color="0D7377" w:sz="6" w:space="1"/>
        </w:pBdr>
        <w:spacing w:after="280" w:before="0"/>
        <w:jc w:val="center"/>
      </w:pPr>
      <w:r>
        <w:rPr>
          <w:rFonts w:ascii="Arial" w:cs="Arial" w:eastAsia="Arial" w:hAnsi="Arial"/>
          <w:b/>
          <w:bCs/>
          <w:color w:val="0D7377"/>
          <w:sz w:val="22"/>
          <w:szCs w:val="22"/>
        </w:rPr>
        <w:t xml:space="preserve">Personal Data Ecosystem for Learning Analytics  |</w:t>
      </w:r>
    </w:p>
    <w:p>
      <w:pPr>
        <w:spacing w:after="80"/>
      </w:pPr>
    </w:p>
    <w:p>
      <w:pPr>
        <w:pStyle w:val="Heading1"/>
        <w:pBdr>
          <w:bottom w:val="single" w:color="0D7377" w:sz="6" w:space="1"/>
        </w:pBdr>
        <w:spacing w:after="200" w:before="400"/>
      </w:pPr>
      <w:r>
        <w:rPr>
          <w:rFonts w:ascii="Arial" w:cs="Arial" w:eastAsia="Arial" w:hAnsi="Arial"/>
          <w:b/>
          <w:bCs/>
          <w:color w:val="1B3A6B"/>
          <w:sz w:val="32"/>
          <w:szCs w:val="32"/>
        </w:rPr>
        <w:t xml:space="preserve">3  System Design</w:t>
      </w:r>
    </w:p>
    <w:p>
      <w:pPr>
        <w:pStyle w:val="Heading2"/>
        <w:spacing w:after="140" w:before="280"/>
      </w:pPr>
      <w:r>
        <w:rPr>
          <w:rFonts w:ascii="Arial" w:cs="Arial" w:eastAsia="Arial" w:hAnsi="Arial"/>
          <w:b/>
          <w:bCs/>
          <w:color w:val="0D7377"/>
          <w:sz w:val="26"/>
          <w:szCs w:val="26"/>
        </w:rPr>
        <w:t xml:space="preserve">3.1  Overview</w:t>
      </w:r>
    </w:p>
    <w:p>
      <w:pPr>
        <w:spacing w:after="120"/>
      </w:pPr>
      <w:r>
        <w:rPr>
          <w:rFonts w:ascii="Arial" w:cs="Arial" w:eastAsia="Arial" w:hAnsi="Arial"/>
          <w:sz w:val="22"/>
          <w:szCs w:val="22"/>
        </w:rPr>
        <w:t xml:space="preserve">With the data sources mapped out (Section 1) and PostgreSQL chosen as the primary database (Section 2), this section covers the full design of the system across four areas: the relational schema, which defines how the five sources are laid out in the database; the ETL pipeline, which describes how raw CSV files are cleaned and loaded; the distributed architecture, which explains how the database is deployed and kept reliable; and the data security policy, which addresses how personal health and academic data is protected throughout the project.</w:t>
      </w:r>
    </w:p>
    <w:p>
      <w:pPr>
        <w:spacing w:after="120"/>
      </w:pPr>
      <w:r>
        <w:rPr>
          <w:rFonts w:ascii="Arial" w:cs="Arial" w:eastAsia="Arial" w:hAnsi="Arial"/>
          <w:sz w:val="22"/>
          <w:szCs w:val="22"/>
        </w:rPr>
        <w:t xml:space="preserve">At the centre of everything is a single PostgreSQL database bringing together data from three students across 89 days — 2 September to 29 November 2024. Getting there requires three steps:</w:t>
      </w:r>
    </w:p>
    <w:p>
      <w:pPr>
        <w:pStyle w:val="ListParagraph"/>
        <w:numPr>
          <w:ilvl w:val="0"/>
          <w:numId w:val="2"/>
        </w:numPr>
        <w:spacing w:after="80"/>
      </w:pPr>
      <w:r>
        <w:rPr>
          <w:rFonts w:ascii="Arial" w:cs="Arial" w:eastAsia="Arial" w:hAnsi="Arial"/>
          <w:sz w:val="22"/>
          <w:szCs w:val="22"/>
        </w:rPr>
        <w:t xml:space="preserve">Extract — read the eleven raw CSV files, one per student per source type.</w:t>
      </w:r>
    </w:p>
    <w:p>
      <w:pPr>
        <w:pStyle w:val="ListParagraph"/>
        <w:numPr>
          <w:ilvl w:val="0"/>
          <w:numId w:val="2"/>
        </w:numPr>
        <w:spacing w:after="80"/>
      </w:pPr>
      <w:r>
        <w:rPr>
          <w:rFonts w:ascii="Arial" w:cs="Arial" w:eastAsia="Arial" w:hAnsi="Arial"/>
          <w:sz w:val="22"/>
          <w:szCs w:val="22"/>
        </w:rPr>
        <w:t xml:space="preserve">Transform — Python scripts standardise date formats, coerce data types, handle NULL values, and inject missing metadata such as student identifiers from filenames.</w:t>
      </w:r>
    </w:p>
    <w:p>
      <w:pPr>
        <w:pStyle w:val="ListParagraph"/>
        <w:numPr>
          <w:ilvl w:val="0"/>
          <w:numId w:val="2"/>
        </w:numPr>
        <w:spacing w:after="80"/>
      </w:pPr>
      <w:r>
        <w:rPr>
          <w:rFonts w:ascii="Arial" w:cs="Arial" w:eastAsia="Arial" w:hAnsi="Arial"/>
          <w:sz w:val="22"/>
          <w:szCs w:val="22"/>
        </w:rPr>
        <w:t xml:space="preserve">Load — insert cleaned records into PostgreSQL using psycopg2, inside ACID transactions with idempotent conflict handling.</w:t>
      </w:r>
    </w:p>
    <w:p>
      <w:pPr>
        <w:spacing w:after="80"/>
      </w:pPr>
    </w:p>
    <w:p>
      <w:pPr>
        <w:spacing w:after="120"/>
      </w:pPr>
      <w:r>
        <w:rPr>
          <w:rFonts w:ascii="Arial" w:cs="Arial" w:eastAsia="Arial" w:hAnsi="Arial"/>
          <w:sz w:val="22"/>
          <w:szCs w:val="22"/>
        </w:rPr>
        <w:t xml:space="preserve">One thing worth stating upfront: this system is small. Three students, roughly 1,400 rows, queries that finish in milliseconds. That context matters for Section 3.4, where distributed concepts like sharding are discussed — the design is honest about what is and is not warranted at this scale.</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3.2  Relational Schema Design</w:t>
      </w:r>
    </w:p>
    <w:p>
      <w:pPr>
        <w:spacing w:after="120"/>
      </w:pPr>
      <w:r>
        <w:rPr>
          <w:rFonts w:ascii="Arial" w:cs="Arial" w:eastAsia="Arial" w:hAnsi="Arial"/>
          <w:sz w:val="22"/>
          <w:szCs w:val="22"/>
        </w:rPr>
        <w:t xml:space="preserve">The schema defines six tables. Five correspond directly to the five data sources described in Section 1. A sixth table — students — acts as the identity anchor: every other table holds a foreign key referencing students(student_id), enabling a single DELETE to remove all data belonging to a student (GDPR right to erasure, Section 3.5.5). The design follows the principle of normalisation: each piece of information lives in exactly one place.</w:t>
      </w:r>
    </w:p>
    <w:p>
      <w:pPr>
        <w:spacing w:after="80"/>
      </w:pPr>
    </w:p>
    <w:p>
      <w:pPr>
        <w:pStyle w:val="Heading2"/>
        <w:spacing w:after="140" w:before="280"/>
      </w:pPr>
      <w:r>
        <w:rPr>
          <w:rFonts w:ascii="Arial" w:cs="Arial" w:eastAsia="Arial" w:hAnsi="Arial"/>
          <w:b/>
          <w:bCs/>
          <w:color w:val="0D7377"/>
          <w:sz w:val="26"/>
          <w:szCs w:val="26"/>
        </w:rPr>
        <w:t xml:space="preserve">3.2.1  Table: students</w:t>
      </w:r>
    </w:p>
    <w:p>
      <w:pPr>
        <w:spacing w:after="120"/>
      </w:pPr>
      <w:r>
        <w:rPr>
          <w:rFonts w:ascii="Arial" w:cs="Arial" w:eastAsia="Arial" w:hAnsi="Arial"/>
          <w:sz w:val="22"/>
          <w:szCs w:val="22"/>
        </w:rPr>
        <w:t xml:space="preserve">A small but essential anchor table. Every other table in the schema has a foreign key pointing back here, creating a single place to manage student identity.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Anonymous identifier (S001, S002, S003)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Pseudonymised display name</w:t>
            </w:r>
          </w:p>
        </w:tc>
      </w:tr>
    </w:tbl>
    <w:p>
      <w:pPr>
        <w:spacing w:after="100"/>
      </w:pPr>
    </w:p>
    <w:p>
      <w:pPr>
        <w:spacing w:after="120"/>
        <w:jc w:val="center"/>
      </w:pPr>
      <w:r>
        <w:rPr>
          <w:rFonts w:ascii="Arial" w:cs="Arial" w:eastAsia="Arial" w:hAnsi="Arial"/>
          <w:i/>
          <w:iCs/>
          <w:color w:val="888888"/>
          <w:sz w:val="18"/>
          <w:szCs w:val="18"/>
        </w:rPr>
        <w:t xml:space="preserve">Table 3.1 — students table.</w:t>
      </w:r>
    </w:p>
    <w:p>
      <w:pPr>
        <w:spacing w:after="160"/>
      </w:pPr>
    </w:p>
    <w:p>
      <w:pPr>
        <w:pStyle w:val="Heading2"/>
        <w:spacing w:after="140" w:before="280"/>
      </w:pPr>
      <w:r>
        <w:rPr>
          <w:rFonts w:ascii="Arial" w:cs="Arial" w:eastAsia="Arial" w:hAnsi="Arial"/>
          <w:b/>
          <w:bCs/>
          <w:color w:val="0D7377"/>
          <w:sz w:val="26"/>
          <w:szCs w:val="26"/>
        </w:rPr>
        <w:t xml:space="preserve">3.2.2  Table: whoop_cycles</w:t>
      </w:r>
    </w:p>
    <w:p>
      <w:pPr>
        <w:spacing w:after="120"/>
      </w:pPr>
      <w:r>
        <w:rPr>
          <w:rFonts w:ascii="Arial" w:cs="Arial" w:eastAsia="Arial" w:hAnsi="Arial"/>
          <w:sz w:val="22"/>
          <w:szCs w:val="22"/>
        </w:rPr>
        <w:t xml:space="preserve">One row per student per day — the cleanest structure in the whole dataset. The unique constraint on (student_id, cycle_date) acts as a safeguard: if the ETL pipeline runs twice by accident, duplicate rows are silently rejected.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cycle_id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SERIAL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Auto-incrementing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FK → students CASCADE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Links to the students table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cycle_date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Calendar date derived from cycle_start_time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cycle_start_time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TIMESTAMP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Start of the physiological cycle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cycle_end_time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TIMESTAMP</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End of the physiological cycle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recovery_score_pct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(1–99)</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 recovery score (1–99%)</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hrv_rmssd_milli</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Heart rate variability in 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resting_heart_rate_bpm</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(&gt; 0)</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Resting heart rate in bpm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day_strain</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(0–21)</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Cardiovascular load score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energy_burned_cal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Total energy expenditure in kcal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avg_heart_rate_bpm</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Average heart rate over full day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max_heart_rate_bpm</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Maximum heart rate recorded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respiratory_rate_rpm</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Average breaths per minute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blood_oxygen_pct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(80–100)</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Average SpO2 percentage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skin_temp_celsius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Average skin temperature in °C</w:t>
            </w:r>
          </w:p>
        </w:tc>
      </w:tr>
    </w:tbl>
    <w:p>
      <w:pPr>
        <w:spacing w:after="60"/>
      </w:pPr>
    </w:p>
    <w:p>
      <w:pPr>
        <w:spacing w:after="120"/>
      </w:pPr>
      <w:r>
        <w:rPr>
          <w:rFonts w:ascii="Arial" w:cs="Arial" w:eastAsia="Arial" w:hAnsi="Arial"/>
          <w:b/>
          <w:bCs/>
          <w:sz w:val="22"/>
          <w:szCs w:val="22"/>
        </w:rPr>
        <w:t xml:space="preserve">Unique constraint: </w:t>
      </w:r>
      <w:r>
        <w:rPr>
          <w:rFonts w:ascii="Arial" w:cs="Arial" w:eastAsia="Arial" w:hAnsi="Arial"/>
          <w:sz w:val="22"/>
          <w:szCs w:val="22"/>
        </w:rPr>
        <w:t xml:space="preserve">(student_id, cycle_date)</w:t>
      </w:r>
    </w:p>
    <w:p>
      <w:pPr>
        <w:spacing w:after="100"/>
      </w:pPr>
    </w:p>
    <w:p>
      <w:pPr>
        <w:spacing w:after="120"/>
        <w:jc w:val="center"/>
      </w:pPr>
      <w:r>
        <w:rPr>
          <w:rFonts w:ascii="Arial" w:cs="Arial" w:eastAsia="Arial" w:hAnsi="Arial"/>
          <w:i/>
          <w:iCs/>
          <w:color w:val="888888"/>
          <w:sz w:val="18"/>
          <w:szCs w:val="18"/>
        </w:rPr>
        <w:t xml:space="preserve">Table 3.2 — whoop_cycles table.</w:t>
      </w:r>
    </w:p>
    <w:p>
      <w:pPr>
        <w:spacing w:after="160"/>
      </w:pPr>
    </w:p>
    <w:p>
      <w:pPr>
        <w:pStyle w:val="Heading2"/>
        <w:spacing w:after="140" w:before="280"/>
      </w:pPr>
      <w:r>
        <w:rPr>
          <w:rFonts w:ascii="Arial" w:cs="Arial" w:eastAsia="Arial" w:hAnsi="Arial"/>
          <w:b/>
          <w:bCs/>
          <w:color w:val="0D7377"/>
          <w:sz w:val="26"/>
          <w:szCs w:val="26"/>
        </w:rPr>
        <w:t xml:space="preserve">3.2.3  Table: whoop_sleep</w:t>
      </w:r>
    </w:p>
    <w:p>
      <w:pPr>
        <w:spacing w:after="120"/>
      </w:pPr>
      <w:r>
        <w:rPr>
          <w:rFonts w:ascii="Arial" w:cs="Arial" w:eastAsia="Arial" w:hAnsi="Arial"/>
          <w:sz w:val="22"/>
          <w:szCs w:val="22"/>
        </w:rPr>
        <w:t xml:space="preserve">One row per student per sleep session, aligned to a calendar date. Joins naturally to whoop_cycles via student_id and sleep_date. The sleep architecture columns (REM, deep, light, awake) make this table analytically valuable beyond just total sleep duration.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sleep_id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SERIAL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Auto-incrementing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FK → students CASCADE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Links to the students table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sleep_date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Calendar date derived from sleep_start_time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sleep_start_time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TIMESTAMP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Sleep onset time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sleep_end_time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TIMESTAMP</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Wake-up 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sleep_duration_hrs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(&gt;= 0)</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Total time asleep in hours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sleep_needed_hrs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WHOOP-calculated optimal sleep need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sleep_performance_pct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(0–200)</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Duration as % of sleep need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sleep_efficiency_pct</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(0–100)</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 of time in bed actually asleep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rem_sleep_hrs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 in REM stage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sws_deep_sleep_hrs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 in slow-wave (deep) sleep stage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light_sleep_hrs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 in light sleep stage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awake_hrs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 awake within the sleep window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sleep_consistency_pct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Consistency of sleep schedule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respiratory_rate_rpm</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Breathing rate during sleep</w:t>
            </w:r>
          </w:p>
        </w:tc>
      </w:tr>
    </w:tbl>
    <w:p>
      <w:pPr>
        <w:spacing w:after="60"/>
      </w:pPr>
    </w:p>
    <w:p>
      <w:pPr>
        <w:spacing w:after="120"/>
      </w:pPr>
      <w:r>
        <w:rPr>
          <w:rFonts w:ascii="Arial" w:cs="Arial" w:eastAsia="Arial" w:hAnsi="Arial"/>
          <w:b/>
          <w:bCs/>
          <w:sz w:val="22"/>
          <w:szCs w:val="22"/>
        </w:rPr>
        <w:t xml:space="preserve">Unique constraint: </w:t>
      </w:r>
      <w:r>
        <w:rPr>
          <w:rFonts w:ascii="Arial" w:cs="Arial" w:eastAsia="Arial" w:hAnsi="Arial"/>
          <w:sz w:val="22"/>
          <w:szCs w:val="22"/>
        </w:rPr>
        <w:t xml:space="preserve">(student_id, sleep_date)</w:t>
      </w:r>
    </w:p>
    <w:p>
      <w:pPr>
        <w:spacing w:after="100"/>
      </w:pPr>
    </w:p>
    <w:p>
      <w:pPr>
        <w:spacing w:after="120"/>
        <w:jc w:val="center"/>
      </w:pPr>
      <w:r>
        <w:rPr>
          <w:rFonts w:ascii="Arial" w:cs="Arial" w:eastAsia="Arial" w:hAnsi="Arial"/>
          <w:i/>
          <w:iCs/>
          <w:color w:val="888888"/>
          <w:sz w:val="18"/>
          <w:szCs w:val="18"/>
        </w:rPr>
        <w:t xml:space="preserve">Table 3.3 — whoop_sleep table.</w:t>
      </w:r>
    </w:p>
    <w:p>
      <w:pPr>
        <w:spacing w:after="160"/>
      </w:pPr>
    </w:p>
    <w:p>
      <w:pPr>
        <w:pStyle w:val="Heading2"/>
        <w:spacing w:after="140" w:before="280"/>
      </w:pPr>
      <w:r>
        <w:rPr>
          <w:rFonts w:ascii="Arial" w:cs="Arial" w:eastAsia="Arial" w:hAnsi="Arial"/>
          <w:b/>
          <w:bCs/>
          <w:color w:val="0D7377"/>
          <w:sz w:val="26"/>
          <w:szCs w:val="26"/>
        </w:rPr>
        <w:t xml:space="preserve">3.2.4  Table: whoop_workouts</w:t>
      </w:r>
    </w:p>
    <w:p>
      <w:pPr>
        <w:spacing w:after="120"/>
      </w:pPr>
      <w:r>
        <w:rPr>
          <w:rFonts w:ascii="Arial" w:cs="Arial" w:eastAsia="Arial" w:hAnsi="Arial"/>
          <w:sz w:val="22"/>
          <w:szCs w:val="22"/>
        </w:rPr>
        <w:t xml:space="preserve">Unlike cycles and sleep, this table is sparse: rows only exist on days when a workout actually happened. Joining to whoop_cycles requires a LEFT JOIN so that rest days are kept in results. The distance_km column is intentionally nullable — for gym-based sports like weightlifting or yoga, distance has no meaning and must not be stored as zero.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workout_id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SERIAL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Auto-incrementing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FK → students CASCADE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Links to the students table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workout_date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Calendar date derived from workout_start_time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workout_start_time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TIMESTAMP</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Start time of the session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sport</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VARCHAR(50)</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Activity type (Running, HIIT, Yoga, etc.)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workout_strain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(0–21)</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Cardiovascular load of the session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duration_min</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(&gt; 0)</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Session duration in minutes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avg_heart_rate_bpm</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Average heart rate during session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max_heart_rate_bpm</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Peak heart rate during session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calories_burned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Estimated energy expenditure in kcal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distance_km</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NUMERIC(6,3)</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NULL (nullable)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Distance covered; NULL for gym-based sports</w:t>
            </w:r>
          </w:p>
        </w:tc>
      </w:tr>
    </w:tbl>
    <w:p>
      <w:pPr>
        <w:spacing w:after="100"/>
      </w:pPr>
    </w:p>
    <w:p>
      <w:pPr>
        <w:spacing w:after="120"/>
        <w:jc w:val="center"/>
      </w:pPr>
      <w:r>
        <w:rPr>
          <w:rFonts w:ascii="Arial" w:cs="Arial" w:eastAsia="Arial" w:hAnsi="Arial"/>
          <w:i/>
          <w:iCs/>
          <w:color w:val="888888"/>
          <w:sz w:val="18"/>
          <w:szCs w:val="18"/>
        </w:rPr>
        <w:t xml:space="preserve">Table 3.4 — whoop_workouts table.</w:t>
      </w:r>
    </w:p>
    <w:p>
      <w:pPr>
        <w:spacing w:after="160"/>
      </w:pPr>
    </w:p>
    <w:p>
      <w:pPr>
        <w:pStyle w:val="Heading2"/>
        <w:spacing w:after="140" w:before="280"/>
      </w:pPr>
      <w:r>
        <w:rPr>
          <w:rFonts w:ascii="Arial" w:cs="Arial" w:eastAsia="Arial" w:hAnsi="Arial"/>
          <w:b/>
          <w:bCs/>
          <w:color w:val="0D7377"/>
          <w:sz w:val="26"/>
          <w:szCs w:val="26"/>
        </w:rPr>
        <w:t xml:space="preserve">3.2.5  Table: nutrition_logs</w:t>
      </w:r>
    </w:p>
    <w:p>
      <w:pPr>
        <w:spacing w:after="120"/>
      </w:pPr>
      <w:r>
        <w:rPr>
          <w:rFonts w:ascii="Arial" w:cs="Arial" w:eastAsia="Arial" w:hAnsi="Arial"/>
          <w:sz w:val="22"/>
          <w:szCs w:val="22"/>
        </w:rPr>
        <w:t xml:space="preserve">The most structurally complex table: up to four rows per student per day, one per meal slot. Crucially, a missing day is not just a gap — it is information. As established in Section 1.5, S003 did not log 57% of days, and that absence likely reflects poor dietary habits rather than a data collection failure. A CHECK constraint on the meal column ensures only the four valid MyFitnessPal export values can enter the database.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log_id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SERIAL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Auto-incrementing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FK → students CASCADE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Links to the students table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log_date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Calendar date of the meal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meal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VARCHAR(20)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(Breakfast/Lunch/Dinner/Snacks)</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Meal slot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calories_kcal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(&gt;= 0)</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Total calories for this meal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protein_g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Protein in grams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carbohydrates_g</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Carbohydrates in grams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fat_g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Fat in grams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fiber_g</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Dietary fibre in grams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sugar_g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NUMERIC(6,1)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Sugar in grams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sodium_mg</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Sodium in milligrams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water_ml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INTEGER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Water intake in millilitres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food_notes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TEXT</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NULL (nullable)</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Optional free-text notes; empty in this dataset</w:t>
            </w:r>
          </w:p>
        </w:tc>
      </w:tr>
    </w:tbl>
    <w:p>
      <w:pPr>
        <w:spacing w:after="60"/>
      </w:pPr>
    </w:p>
    <w:p>
      <w:pPr>
        <w:spacing w:after="120"/>
      </w:pPr>
      <w:r>
        <w:rPr>
          <w:rFonts w:ascii="Arial" w:cs="Arial" w:eastAsia="Arial" w:hAnsi="Arial"/>
          <w:b/>
          <w:bCs/>
          <w:sz w:val="22"/>
          <w:szCs w:val="22"/>
        </w:rPr>
        <w:t xml:space="preserve">Unique constraint: </w:t>
      </w:r>
      <w:r>
        <w:rPr>
          <w:rFonts w:ascii="Arial" w:cs="Arial" w:eastAsia="Arial" w:hAnsi="Arial"/>
          <w:sz w:val="22"/>
          <w:szCs w:val="22"/>
        </w:rPr>
        <w:t xml:space="preserve">(student_id, log_date, meal)</w:t>
      </w:r>
    </w:p>
    <w:p>
      <w:pPr>
        <w:spacing w:after="100"/>
      </w:pPr>
    </w:p>
    <w:p>
      <w:pPr>
        <w:spacing w:after="120"/>
        <w:jc w:val="center"/>
      </w:pPr>
      <w:r>
        <w:rPr>
          <w:rFonts w:ascii="Arial" w:cs="Arial" w:eastAsia="Arial" w:hAnsi="Arial"/>
          <w:i/>
          <w:iCs/>
          <w:color w:val="888888"/>
          <w:sz w:val="18"/>
          <w:szCs w:val="18"/>
        </w:rPr>
        <w:t xml:space="preserve">Table 3.5 — nutrition_logs table.</w:t>
      </w:r>
    </w:p>
    <w:p>
      <w:pPr>
        <w:spacing w:after="160"/>
      </w:pPr>
    </w:p>
    <w:p>
      <w:pPr>
        <w:pStyle w:val="Heading2"/>
        <w:spacing w:after="140" w:before="280"/>
      </w:pPr>
      <w:r>
        <w:rPr>
          <w:rFonts w:ascii="Arial" w:cs="Arial" w:eastAsia="Arial" w:hAnsi="Arial"/>
          <w:b/>
          <w:bCs/>
          <w:color w:val="0D7377"/>
          <w:sz w:val="26"/>
          <w:szCs w:val="26"/>
        </w:rPr>
        <w:t xml:space="preserve">3.2.6  Table: academic_performance</w:t>
      </w:r>
    </w:p>
    <w:p>
      <w:pPr>
        <w:spacing w:after="120"/>
      </w:pPr>
      <w:r>
        <w:rPr>
          <w:rFonts w:ascii="Arial" w:cs="Arial" w:eastAsia="Arial" w:hAnsi="Arial"/>
          <w:sz w:val="22"/>
          <w:szCs w:val="22"/>
        </w:rPr>
        <w:t xml:space="preserve">One row per student per assessment — 45 records in total across three students and five courses. This table is the aggregation target for all cross-source analysis: daily data from other tables is first aggregated up to the timescale of this one before comparisons can be made. Everything flows into a comparison against these grades.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PostgreSQL type</w:t>
            </w:r>
          </w:p>
        </w:tc>
        <w:tc>
          <w:tcPr>
            <w:tcW w:type="dxa" w:w="19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2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record_id</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SERIAL</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PRIMARY KEY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Auto-incrementing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student_id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FK → students CASCADE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Links to the students table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course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VARCHAR(100)</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Course name (5 courses 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assessment_type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VARCHAR(20)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(Exam/Final)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Type of assessment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assessment_date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Date of the assessment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grade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NUMERIC(3,1)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(0–10)</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Grade on a 1–10 scale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study_hours_prior_week</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NUMERIC(4,1)</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CHECK (&gt;= 0)</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Self-reported study hours in the prior week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submission_on_time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BOOLEAN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NULL</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Whether submission was on time</w:t>
            </w:r>
          </w:p>
        </w:tc>
      </w:tr>
    </w:tbl>
    <w:p>
      <w:pPr>
        <w:spacing w:after="60"/>
      </w:pPr>
    </w:p>
    <w:p>
      <w:pPr>
        <w:spacing w:after="120"/>
      </w:pPr>
      <w:r>
        <w:rPr>
          <w:rFonts w:ascii="Arial" w:cs="Arial" w:eastAsia="Arial" w:hAnsi="Arial"/>
          <w:b/>
          <w:bCs/>
          <w:sz w:val="22"/>
          <w:szCs w:val="22"/>
        </w:rPr>
        <w:t xml:space="preserve">Unique constraint: </w:t>
      </w:r>
      <w:r>
        <w:rPr>
          <w:rFonts w:ascii="Arial" w:cs="Arial" w:eastAsia="Arial" w:hAnsi="Arial"/>
          <w:sz w:val="22"/>
          <w:szCs w:val="22"/>
        </w:rPr>
        <w:t xml:space="preserve">(student_id, course, assessment_type, assessment_date)</w:t>
      </w:r>
    </w:p>
    <w:p>
      <w:pPr>
        <w:spacing w:after="100"/>
      </w:pPr>
    </w:p>
    <w:p>
      <w:pPr>
        <w:spacing w:after="120"/>
        <w:jc w:val="center"/>
      </w:pPr>
      <w:r>
        <w:rPr>
          <w:rFonts w:ascii="Arial" w:cs="Arial" w:eastAsia="Arial" w:hAnsi="Arial"/>
          <w:i/>
          <w:iCs/>
          <w:color w:val="888888"/>
          <w:sz w:val="18"/>
          <w:szCs w:val="18"/>
        </w:rPr>
        <w:t xml:space="preserve">Table 3.6 — academic_performance table.</w:t>
      </w:r>
    </w:p>
    <w:p>
      <w:pPr>
        <w:spacing w:after="160"/>
      </w:pPr>
    </w:p>
    <w:p>
      <w:pPr>
        <w:pStyle w:val="Heading2"/>
        <w:spacing w:after="140" w:before="280"/>
      </w:pPr>
      <w:r>
        <w:rPr>
          <w:rFonts w:ascii="Arial" w:cs="Arial" w:eastAsia="Arial" w:hAnsi="Arial"/>
          <w:b/>
          <w:bCs/>
          <w:color w:val="0D7377"/>
          <w:sz w:val="26"/>
          <w:szCs w:val="26"/>
        </w:rPr>
        <w:t xml:space="preserve">3.2.7  Foreign Key Relationships</w:t>
      </w:r>
    </w:p>
    <w:p>
      <w:pPr>
        <w:spacing w:after="120"/>
      </w:pPr>
      <w:r>
        <w:rPr>
          <w:rFonts w:ascii="Arial" w:cs="Arial" w:eastAsia="Arial" w:hAnsi="Arial"/>
          <w:sz w:val="22"/>
          <w:szCs w:val="22"/>
        </w:rPr>
        <w:t xml:space="preserve">All five data tables link back to the students table via student_id — that is the backbone of the schema. The daily tables join each other by date. Academic performance sits at a lower resolution and is reached through date-range aggregations.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2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Joins to</w:t>
            </w:r>
          </w:p>
        </w:tc>
        <w:tc>
          <w:tcPr>
            <w:tcW w:type="dxa" w:w="38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Join key(s)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whoop_cycles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students</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student_id (FK)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whoop_sleep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whoop_cycles</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student_id, sleep_date = cycle_date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whoop_workouts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whoop_cycles</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student_id, workout_date = cycle_date (LEFT JOIN — sparse)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nutrition_logs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whoop_cycles</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student_id, log_date = cycle_date (LEFT JOIN — missing days)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academic_performance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tables</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student_id + date-range aggregation (7-day window before assessment_date)</w:t>
            </w:r>
          </w:p>
        </w:tc>
      </w:tr>
    </w:tbl>
    <w:p>
      <w:pPr>
        <w:spacing w:after="100"/>
      </w:pPr>
    </w:p>
    <w:p>
      <w:pPr>
        <w:spacing w:after="120"/>
        <w:jc w:val="center"/>
      </w:pPr>
      <w:r>
        <w:rPr>
          <w:rFonts w:ascii="Arial" w:cs="Arial" w:eastAsia="Arial" w:hAnsi="Arial"/>
          <w:i/>
          <w:iCs/>
          <w:color w:val="888888"/>
          <w:sz w:val="18"/>
          <w:szCs w:val="18"/>
        </w:rPr>
        <w:t xml:space="preserve">Table 3.7 — Foreign key relationships.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3.3  ETL Pipeline Design</w:t>
      </w:r>
    </w:p>
    <w:p>
      <w:pPr>
        <w:spacing w:after="120"/>
      </w:pPr>
      <w:r>
        <w:rPr>
          <w:rFonts w:ascii="Arial" w:cs="Arial" w:eastAsia="Arial" w:hAnsi="Arial"/>
          <w:sz w:val="22"/>
          <w:szCs w:val="22"/>
        </w:rPr>
        <w:t xml:space="preserve">ETL — Extract, Transform, Load — is the process of moving raw data from where it lives into the database in a form the database can use. The pipeline is implemented in load_data.py as five sequential loader functions, one per table, run in dependency order. The full implementation is documented in Section 4; this section covers the design rationale.</w:t>
      </w:r>
    </w:p>
    <w:p>
      <w:pPr>
        <w:spacing w:after="80"/>
      </w:pPr>
    </w:p>
    <w:p>
      <w:pPr>
        <w:pStyle w:val="Heading2"/>
        <w:spacing w:after="140" w:before="280"/>
      </w:pPr>
      <w:r>
        <w:rPr>
          <w:rFonts w:ascii="Arial" w:cs="Arial" w:eastAsia="Arial" w:hAnsi="Arial"/>
          <w:b/>
          <w:bCs/>
          <w:color w:val="0D7377"/>
          <w:sz w:val="26"/>
          <w:szCs w:val="26"/>
        </w:rPr>
        <w:t xml:space="preserve">3.3.1  Extract Phase</w:t>
      </w:r>
    </w:p>
    <w:p>
      <w:pPr>
        <w:spacing w:after="120"/>
      </w:pPr>
      <w:r>
        <w:rPr>
          <w:rFonts w:ascii="Arial" w:cs="Arial" w:eastAsia="Arial" w:hAnsi="Arial"/>
          <w:sz w:val="22"/>
          <w:szCs w:val="22"/>
        </w:rPr>
        <w:t xml:space="preserve">CSV files are discovered at runtime using glob.glob() with recursive=True, so the script works regardless of subfolder structure. All fields are read as Python strings (dtype=str), which prevents pandas from silently misinterpreting a malformed value and delegates all type validation to the transform stage.</w:t>
      </w:r>
    </w:p>
    <w:p>
      <w:pPr>
        <w:pStyle w:val="ListParagraph"/>
        <w:numPr>
          <w:ilvl w:val="0"/>
          <w:numId w:val="2"/>
        </w:numPr>
        <w:spacing w:after="80"/>
      </w:pPr>
      <w:r>
        <w:rPr>
          <w:rFonts w:ascii="Arial" w:cs="Arial" w:eastAsia="Arial" w:hAnsi="Arial"/>
          <w:b/>
          <w:bCs/>
          <w:sz w:val="22"/>
          <w:szCs w:val="22"/>
        </w:rPr>
        <w:t xml:space="preserve">Input: </w:t>
      </w:r>
      <w:r>
        <w:rPr>
          <w:rFonts w:ascii="Arial" w:cs="Arial" w:eastAsia="Arial" w:hAnsi="Arial"/>
          <w:sz w:val="22"/>
          <w:szCs w:val="22"/>
        </w:rPr>
        <w:t xml:space="preserve">11 CSV files across 3 students and 5 source types, totalling 1,371 rows.</w:t>
      </w:r>
    </w:p>
    <w:p>
      <w:pPr>
        <w:pStyle w:val="ListParagraph"/>
        <w:numPr>
          <w:ilvl w:val="0"/>
          <w:numId w:val="2"/>
        </w:numPr>
        <w:spacing w:after="80"/>
      </w:pPr>
      <w:r>
        <w:rPr>
          <w:rFonts w:ascii="Arial" w:cs="Arial" w:eastAsia="Arial" w:hAnsi="Arial"/>
          <w:b/>
          <w:bCs/>
          <w:sz w:val="22"/>
          <w:szCs w:val="22"/>
        </w:rPr>
        <w:t xml:space="preserve">Validation: </w:t>
      </w:r>
      <w:r>
        <w:rPr>
          <w:rFonts w:ascii="Arial" w:cs="Arial" w:eastAsia="Arial" w:hAnsi="Arial"/>
          <w:sz w:val="22"/>
          <w:szCs w:val="22"/>
        </w:rPr>
        <w:t xml:space="preserve">after each file is read, the row count is logged and compared against the known expected counts.</w:t>
      </w:r>
    </w:p>
    <w:p>
      <w:pPr>
        <w:spacing w:after="160"/>
      </w:pPr>
    </w:p>
    <w:p>
      <w:pPr>
        <w:pStyle w:val="Heading2"/>
        <w:spacing w:after="140" w:before="280"/>
      </w:pPr>
      <w:r>
        <w:rPr>
          <w:rFonts w:ascii="Arial" w:cs="Arial" w:eastAsia="Arial" w:hAnsi="Arial"/>
          <w:b/>
          <w:bCs/>
          <w:color w:val="0D7377"/>
          <w:sz w:val="26"/>
          <w:szCs w:val="26"/>
        </w:rPr>
        <w:t xml:space="preserve">3.3.2  Transform Phase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Transform operation</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Applies to</w:t>
            </w:r>
          </w:p>
        </w:tc>
        <w:tc>
          <w:tcPr>
            <w:tcW w:type="dxa" w:w="40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Parse timestamps to DATE / TIMESTAMP</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tables</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CSV exports use mixed formats; PostgreSQL requires ISO 8601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Derive cycle_date / sleep_date / workout_date from timestamp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 tables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Schema uses DATE as the join key; raw data uses full timestamp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Inject student_id from filename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nutrition_logs only</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MyFitnessPal CSV files have no student_id column — it is parsed from the filename (e.g. myfitnesspal_S002_nutrition.csv → S002)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Convert submission_on_time (Yes/No → BOOLEAN)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academic_performance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PostgreSQL BOOLEAN requires true/false, not string values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Set distance_km = NULL for non-cardio sports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whoop_workouts</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Empty strings in CSV must become SQL NULL, not empty strings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ON CONFLICT DO NOTHING on all inserts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tables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Makes the pipeline idempotent: re-running on an already-loaded database produces no duplicates</w:t>
            </w:r>
          </w:p>
        </w:tc>
      </w:tr>
    </w:tbl>
    <w:p>
      <w:pPr>
        <w:spacing w:after="100"/>
      </w:pPr>
    </w:p>
    <w:p>
      <w:pPr>
        <w:spacing w:after="120"/>
        <w:jc w:val="center"/>
      </w:pPr>
      <w:r>
        <w:rPr>
          <w:rFonts w:ascii="Arial" w:cs="Arial" w:eastAsia="Arial" w:hAnsi="Arial"/>
          <w:i/>
          <w:iCs/>
          <w:color w:val="888888"/>
          <w:sz w:val="18"/>
          <w:szCs w:val="18"/>
        </w:rPr>
        <w:t xml:space="preserve">Table 3.8 — Transform operations and their rationale.</w:t>
      </w:r>
    </w:p>
    <w:p>
      <w:pPr>
        <w:spacing w:after="160"/>
      </w:pPr>
    </w:p>
    <w:p>
      <w:pPr>
        <w:pStyle w:val="Heading2"/>
        <w:spacing w:after="140" w:before="280"/>
      </w:pPr>
      <w:r>
        <w:rPr>
          <w:rFonts w:ascii="Arial" w:cs="Arial" w:eastAsia="Arial" w:hAnsi="Arial"/>
          <w:b/>
          <w:bCs/>
          <w:color w:val="0D7377"/>
          <w:sz w:val="26"/>
          <w:szCs w:val="26"/>
        </w:rPr>
        <w:t xml:space="preserve">3.3.3  Load Phase</w:t>
      </w:r>
    </w:p>
    <w:p>
      <w:pPr>
        <w:spacing w:after="120"/>
      </w:pPr>
      <w:r>
        <w:rPr>
          <w:rFonts w:ascii="Arial" w:cs="Arial" w:eastAsia="Arial" w:hAnsi="Arial"/>
          <w:sz w:val="22"/>
          <w:szCs w:val="22"/>
        </w:rPr>
        <w:t xml:space="preserve">Rows are inserted using psycopg2's execute_values(), which batches all rows for a table into a single parameterised INSERT statement — one database round-trip per table instead of one per row. Each loader wraps its inserts in a single transaction: if any row violates a constraint, the entire table's load rolls back cleanly. After each load, a SELECT COUNT(*) confirms that the row count in the database matches the CSV.</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3.4  Distributed Architecture</w:t>
      </w:r>
    </w:p>
    <w:p>
      <w:pPr>
        <w:spacing w:after="120"/>
      </w:pPr>
      <w:r>
        <w:rPr>
          <w:rFonts w:ascii="Arial" w:cs="Arial" w:eastAsia="Arial" w:hAnsi="Arial"/>
          <w:sz w:val="22"/>
          <w:szCs w:val="22"/>
        </w:rPr>
        <w:t xml:space="preserve">For the current project scope — three students, 1,400 rows, sub-millisecond queries — a single PostgreSQL node is sufficient. However, the architecture is designed to scale and to demonstrate the key distributed concepts relevant to a personal data ecosystem that could serve a larger student cohort.</w:t>
      </w:r>
    </w:p>
    <w:p>
      <w:pPr>
        <w:spacing w:after="80"/>
      </w:pPr>
    </w:p>
    <w:p>
      <w:pPr>
        <w:pStyle w:val="Heading2"/>
        <w:spacing w:after="140" w:before="280"/>
      </w:pPr>
      <w:r>
        <w:rPr>
          <w:rFonts w:ascii="Arial" w:cs="Arial" w:eastAsia="Arial" w:hAnsi="Arial"/>
          <w:b/>
          <w:bCs/>
          <w:color w:val="0D7377"/>
          <w:sz w:val="26"/>
          <w:szCs w:val="26"/>
        </w:rPr>
        <w:t xml:space="preserve">3.4.1  Deployment Topology</w:t>
      </w:r>
    </w:p>
    <w:p>
      <w:pPr>
        <w:spacing w:after="120"/>
      </w:pPr>
      <w:r>
        <w:rPr>
          <w:rFonts w:ascii="Arial" w:cs="Arial" w:eastAsia="Arial" w:hAnsi="Arial"/>
          <w:sz w:val="22"/>
          <w:szCs w:val="22"/>
        </w:rPr>
        <w:t xml:space="preserve">The system follows a three-tier architecture with two PostgreSQL nodes: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1"/>
              <w:left w:val="single" w:color="0D7377" w:sz="1"/>
              <w:bottom w:val="single" w:color="0D7377" w:sz="1"/>
              <w:right w:val="single" w:color="0D7377" w:sz="1"/>
            </w:tcBorders>
            <w:shd w:fill="D9F0F0" w:val="clear"/>
            <w:tcMar>
              <w:top w:type="dxa" w:w="100"/>
              <w:left w:type="dxa" w:w="140"/>
              <w:bottom w:type="dxa" w:w="100"/>
              <w:right w:type="dxa" w:w="140"/>
            </w:tcMar>
          </w:tcPr>
          <w:p>
            <w:pPr>
              <w:spacing w:after="60"/>
              <w:jc w:val="center"/>
            </w:pPr>
            <w:r>
              <w:rPr>
                <w:rFonts w:ascii="Arial" w:cs="Arial" w:eastAsia="Arial" w:hAnsi="Arial"/>
                <w:b/>
                <w:bCs/>
                <w:color w:val="1B3A6B"/>
                <w:sz w:val="22"/>
                <w:szCs w:val="22"/>
              </w:rPr>
              <w:t xml:space="preserve">[ Data Sources ]</w:t>
            </w:r>
          </w:p>
          <w:p>
            <w:pPr>
              <w:spacing w:after="60"/>
              <w:jc w:val="center"/>
            </w:pPr>
            <w:r>
              <w:rPr>
                <w:rFonts w:ascii="Arial" w:cs="Arial" w:eastAsia="Arial" w:hAnsi="Arial"/>
                <w:color w:val="444444"/>
                <w:sz w:val="20"/>
                <w:szCs w:val="20"/>
              </w:rPr>
              <w:t xml:space="preserve">WHOOP CSV exports  |  MyFitnessPal CSV exports  |  Academic records CSV</w:t>
            </w:r>
          </w:p>
          <w:p>
            <w:pPr>
              <w:spacing w:after="60"/>
              <w:jc w:val="center"/>
            </w:pPr>
            <w:r>
              <w:rPr>
                <w:rFonts w:ascii="Arial" w:cs="Arial" w:eastAsia="Arial" w:hAnsi="Arial"/>
                <w:b/>
                <w:bCs/>
                <w:color w:val="0D7377"/>
                <w:sz w:val="20"/>
                <w:szCs w:val="20"/>
              </w:rPr>
              <w:t xml:space="preserve">↓  ETL Pipeline  (load_data.py — writes only)</w:t>
            </w:r>
          </w:p>
          <w:p>
            <w:pPr>
              <w:spacing w:after="60"/>
              <w:jc w:val="center"/>
            </w:pPr>
            <w:r>
              <w:rPr>
                <w:rFonts w:ascii="Arial" w:cs="Arial" w:eastAsia="Arial" w:hAnsi="Arial"/>
                <w:b/>
                <w:bCs/>
                <w:color w:val="1B3A6B"/>
                <w:sz w:val="22"/>
                <w:szCs w:val="22"/>
              </w:rPr>
              <w:t xml:space="preserve">[ PostgreSQL — Primary Node ]</w:t>
            </w:r>
          </w:p>
          <w:p>
            <w:pPr>
              <w:spacing w:after="60"/>
              <w:jc w:val="center"/>
            </w:pPr>
            <w:r>
              <w:rPr>
                <w:rFonts w:ascii="Arial" w:cs="Arial" w:eastAsia="Arial" w:hAnsi="Arial"/>
                <w:color w:val="444444"/>
                <w:sz w:val="20"/>
                <w:szCs w:val="20"/>
              </w:rPr>
              <w:t xml:space="preserve">All writes  |  ACID transactions  |  WAL generation</w:t>
            </w:r>
          </w:p>
          <w:p>
            <w:pPr>
              <w:spacing w:after="60"/>
              <w:jc w:val="center"/>
            </w:pPr>
            <w:r>
              <w:rPr>
                <w:rFonts w:ascii="Arial" w:cs="Arial" w:eastAsia="Arial" w:hAnsi="Arial"/>
                <w:b/>
                <w:bCs/>
                <w:color w:val="0D7377"/>
                <w:sz w:val="20"/>
                <w:szCs w:val="20"/>
              </w:rPr>
              <w:t xml:space="preserve">↓  Streaming replication (WAL)</w:t>
            </w:r>
            <w:r>
              <w:rPr>
                <w:rFonts w:ascii="Arial" w:cs="Arial" w:eastAsia="Arial" w:hAnsi="Arial"/>
                <w:color w:val="888888"/>
                <w:sz w:val="20"/>
                <w:szCs w:val="20"/>
              </w:rPr>
              <w:t xml:space="preserve">          ↓  Failover (pg_promote)</w:t>
            </w:r>
          </w:p>
          <w:p>
            <w:pPr>
              <w:spacing w:after="60"/>
              <w:jc w:val="center"/>
            </w:pPr>
            <w:r>
              <w:rPr>
                <w:rFonts w:ascii="Arial" w:cs="Arial" w:eastAsia="Arial" w:hAnsi="Arial"/>
                <w:b/>
                <w:bCs/>
                <w:color w:val="1B3A6B"/>
                <w:sz w:val="22"/>
                <w:szCs w:val="22"/>
              </w:rPr>
              <w:t xml:space="preserve">[ PostgreSQL — Standby Replica ]</w:t>
            </w:r>
          </w:p>
          <w:p>
            <w:pPr>
              <w:spacing w:after="60"/>
              <w:jc w:val="center"/>
            </w:pPr>
            <w:r>
              <w:rPr>
                <w:rFonts w:ascii="Arial" w:cs="Arial" w:eastAsia="Arial" w:hAnsi="Arial"/>
                <w:color w:val="444444"/>
                <w:sz w:val="20"/>
                <w:szCs w:val="20"/>
              </w:rPr>
              <w:t xml:space="preserve">Read-only  |  Lag &lt; 1 second  |  Promotes to primary on failover</w:t>
            </w:r>
          </w:p>
          <w:p>
            <w:pPr>
              <w:spacing w:after="60"/>
              <w:jc w:val="center"/>
            </w:pPr>
            <w:r>
              <w:rPr>
                <w:rFonts w:ascii="Arial" w:cs="Arial" w:eastAsia="Arial" w:hAnsi="Arial"/>
                <w:b/>
                <w:bCs/>
                <w:color w:val="0D7377"/>
                <w:sz w:val="20"/>
                <w:szCs w:val="20"/>
              </w:rPr>
              <w:t xml:space="preserve">↓  Analytical queries  (queries.py — reads only)</w:t>
            </w:r>
          </w:p>
          <w:p>
            <w:pPr>
              <w:spacing w:after="0"/>
              <w:jc w:val="center"/>
            </w:pPr>
            <w:r>
              <w:rPr>
                <w:rFonts w:ascii="Arial" w:cs="Arial" w:eastAsia="Arial" w:hAnsi="Arial"/>
                <w:b/>
                <w:bCs/>
                <w:color w:val="1B3A6B"/>
                <w:sz w:val="22"/>
                <w:szCs w:val="22"/>
              </w:rPr>
              <w:t xml:space="preserve">[ Analytics Layer ]</w:t>
            </w:r>
          </w:p>
          <w:p>
            <w:pPr>
              <w:spacing w:after="0"/>
              <w:jc w:val="center"/>
            </w:pPr>
            <w:r>
              <w:rPr>
                <w:rFonts w:ascii="Arial" w:cs="Arial" w:eastAsia="Arial" w:hAnsi="Arial"/>
                <w:color w:val="444444"/>
                <w:sz w:val="20"/>
                <w:szCs w:val="20"/>
              </w:rPr>
              <w:t xml:space="preserve">queries.py  |  Research dashboards  |  Exports</w:t>
            </w:r>
          </w:p>
        </w:tc>
      </w:tr>
    </w:tbl>
    <w:p>
      <w:pPr>
        <w:spacing w:after="100"/>
      </w:pPr>
    </w:p>
    <w:p>
      <w:pPr>
        <w:spacing w:after="120"/>
        <w:jc w:val="center"/>
      </w:pPr>
      <w:r>
        <w:rPr>
          <w:rFonts w:ascii="Arial" w:cs="Arial" w:eastAsia="Arial" w:hAnsi="Arial"/>
          <w:i/>
          <w:iCs/>
          <w:color w:val="888888"/>
          <w:sz w:val="18"/>
          <w:szCs w:val="18"/>
        </w:rPr>
        <w:t xml:space="preserve">Figure 3.1 — Deployment topology. Writes go to the primary; reads can be served by the replica.</w:t>
      </w:r>
    </w:p>
    <w:p>
      <w:pPr>
        <w:spacing w:after="160"/>
      </w:pPr>
    </w:p>
    <w:p>
      <w:pPr>
        <w:pStyle w:val="Heading2"/>
        <w:spacing w:after="140" w:before="280"/>
      </w:pPr>
      <w:r>
        <w:rPr>
          <w:rFonts w:ascii="Arial" w:cs="Arial" w:eastAsia="Arial" w:hAnsi="Arial"/>
          <w:b/>
          <w:bCs/>
          <w:color w:val="0D7377"/>
          <w:sz w:val="26"/>
          <w:szCs w:val="26"/>
        </w:rPr>
        <w:t xml:space="preserve">3.4.2  Replication Strategy</w:t>
      </w:r>
    </w:p>
    <w:p>
      <w:pPr>
        <w:spacing w:after="120"/>
      </w:pPr>
      <w:r>
        <w:rPr>
          <w:rFonts w:ascii="Arial" w:cs="Arial" w:eastAsia="Arial" w:hAnsi="Arial"/>
          <w:sz w:val="22"/>
          <w:szCs w:val="22"/>
        </w:rPr>
        <w:t xml:space="preserve">PostgreSQL's built-in streaming replication synchronises the primary and standby nodes. Every change written to the primary is first recorded in the Write-Ahead Log (WAL). That log is continuously streamed to the replica, which replays the changes in order. Under normal conditions the replica is never more than one or two seconds behind.</w:t>
      </w:r>
    </w:p>
    <w:p>
      <w:pPr>
        <w:pStyle w:val="ListParagraph"/>
        <w:numPr>
          <w:ilvl w:val="0"/>
          <w:numId w:val="2"/>
        </w:numPr>
        <w:spacing w:after="80"/>
      </w:pPr>
      <w:r>
        <w:rPr>
          <w:rFonts w:ascii="Arial" w:cs="Arial" w:eastAsia="Arial" w:hAnsi="Arial"/>
          <w:b/>
          <w:bCs/>
          <w:sz w:val="22"/>
          <w:szCs w:val="22"/>
        </w:rPr>
        <w:t xml:space="preserve">Synchronous commit: </w:t>
      </w:r>
      <w:r>
        <w:rPr>
          <w:rFonts w:ascii="Arial" w:cs="Arial" w:eastAsia="Arial" w:hAnsi="Arial"/>
          <w:sz w:val="22"/>
          <w:szCs w:val="22"/>
        </w:rPr>
        <w:t xml:space="preserve">turned off, meaning the primary does not wait for the replica to confirm each write before reporting success. For an analytical research database where the original CSV files are always available as a recovery source, this trade-off is acceptable.</w:t>
      </w:r>
    </w:p>
    <w:p>
      <w:pPr>
        <w:pStyle w:val="ListParagraph"/>
        <w:numPr>
          <w:ilvl w:val="0"/>
          <w:numId w:val="2"/>
        </w:numPr>
        <w:spacing w:after="80"/>
      </w:pPr>
      <w:r>
        <w:rPr>
          <w:rFonts w:ascii="Arial" w:cs="Arial" w:eastAsia="Arial" w:hAnsi="Arial"/>
          <w:b/>
          <w:bCs/>
          <w:sz w:val="22"/>
          <w:szCs w:val="22"/>
        </w:rPr>
        <w:t xml:space="preserve">Replication channel: </w:t>
      </w:r>
      <w:r>
        <w:rPr>
          <w:rFonts w:ascii="Arial" w:cs="Arial" w:eastAsia="Arial" w:hAnsi="Arial"/>
          <w:sz w:val="22"/>
          <w:szCs w:val="22"/>
        </w:rPr>
        <w:t xml:space="preserve">encrypted using SSL/TLS (configured via pg_hba.conf hostssl entries).</w:t>
      </w:r>
    </w:p>
    <w:p>
      <w:pPr>
        <w:spacing w:after="160"/>
      </w:pPr>
    </w:p>
    <w:p>
      <w:pPr>
        <w:pStyle w:val="Heading2"/>
        <w:spacing w:after="140" w:before="280"/>
      </w:pPr>
      <w:r>
        <w:rPr>
          <w:rFonts w:ascii="Arial" w:cs="Arial" w:eastAsia="Arial" w:hAnsi="Arial"/>
          <w:b/>
          <w:bCs/>
          <w:color w:val="0D7377"/>
          <w:sz w:val="26"/>
          <w:szCs w:val="26"/>
        </w:rPr>
        <w:t xml:space="preserve">3.4.3  Consistency, Fault Tolerance, and Sharding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Property</w:t>
            </w:r>
          </w:p>
        </w:tc>
        <w:tc>
          <w:tcPr>
            <w:tcW w:type="dxa" w:w="32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Design decision</w:t>
            </w:r>
          </w:p>
        </w:tc>
        <w:tc>
          <w:tcPr>
            <w:tcW w:type="dxa" w:w="34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Consistency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Full ACID on primary (MVCC). Eventual consistency on replica (lag &lt; 1 s).</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ACID on primary guarantees partial ETL loads are never committed. Replica lag is acceptable for read-only analytics.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Fault tolerance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If the primary fails, the replica is promoted to primary using pg_promote(). ETL pipeline is re-directed to the new primary.</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Manual failover is proportionate at this scale. Automated tools (e.g. Patroni) would be appropriate for a production deployment.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CAP theorem position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CP — consistency over availability. On partition, primary stays authoritative; replica goes offline rather than serve outdated data.</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For a system handling personal health records and academic grades, serving wrong data is a worse outcome than temporary unavailability.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Sharding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Not implemented. All data resides on a single primary node.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Sharding is not warranted for 1,400 rows. It becomes relevant if the system were scaled to hundreds of students with real-time sensor streams.</w:t>
            </w:r>
          </w:p>
        </w:tc>
      </w:tr>
    </w:tbl>
    <w:p>
      <w:pPr>
        <w:spacing w:after="100"/>
      </w:pPr>
    </w:p>
    <w:p>
      <w:pPr>
        <w:spacing w:after="120"/>
        <w:jc w:val="center"/>
      </w:pPr>
      <w:r>
        <w:rPr>
          <w:rFonts w:ascii="Arial" w:cs="Arial" w:eastAsia="Arial" w:hAnsi="Arial"/>
          <w:i/>
          <w:iCs/>
          <w:color w:val="888888"/>
          <w:sz w:val="18"/>
          <w:szCs w:val="18"/>
        </w:rPr>
        <w:t xml:space="preserve">Table 3.9 — Distributed properties.</w:t>
      </w:r>
    </w:p>
    <w:p>
      <w:pPr>
        <w:spacing w:after="160"/>
      </w:pPr>
    </w:p>
    <w:p>
      <w:pPr>
        <w:pStyle w:val="Heading1"/>
        <w:pBdr>
          <w:bottom w:val="single" w:color="0D7377" w:sz="6" w:space="1"/>
        </w:pBdr>
        <w:spacing w:after="200" w:before="400"/>
      </w:pPr>
      <w:r>
        <w:rPr>
          <w:rFonts w:ascii="Arial" w:cs="Arial" w:eastAsia="Arial" w:hAnsi="Arial"/>
          <w:b/>
          <w:bCs/>
          <w:color w:val="1B3A6B"/>
          <w:sz w:val="32"/>
          <w:szCs w:val="32"/>
        </w:rPr>
        <w:t xml:space="preserve">3.5  Data Security Policy</w:t>
      </w:r>
    </w:p>
    <w:p>
      <w:pPr>
        <w:pStyle w:val="Heading2"/>
        <w:spacing w:after="140" w:before="280"/>
      </w:pPr>
      <w:r>
        <w:rPr>
          <w:rFonts w:ascii="Arial" w:cs="Arial" w:eastAsia="Arial" w:hAnsi="Arial"/>
          <w:b/>
          <w:bCs/>
          <w:color w:val="0D7377"/>
          <w:sz w:val="26"/>
          <w:szCs w:val="26"/>
        </w:rPr>
        <w:t xml:space="preserve">3.5.1  Scope and Regulatory Framework</w:t>
      </w:r>
    </w:p>
    <w:p>
      <w:pPr>
        <w:spacing w:after="120"/>
      </w:pPr>
      <w:r>
        <w:rPr>
          <w:rFonts w:ascii="Arial" w:cs="Arial" w:eastAsia="Arial" w:hAnsi="Arial"/>
          <w:sz w:val="22"/>
          <w:szCs w:val="22"/>
        </w:rPr>
        <w:t xml:space="preserve">This policy covers all personal data processed by the system, including physiological measurements from WHOOP devices, nutritional logs from MyFitnessPal, and academic performance records. All three categories qualify as personal data under the General Data Protection Regulation (EU) 2016/679 (GDPR). Physiological measurements may additionally qualify as health data under GDPR Article 9, subject to stricter processing conditions.</w:t>
      </w:r>
    </w:p>
    <w:p>
      <w:pPr>
        <w:spacing w:after="120"/>
      </w:pPr>
      <w:r>
        <w:rPr>
          <w:rFonts w:ascii="Arial" w:cs="Arial" w:eastAsia="Arial" w:hAnsi="Arial"/>
          <w:sz w:val="22"/>
          <w:szCs w:val="22"/>
        </w:rPr>
        <w:t xml:space="preserve">The legal basis for processing is the explicit consent of each student participant (GDPR Article 6(1)(a) and Article 9(2)(a)). The project is conducted for educational and applied research purposes in connection with the Comenius project, providing a legitimate research context under Article 89. Consent can be withdrawn at any time and triggers the deletion procedure in Section 3.5.5.</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GDPR Principle</w:t>
            </w:r>
          </w:p>
        </w:tc>
        <w:tc>
          <w:tcPr>
            <w:tcW w:type="dxa" w:w="64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Lawfulness &amp; consent</w:t>
            </w:r>
          </w:p>
        </w:tc>
        <w:tc>
          <w:tcPr>
            <w:tcW w:type="dxa" w:w="6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Written consent obtained from each student before collection, covering the specific sources, 89-day period, and research purpose.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Data minimisation</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Only fields necessary for the five defined analytical queries are collected. food_notes is retained for structural completeness but excluded from research exports.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Purpose limitation</w:t>
            </w:r>
          </w:p>
        </w:tc>
        <w:tc>
          <w:tcPr>
            <w:tcW w:type="dxa" w:w="6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Data is processed exclusively for Learning Analytics research within the Comenius project. Not shared with third parties or connected to any institutional grading system.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Integrity &amp; confidentiality</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Encryption at rest and in transit; role-based access control; audit logging — described in Sections 3.5.2–3.5.4.</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Storage limitation</w:t>
            </w:r>
          </w:p>
        </w:tc>
        <w:tc>
          <w:tcPr>
            <w:tcW w:type="dxa" w:w="6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Data retained for the project duration and deleted within 30 days of conclusion, unless a specific research extension is agreed with participants.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Right to erasure</w:t>
            </w:r>
          </w:p>
        </w:tc>
        <w:tc>
          <w:tcPr>
            <w:tcW w:type="dxa" w:w="6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ON DELETE CASCADE on students table removes all student data atomically across all six tables with a single DELETE statement.</w:t>
            </w:r>
          </w:p>
        </w:tc>
      </w:tr>
    </w:tbl>
    <w:p>
      <w:pPr>
        <w:spacing w:after="100"/>
      </w:pPr>
    </w:p>
    <w:p>
      <w:pPr>
        <w:spacing w:after="120"/>
        <w:jc w:val="center"/>
      </w:pPr>
      <w:r>
        <w:rPr>
          <w:rFonts w:ascii="Arial" w:cs="Arial" w:eastAsia="Arial" w:hAnsi="Arial"/>
          <w:i/>
          <w:iCs/>
          <w:color w:val="888888"/>
          <w:sz w:val="18"/>
          <w:szCs w:val="18"/>
        </w:rPr>
        <w:t xml:space="preserve">Table 3.10 — GDPR principle mapping.</w:t>
      </w:r>
    </w:p>
    <w:p>
      <w:pPr>
        <w:spacing w:after="160"/>
      </w:pPr>
    </w:p>
    <w:p>
      <w:pPr>
        <w:pStyle w:val="Heading2"/>
        <w:spacing w:after="140" w:before="280"/>
      </w:pPr>
      <w:r>
        <w:rPr>
          <w:rFonts w:ascii="Arial" w:cs="Arial" w:eastAsia="Arial" w:hAnsi="Arial"/>
          <w:b/>
          <w:bCs/>
          <w:color w:val="0D7377"/>
          <w:sz w:val="26"/>
          <w:szCs w:val="26"/>
        </w:rPr>
        <w:t xml:space="preserve">3.5.2  Encryption</w:t>
      </w:r>
    </w:p>
    <w:p>
      <w:pPr>
        <w:pStyle w:val="Heading3"/>
        <w:spacing w:after="100" w:before="200"/>
      </w:pPr>
      <w:r>
        <w:rPr>
          <w:rFonts w:ascii="Arial" w:cs="Arial" w:eastAsia="Arial" w:hAnsi="Arial"/>
          <w:b/>
          <w:bCs/>
          <w:color w:val="1B3A6B"/>
          <w:sz w:val="24"/>
          <w:szCs w:val="24"/>
        </w:rPr>
        <w:t xml:space="preserve">Encryption at Rest</w:t>
      </w:r>
    </w:p>
    <w:p>
      <w:pPr>
        <w:spacing w:after="120"/>
      </w:pPr>
      <w:r>
        <w:rPr>
          <w:rFonts w:ascii="Arial" w:cs="Arial" w:eastAsia="Arial" w:hAnsi="Arial"/>
          <w:sz w:val="22"/>
          <w:szCs w:val="22"/>
        </w:rPr>
        <w:t xml:space="preserve">The PostgreSQL data directory is stored on a volume encrypted using AES-256 via the host operating system's disk encryption layer (FileVault on macOS, BitLocker on Windows, LUKS on Linux). This protects data in the event of physical access to the storage medium. The pgcrypto extension can additionally encrypt individual sensitive columns at the application layer if the threat model requires it. Database backups are encrypted with the same AES-256 key before being written to backup storage, with keys stored in a separate secrets management system.</w:t>
      </w:r>
    </w:p>
    <w:p>
      <w:pPr>
        <w:pStyle w:val="Heading3"/>
        <w:spacing w:after="100" w:before="200"/>
      </w:pPr>
      <w:r>
        <w:rPr>
          <w:rFonts w:ascii="Arial" w:cs="Arial" w:eastAsia="Arial" w:hAnsi="Arial"/>
          <w:b/>
          <w:bCs/>
          <w:color w:val="1B3A6B"/>
          <w:sz w:val="24"/>
          <w:szCs w:val="24"/>
        </w:rPr>
        <w:t xml:space="preserve">Encryption in Transit</w:t>
      </w:r>
    </w:p>
    <w:p>
      <w:pPr>
        <w:spacing w:after="120"/>
      </w:pPr>
      <w:r>
        <w:rPr>
          <w:rFonts w:ascii="Arial" w:cs="Arial" w:eastAsia="Arial" w:hAnsi="Arial"/>
          <w:sz w:val="22"/>
          <w:szCs w:val="22"/>
        </w:rPr>
        <w:t xml:space="preserve">All client connections to PostgreSQL use TLS 1.2 or higher (sslmode=require in psycopg2). The server certificate is validated against a trusted CA. The streaming replication channel between primary and standby also uses TLS, configured via pg_hba.conf hostssl entries. Unencrypted connections (host entries) are rejected.</w:t>
      </w:r>
    </w:p>
    <w:p>
      <w:pPr>
        <w:spacing w:after="160"/>
      </w:pPr>
    </w:p>
    <w:p>
      <w:pPr>
        <w:pStyle w:val="Heading2"/>
        <w:spacing w:after="140" w:before="280"/>
      </w:pPr>
      <w:r>
        <w:rPr>
          <w:rFonts w:ascii="Arial" w:cs="Arial" w:eastAsia="Arial" w:hAnsi="Arial"/>
          <w:b/>
          <w:bCs/>
          <w:color w:val="0D7377"/>
          <w:sz w:val="26"/>
          <w:szCs w:val="26"/>
        </w:rPr>
        <w:t xml:space="preserve">3.5.3  Role-Based Access Control</w:t>
      </w:r>
    </w:p>
    <w:p>
      <w:pPr>
        <w:spacing w:after="120"/>
      </w:pPr>
      <w:r>
        <w:rPr>
          <w:rFonts w:ascii="Arial" w:cs="Arial" w:eastAsia="Arial" w:hAnsi="Arial"/>
          <w:sz w:val="22"/>
          <w:szCs w:val="22"/>
        </w:rPr>
        <w:t xml:space="preserve">PostgreSQL's native role system implements the principle of least privilege. Row-Level Security (RLS) goes further: even if a role has SELECT on a table, a database-level policy ensures it can only read its own rows — the restriction does not rely on the application getting it right.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rPr>
          <w:tblHeader/>
        </w:trPr>
        <w:tc>
          <w:tcPr>
            <w:tcW w:type="dxa" w:w="1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Tables</w:t>
            </w:r>
          </w:p>
        </w:tc>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Permissions</w:t>
            </w:r>
          </w:p>
        </w:tc>
        <w:tc>
          <w:tcPr>
            <w:tcW w:type="dxa" w:w="32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Assigned to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student_s001/s002/s003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data tables (own rows only via RLS)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SELECT where student_id = own ID</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Individual students viewing their own data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analyst_role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tables (all rows)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SELECT only</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queries.py and research dashboards — no writes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etl_loader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data tables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INSERT, SELECT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load_data.py ETL script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db_admin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tables + system catalogs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ALL PRIVILEGES</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Named administrators only — schema migrations and maintenance</w:t>
            </w:r>
          </w:p>
        </w:tc>
      </w:tr>
    </w:tbl>
    <w:p>
      <w:pPr>
        <w:spacing w:after="100"/>
      </w:pPr>
    </w:p>
    <w:p>
      <w:pPr>
        <w:spacing w:after="120"/>
        <w:jc w:val="center"/>
      </w:pPr>
      <w:r>
        <w:rPr>
          <w:rFonts w:ascii="Arial" w:cs="Arial" w:eastAsia="Arial" w:hAnsi="Arial"/>
          <w:i/>
          <w:iCs/>
          <w:color w:val="888888"/>
          <w:sz w:val="18"/>
          <w:szCs w:val="18"/>
        </w:rPr>
        <w:t xml:space="preserve">Table 3.11 — PostgreSQL roles.</w:t>
      </w:r>
    </w:p>
    <w:p>
      <w:pPr>
        <w:spacing w:after="160"/>
      </w:pPr>
    </w:p>
    <w:p>
      <w:pPr>
        <w:pStyle w:val="Heading2"/>
        <w:spacing w:after="140" w:before="280"/>
      </w:pPr>
      <w:r>
        <w:rPr>
          <w:rFonts w:ascii="Arial" w:cs="Arial" w:eastAsia="Arial" w:hAnsi="Arial"/>
          <w:b/>
          <w:bCs/>
          <w:color w:val="0D7377"/>
          <w:sz w:val="26"/>
          <w:szCs w:val="26"/>
        </w:rPr>
        <w:t xml:space="preserve">3.5.4  Backup Strategy</w:t>
      </w:r>
    </w:p>
    <w:p>
      <w:pPr>
        <w:spacing w:after="120"/>
      </w:pPr>
      <w:r>
        <w:rPr>
          <w:rFonts w:ascii="Arial" w:cs="Arial" w:eastAsia="Arial" w:hAnsi="Arial"/>
          <w:sz w:val="22"/>
          <w:szCs w:val="22"/>
        </w:rPr>
        <w:t xml:space="preserve">Backups follow the 3-2-1 rule: three copies on two different media types, one off-site. pg_dump produces compressed logical backups that can restore the full database on any machine, independent of hardware or PostgreSQL version.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626"/>
      </w:tblGrid>
      <w:tr>
        <w:trPr>
          <w:tblHeader/>
        </w:trPr>
        <w:tc>
          <w:tcPr>
            <w:tcW w:type="dxa" w:w="2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Backup type</w:t>
            </w:r>
          </w:p>
        </w:tc>
        <w:tc>
          <w:tcPr>
            <w:tcW w:type="dxa" w:w="16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c>
          <w:tcPr>
            <w:tcW w:type="dxa" w:w="18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Retention</w:t>
            </w:r>
          </w:p>
        </w:tc>
        <w:tc>
          <w:tcPr>
            <w:tcW w:type="dxa" w:w="36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notes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Full logical backup</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Daily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30 days</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pg_dump (--format=custom, gzip + AES-256 encrypted). Run after ETL pipeline completes.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WAL archiving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7 days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Enables point-in-time recovery (PITR) between daily backups. Stored off-site.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Standby replica</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Live copy</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PostgreSQL streaming replication (Section 3.4.2). Promotable in &lt; 30 s.</w:t>
            </w:r>
          </w:p>
        </w:tc>
      </w:tr>
    </w:tbl>
    <w:p>
      <w:pPr>
        <w:spacing w:after="60"/>
      </w:pPr>
    </w:p>
    <w:p>
      <w:pPr>
        <w:spacing w:after="120"/>
      </w:pPr>
      <w:r>
        <w:rPr>
          <w:rFonts w:ascii="Arial" w:cs="Arial" w:eastAsia="Arial" w:hAnsi="Arial"/>
          <w:b/>
          <w:bCs/>
          <w:sz w:val="22"/>
          <w:szCs w:val="22"/>
        </w:rPr>
        <w:t xml:space="preserve">RPO: </w:t>
      </w:r>
      <w:r>
        <w:rPr>
          <w:rFonts w:ascii="Arial" w:cs="Arial" w:eastAsia="Arial" w:hAnsi="Arial"/>
          <w:sz w:val="22"/>
          <w:szCs w:val="22"/>
        </w:rPr>
        <w:t xml:space="preserve">&lt; 24 hours (weekly backup); practical RPO &lt; minutes with WAL archiving. </w:t>
      </w:r>
      <w:r>
        <w:rPr>
          <w:rFonts w:ascii="Arial" w:cs="Arial" w:eastAsia="Arial" w:hAnsi="Arial"/>
          <w:b/>
          <w:bCs/>
          <w:sz w:val="22"/>
          <w:szCs w:val="22"/>
        </w:rPr>
        <w:t xml:space="preserve">RTO: </w:t>
      </w:r>
      <w:r>
        <w:rPr>
          <w:rFonts w:ascii="Arial" w:cs="Arial" w:eastAsia="Arial" w:hAnsi="Arial"/>
          <w:sz w:val="22"/>
          <w:szCs w:val="22"/>
        </w:rPr>
        <w:t xml:space="preserve">&lt; 30 seconds via replica promotion; &lt; 5 minutes via full pg_dump restore at this dataset size.</w:t>
      </w:r>
    </w:p>
    <w:p>
      <w:pPr>
        <w:spacing w:after="100"/>
      </w:pPr>
    </w:p>
    <w:p>
      <w:pPr>
        <w:spacing w:after="120"/>
        <w:jc w:val="center"/>
      </w:pPr>
      <w:r>
        <w:rPr>
          <w:rFonts w:ascii="Arial" w:cs="Arial" w:eastAsia="Arial" w:hAnsi="Arial"/>
          <w:i/>
          <w:iCs/>
          <w:color w:val="888888"/>
          <w:sz w:val="18"/>
          <w:szCs w:val="18"/>
        </w:rPr>
        <w:t xml:space="preserve">Table 3.12 — Backup strategy.</w:t>
      </w:r>
    </w:p>
    <w:p>
      <w:pPr>
        <w:spacing w:after="160"/>
      </w:pPr>
    </w:p>
    <w:p>
      <w:pPr>
        <w:pStyle w:val="Heading2"/>
        <w:spacing w:after="140" w:before="280"/>
      </w:pPr>
      <w:r>
        <w:rPr>
          <w:rFonts w:ascii="Arial" w:cs="Arial" w:eastAsia="Arial" w:hAnsi="Arial"/>
          <w:b/>
          <w:bCs/>
          <w:color w:val="0D7377"/>
          <w:sz w:val="26"/>
          <w:szCs w:val="26"/>
        </w:rPr>
        <w:t xml:space="preserve">3.5.5  Logging, Monitoring, and Audit</w:t>
      </w:r>
    </w:p>
    <w:p>
      <w:pPr>
        <w:pStyle w:val="Heading3"/>
        <w:spacing w:after="100" w:before="200"/>
      </w:pPr>
      <w:r>
        <w:rPr>
          <w:rFonts w:ascii="Arial" w:cs="Arial" w:eastAsia="Arial" w:hAnsi="Arial"/>
          <w:b/>
          <w:bCs/>
          <w:color w:val="1B3A6B"/>
          <w:sz w:val="24"/>
          <w:szCs w:val="24"/>
        </w:rPr>
        <w:t xml:space="preserve">Application-Level Logging</w:t>
      </w:r>
    </w:p>
    <w:p>
      <w:pPr>
        <w:spacing w:after="120"/>
      </w:pPr>
      <w:r>
        <w:rPr>
          <w:rFonts w:ascii="Arial" w:cs="Arial" w:eastAsia="Arial" w:hAnsi="Arial"/>
          <w:sz w:val="22"/>
          <w:szCs w:val="22"/>
        </w:rPr>
        <w:t xml:space="preserve">load_data.py writes a structured log to load_log.txt on every run, recording the start time, rows read from each CSV, rows written to each table, and any warnings or errors. This log is retained alongside database backups as the primary audit trail for data ingestion.</w:t>
      </w:r>
    </w:p>
    <w:p>
      <w:pPr>
        <w:pStyle w:val="Heading3"/>
        <w:spacing w:after="100" w:before="200"/>
      </w:pPr>
      <w:r>
        <w:rPr>
          <w:rFonts w:ascii="Arial" w:cs="Arial" w:eastAsia="Arial" w:hAnsi="Arial"/>
          <w:b/>
          <w:bCs/>
          <w:color w:val="1B3A6B"/>
          <w:sz w:val="24"/>
          <w:szCs w:val="24"/>
        </w:rPr>
        <w:t xml:space="preserve">Database-Level Audit</w:t>
      </w:r>
    </w:p>
    <w:p>
      <w:pPr>
        <w:spacing w:after="120"/>
      </w:pPr>
      <w:r>
        <w:rPr>
          <w:rFonts w:ascii="Arial" w:cs="Arial" w:eastAsia="Arial" w:hAnsi="Arial"/>
          <w:sz w:val="22"/>
          <w:szCs w:val="22"/>
        </w:rPr>
        <w:t xml:space="preserve">The pgaudit extension logs all DDL operations (CREATE, DROP, ALTER) and all DML operations (INSERT, UPDATE, DELETE) by db_admin and etl_loader roles. The audit log is written to a separate file not accessible to analyst_role. PostgreSQL is configured with log_connections=on and log_disconnections=on. Failed authentication attempts are recorded at WARNING level; multiple consecutive failures from the same host are treated as a potential intrusion attempt.</w:t>
      </w:r>
    </w:p>
    <w:p>
      <w:pPr>
        <w:spacing w:after="160"/>
      </w:pPr>
    </w:p>
    <w:p>
      <w:pPr>
        <w:pStyle w:val="Heading2"/>
        <w:spacing w:after="140" w:before="280"/>
      </w:pPr>
      <w:r>
        <w:rPr>
          <w:rFonts w:ascii="Arial" w:cs="Arial" w:eastAsia="Arial" w:hAnsi="Arial"/>
          <w:b/>
          <w:bCs/>
          <w:color w:val="0D7377"/>
          <w:sz w:val="26"/>
          <w:szCs w:val="26"/>
        </w:rPr>
        <w:t xml:space="preserve">3.5.6  GDPR Compliance — Right to Erasure and Data Portability</w:t>
      </w:r>
    </w:p>
    <w:p>
      <w:pPr>
        <w:pStyle w:val="Heading3"/>
        <w:spacing w:after="100" w:before="200"/>
      </w:pPr>
      <w:r>
        <w:rPr>
          <w:rFonts w:ascii="Arial" w:cs="Arial" w:eastAsia="Arial" w:hAnsi="Arial"/>
          <w:b/>
          <w:bCs/>
          <w:color w:val="1B3A6B"/>
          <w:sz w:val="24"/>
          <w:szCs w:val="24"/>
        </w:rPr>
        <w:t xml:space="preserve">Right to Erasure (GDPR Article 17)</w:t>
      </w:r>
    </w:p>
    <w:p>
      <w:pPr>
        <w:spacing w:after="120"/>
      </w:pPr>
      <w:r>
        <w:rPr>
          <w:rFonts w:ascii="Arial" w:cs="Arial" w:eastAsia="Arial" w:hAnsi="Arial"/>
          <w:sz w:val="22"/>
          <w:szCs w:val="22"/>
        </w:rPr>
        <w:t xml:space="preserve">A student may request deletion of all their data at any time. A single SQL statement removes all rows atomically across all six tables:</w:t>
      </w:r>
    </w:p>
    <w:p>
      <w:pPr>
        <w:pBdr>
          <w:left w:val="single" w:color="0D7377" w:sz="12" w:space="4"/>
        </w:pBdr>
        <w:shd w:fill="F0F8F8" w:val="clear"/>
        <w:spacing w:after="0" w:before="0"/>
        <w:ind w:left="400"/>
      </w:pPr>
      <w:r>
        <w:rPr>
          <w:rFonts w:ascii="Courier New" w:cs="Courier New" w:eastAsia="Courier New" w:hAnsi="Courier New"/>
          <w:color w:val="0D7377"/>
          <w:sz w:val="19"/>
          <w:szCs w:val="19"/>
        </w:rPr>
        <w:t xml:space="preserve">DELETE FROM students WHERE student_id = 'S001';</w:t>
      </w:r>
    </w:p>
    <w:p>
      <w:pPr>
        <w:spacing w:after="80"/>
      </w:pPr>
    </w:p>
    <w:p>
      <w:pPr>
        <w:spacing w:after="120"/>
      </w:pPr>
      <w:r>
        <w:rPr>
          <w:rFonts w:ascii="Arial" w:cs="Arial" w:eastAsia="Arial" w:hAnsi="Arial"/>
          <w:sz w:val="22"/>
          <w:szCs w:val="22"/>
        </w:rPr>
        <w:t xml:space="preserve">The ON DELETE CASCADE foreign keys handle propagation automatically. After deletion, backup files containing that student's data are flagged for deletion at the next rotation cycle (within 30 days).</w:t>
      </w:r>
    </w:p>
    <w:p>
      <w:pPr>
        <w:pStyle w:val="Heading3"/>
        <w:spacing w:after="100" w:before="200"/>
      </w:pPr>
      <w:r>
        <w:rPr>
          <w:rFonts w:ascii="Arial" w:cs="Arial" w:eastAsia="Arial" w:hAnsi="Arial"/>
          <w:b/>
          <w:bCs/>
          <w:color w:val="1B3A6B"/>
          <w:sz w:val="24"/>
          <w:szCs w:val="24"/>
        </w:rPr>
        <w:t xml:space="preserve">Data Portability (GDPR Article 20)</w:t>
      </w:r>
    </w:p>
    <w:p>
      <w:pPr>
        <w:spacing w:after="120"/>
      </w:pPr>
      <w:r>
        <w:rPr>
          <w:rFonts w:ascii="Arial" w:cs="Arial" w:eastAsia="Arial" w:hAnsi="Arial"/>
          <w:sz w:val="22"/>
          <w:szCs w:val="22"/>
        </w:rPr>
        <w:t xml:space="preserve">A student may request a machine-readable export of all their personal data. The following command generates a CSV export per table:</w:t>
      </w:r>
    </w:p>
    <w:p>
      <w:pPr>
        <w:pBdr>
          <w:left w:val="single" w:color="0D7377" w:sz="12" w:space="4"/>
        </w:pBdr>
        <w:shd w:fill="F0F8F8" w:val="clear"/>
        <w:spacing w:after="0" w:before="0"/>
        <w:ind w:left="400"/>
      </w:pPr>
      <w:r>
        <w:rPr>
          <w:rFonts w:ascii="Courier New" w:cs="Courier New" w:eastAsia="Courier New" w:hAnsi="Courier New"/>
          <w:color w:val="0D7377"/>
          <w:sz w:val="19"/>
          <w:szCs w:val="19"/>
        </w:rPr>
        <w:t xml:space="preserve">\COPY (SELECT * FROM whoop_cycles WHERE student_id = 'S001') TO 'export_S001_cycles.csv' CSV HEADER;</w:t>
      </w:r>
    </w:p>
    <w:p>
      <w:pPr>
        <w:spacing w:after="80"/>
      </w:pPr>
    </w:p>
    <w:p>
      <w:pPr>
        <w:spacing w:after="120"/>
      </w:pPr>
      <w:r>
        <w:rPr>
          <w:rFonts w:ascii="Arial" w:cs="Arial" w:eastAsia="Arial" w:hAnsi="Arial"/>
          <w:sz w:val="22"/>
          <w:szCs w:val="22"/>
        </w:rPr>
        <w:t xml:space="preserve">This is repeated for each table. Exported files are returned to the student and deleted from the server within 24 hours of delivery.</w:t>
      </w:r>
    </w:p>
    <w:p>
      <w:pPr>
        <w:spacing w:after="160"/>
      </w:pPr>
    </w:p>
    <w:p>
      <w:pPr>
        <w:pStyle w:val="Heading2"/>
        <w:spacing w:after="140" w:before="280"/>
      </w:pPr>
      <w:r>
        <w:rPr>
          <w:rFonts w:ascii="Arial" w:cs="Arial" w:eastAsia="Arial" w:hAnsi="Arial"/>
          <w:b/>
          <w:bCs/>
          <w:color w:val="0D7377"/>
          <w:sz w:val="26"/>
          <w:szCs w:val="26"/>
        </w:rPr>
        <w:t xml:space="preserve">3.5.7  Alignment with ISO/IEC 27001:2022</w:t>
      </w:r>
    </w:p>
    <w:p>
      <w:pPr>
        <w:spacing w:after="120"/>
      </w:pPr>
      <w:r>
        <w:rPr>
          <w:rFonts w:ascii="Arial" w:cs="Arial" w:eastAsia="Arial" w:hAnsi="Arial"/>
          <w:sz w:val="22"/>
          <w:szCs w:val="22"/>
        </w:rPr>
        <w:t xml:space="preserve">The security decisions throughout Section 3.5 are grounded in the ISO/IEC 27001:2022 framework for information security management. Full certification is not the goal for a student project, but the framework provides a recognised structure for reasoning about what protections are needed and why.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ISO 27001:2022 Control Area</w:t>
            </w:r>
          </w:p>
        </w:tc>
        <w:tc>
          <w:tcPr>
            <w:tcW w:type="dxa" w:w="6026"/>
            <w:gridSpan w:val="1"/>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 in this project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A.5 — Information security policies</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This security policy document (Section 3.5) constitutes the project's information security policy.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A.8 — Asset management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The six database tables and eleven source CSV files are documented as data assets in Sections 1 and 3.2.</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A.9 — Access control</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Role-based access control with principle of least privilege (Section 3.5.3). Row-Level Security enforces per-student data isolation at the database level.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A.10 — Cryptography</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Encryption at rest (FileVault / BitLocker / LUKS, pgcrypto option) and in transit (TLS 1.2+) as described in Section 3.5.2.</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sz w:val="20"/>
                <w:szCs w:val="20"/>
              </w:rPr>
              <w:t xml:space="preserve">A.12 — Operations security</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Daily pg_dump backups, WAL archiving, and audit logging (Section 3.5.4).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sz w:val="20"/>
                <w:szCs w:val="20"/>
              </w:rPr>
              <w:t xml:space="preserve">A.18 — Compliance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sz w:val="20"/>
                <w:szCs w:val="20"/>
              </w:rPr>
              <w:t xml:space="preserve">GDPR compliance framework, data minimisation, right to erasure, and 30-day retention policy (Sections 3.5.1 and 3.5.6).</w:t>
            </w:r>
          </w:p>
        </w:tc>
      </w:tr>
    </w:tbl>
    <w:p>
      <w:pPr>
        <w:spacing w:after="100"/>
      </w:pPr>
    </w:p>
    <w:p>
      <w:pPr>
        <w:spacing w:after="120"/>
        <w:jc w:val="center"/>
      </w:pPr>
      <w:r>
        <w:rPr>
          <w:rFonts w:ascii="Arial" w:cs="Arial" w:eastAsia="Arial" w:hAnsi="Arial"/>
          <w:i/>
          <w:iCs/>
          <w:color w:val="888888"/>
          <w:sz w:val="18"/>
          <w:szCs w:val="18"/>
        </w:rPr>
        <w:t xml:space="preserve">Table 3.13 — ISO/IEC 27001:2022 control mapping.</w:t>
      </w:r>
    </w:p>
    <w:p>
      <w:pPr>
        <w:spacing w:after="160"/>
      </w:pPr>
    </w:p>
    <w:p>
      <w:pPr>
        <w:spacing w:after="120"/>
        <w:jc w:val="center"/>
      </w:pPr>
      <w:r>
        <w:rPr>
          <w:rFonts w:ascii="Arial" w:cs="Arial" w:eastAsia="Arial" w:hAnsi="Arial"/>
          <w:i/>
          <w:iCs/>
          <w:color w:val="888888"/>
          <w:sz w:val="22"/>
          <w:szCs w:val="22"/>
        </w:rPr>
        <w:t xml:space="preserve">End of Section 3 — System Design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100"/>
      <w:jc w:val="center"/>
    </w:pPr>
    <w:r>
      <w:rPr>
        <w:rFonts w:ascii="Arial" w:cs="Arial" w:eastAsia="Arial" w:hAnsi="Arial"/>
        <w:color w:val="888888"/>
        <w:sz w:val="18"/>
        <w:szCs w:val="18"/>
      </w:rPr>
      <w:t xml:space="preserve">Confidential — Personal Data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2026-06-23T08:56:05.213Z</dcterms:created>
  <dcterms:modified xsi:type="dcterms:W3CDTF">2026-06-23T08:56:05.213Z</dcterms:modified>
</cp:coreProperties>
</file>

<file path=docProps/custom.xml><?xml version="1.0" encoding="utf-8"?>
<Properties xmlns="http://schemas.openxmlformats.org/officeDocument/2006/custom-properties" xmlns:vt="http://schemas.openxmlformats.org/officeDocument/2006/docPropsVTypes"/>
</file>