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color w:val="888888"/>
          <w:sz w:val="22"/>
          <w:szCs w:val="22"/>
        </w:rPr>
        <w:t xml:space="preserve">Group Project: Introduction Data Engineering  —  Final Report</w:t>
      </w:r>
    </w:p>
    <w:p>
      <w:pPr>
        <w:spacing w:after="60" w:before="0"/>
        <w:jc w:val="center"/>
      </w:pPr>
      <w:r>
        <w:rPr>
          <w:rFonts w:ascii="Arial" w:cs="Arial" w:eastAsia="Arial" w:hAnsi="Arial"/>
          <w:b/>
          <w:bCs/>
          <w:color w:val="1B3A6B"/>
          <w:sz w:val="30"/>
          <w:szCs w:val="30"/>
        </w:rPr>
        <w:t xml:space="preserve">Research Findings &amp; Conclusions</w:t>
      </w:r>
    </w:p>
    <w:p>
      <w:pPr>
        <w:pBdr>
          <w:bottom w:val="single" w:color="0D7377" w:sz="6" w:space="1"/>
        </w:pBdr>
        <w:spacing w:after="80" w:before="0"/>
        <w:jc w:val="center"/>
      </w:pPr>
      <w:r>
        <w:rPr>
          <w:rFonts w:ascii="Arial" w:cs="Arial" w:eastAsia="Arial" w:hAnsi="Arial"/>
          <w:b/>
          <w:bCs/>
          <w:color w:val="0D7377"/>
          <w:sz w:val="22"/>
          <w:szCs w:val="22"/>
        </w:rPr>
        <w:t xml:space="preserve">Personal Data Ecosystem for Learning Analytics  |</w:t>
      </w:r>
    </w:p>
    <w:p>
      <w:pPr>
        <w:spacing w:after="60"/>
      </w:pPr>
    </w:p>
    <w:p>
      <w:pPr>
        <w:spacing w:after="20"/>
        <w:jc w:val="center"/>
      </w:pPr>
      <w:r>
        <w:rPr>
          <w:rFonts w:ascii="Arial" w:cs="Arial" w:eastAsia="Arial" w:hAnsi="Arial"/>
          <w:i/>
          <w:iCs/>
          <w:color w:val="555555"/>
          <w:sz w:val="20"/>
          <w:szCs w:val="20"/>
        </w:rPr>
        <w:t xml:space="preserve">Study period: 2 September – 29 November 2024  |  3 students  |  89 days  |  1,371 data points</w:t>
      </w:r>
    </w:p>
    <w:p>
      <w:pPr>
        <w:spacing w:after="280"/>
        <w:jc w:val="center"/>
      </w:pPr>
      <w:r>
        <w:rPr>
          <w:rFonts w:ascii="Arial" w:cs="Arial" w:eastAsia="Arial" w:hAnsi="Arial"/>
          <w:i/>
          <w:iCs/>
          <w:color w:val="555555"/>
          <w:sz w:val="20"/>
          <w:szCs w:val="20"/>
        </w:rPr>
        <w:t xml:space="preserve">Connected to the Comenius Applied Research Initiative on Personalised Education</w:t>
      </w:r>
    </w:p>
    <w:p>
      <w:pPr>
        <w:spacing w:after="80"/>
      </w:pPr>
    </w:p>
    <w:p>
      <w:pPr>
        <w:pStyle w:val="Heading1"/>
        <w:pBdr>
          <w:bottom w:val="single" w:color="0D7377" w:sz="6" w:space="1"/>
        </w:pBdr>
        <w:spacing w:after="200" w:before="400"/>
      </w:pPr>
      <w:r>
        <w:rPr>
          <w:rFonts w:ascii="Arial" w:cs="Arial" w:eastAsia="Arial" w:hAnsi="Arial"/>
          <w:b/>
          <w:bCs/>
          <w:color w:val="1B3A6B"/>
          <w:sz w:val="32"/>
          <w:szCs w:val="32"/>
        </w:rPr>
        <w:t xml:space="preserve">Main Research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1"/>
              <w:left w:val="single" w:color="1B3A6B" w:sz="1"/>
              <w:bottom w:val="single" w:color="1B3A6B" w:sz="1"/>
              <w:right w:val="single" w:color="1B3A6B" w:sz="1"/>
            </w:tcBorders>
            <w:shd w:fill="EAF0F8" w:val="clear"/>
            <w:tcMar>
              <w:top w:type="dxa" w:w="160"/>
              <w:left w:type="dxa" w:w="240"/>
              <w:bottom w:type="dxa" w:w="160"/>
              <w:right w:type="dxa" w:w="240"/>
            </w:tcMar>
          </w:tcPr>
          <w:p>
            <w:pPr>
              <w:spacing w:after="0"/>
              <w:jc w:val="center"/>
            </w:pPr>
            <w:r>
              <w:rPr>
                <w:rFonts w:ascii="Arial" w:cs="Arial" w:eastAsia="Arial" w:hAnsi="Arial"/>
                <w:b/>
                <w:bCs/>
                <w:color w:val="1B3A6B"/>
                <w:sz w:val="24"/>
                <w:szCs w:val="24"/>
              </w:rPr>
              <w:t xml:space="preserve">How do daily lifestyle habits — sleep duration, physical activity, and nutrition —</w:t>
            </w:r>
          </w:p>
          <w:p>
            <w:pPr>
              <w:spacing w:after="0"/>
              <w:jc w:val="center"/>
            </w:pPr>
            <w:r>
              <w:rPr>
                <w:rFonts w:ascii="Arial" w:cs="Arial" w:eastAsia="Arial" w:hAnsi="Arial"/>
                <w:b/>
                <w:bCs/>
                <w:color w:val="1B3A6B"/>
                <w:sz w:val="24"/>
                <w:szCs w:val="24"/>
              </w:rPr>
              <w:t xml:space="preserve">relate to student study time and academic performance?</w:t>
            </w:r>
          </w:p>
        </w:tc>
      </w:tr>
    </w:tbl>
    <w:p>
      <w:pPr>
        <w:spacing w:after="120"/>
      </w:pPr>
    </w:p>
    <w:p>
      <w:pPr>
        <w:spacing w:after="120"/>
      </w:pPr>
      <w:r>
        <w:rPr>
          <w:rFonts w:ascii="Arial" w:cs="Arial" w:eastAsia="Arial" w:hAnsi="Arial"/>
          <w:sz w:val="22"/>
          <w:szCs w:val="22"/>
        </w:rPr>
        <w:t xml:space="preserve">This question was investigated over 89 days with three students whose lifestyle profiles were deliberately contrasted — from disciplined (S001/Alex) to inconsistent (S003/Casey) — making correlations between habits and outcomes analytically visible. The data came from WHOOP wearable exports, MyFitnessPal nutritional logs, and institutional academic records, integrated through a PostgreSQL ETL pipeline and analysed with five targeted SQL queries.</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Student Profiles at a Glance</w:t>
      </w:r>
    </w:p>
    <w:p>
      <w:pPr>
        <w:spacing w:after="120"/>
      </w:pPr>
      <w:r>
        <w:rPr>
          <w:rFonts w:ascii="Arial" w:cs="Arial" w:eastAsia="Arial" w:hAnsi="Arial"/>
          <w:sz w:val="22"/>
          <w:szCs w:val="22"/>
        </w:rPr>
        <w:t xml:space="preserve">Before addressing each sub-question, it is useful to summarise what the dataset reveals about each student as a whole, since their lifestyle differences are the basis of every comparison.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22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S001 — Alex</w:t>
            </w:r>
          </w:p>
        </w:tc>
        <w:tc>
          <w:tcPr>
            <w:tcW w:type="dxa" w:w="22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S002 — Jordan</w:t>
            </w:r>
          </w:p>
        </w:tc>
        <w:tc>
          <w:tcPr>
            <w:tcW w:type="dxa" w:w="22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S003 — Casey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Avg daily active min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36.4 min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20.6 min</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8.2 min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Workout days (of 89)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50 (56%)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47 (53%)</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43 (48%)</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Avg sleep duration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7.85 h</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6.38 h</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5.42 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Avg WHOOP recovery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78.1%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53.8%</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32.0%</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Avg daily kcal</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2,212 kcal</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1,667 kcal</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1,753 kcal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Nutrition logged days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84 / 89 (94%)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65 / 89 (73%)</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38 / 89 (43%)</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Avg study hrs / exam week</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9.8 h</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7.1 h</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5.7 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Avg grade (1–10 scale)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8.36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6.39</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5.51</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Grade range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7.3 – 9.6</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5.3 – 7.6</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3.6 – 7.1</w:t>
            </w:r>
          </w:p>
        </w:tc>
      </w:tr>
    </w:tbl>
    <w:p>
      <w:pPr>
        <w:spacing w:after="100"/>
      </w:pPr>
    </w:p>
    <w:p>
      <w:pPr>
        <w:spacing w:after="120"/>
        <w:jc w:val="center"/>
      </w:pPr>
      <w:r>
        <w:rPr>
          <w:rFonts w:ascii="Arial" w:cs="Arial" w:eastAsia="Arial" w:hAnsi="Arial"/>
          <w:i/>
          <w:iCs/>
          <w:color w:val="888888"/>
          <w:sz w:val="18"/>
          <w:szCs w:val="18"/>
        </w:rPr>
        <w:t xml:space="preserve">Table 1 — Summary of student profiles across all data sources.</w:t>
      </w:r>
    </w:p>
    <w:p>
      <w:pPr>
        <w:spacing w:after="80"/>
      </w:pPr>
    </w:p>
    <w:p>
      <w:pPr>
        <w:spacing w:after="120"/>
      </w:pPr>
      <w:r>
        <w:rPr>
          <w:rFonts w:ascii="Arial" w:cs="Arial" w:eastAsia="Arial" w:hAnsi="Arial"/>
          <w:sz w:val="22"/>
          <w:szCs w:val="22"/>
        </w:rPr>
        <w:t xml:space="preserve">A clear gradient runs from S001 to S003 across every lifestyle dimension: Alex sleeps more, exercises more, eats more consistently, studies more, and achieves higher grades. Casey consistently occupies the opposite end of the spectrum. Jordan sits in the middle on all metrics. This consistent ordering across independent data sources — wearable, nutritional, and academic — is itself a meaningful finding, and it motivates each of the five sub-questions below.</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Sub-Question 1: Daily Active Minutes</w:t>
      </w:r>
    </w:p>
    <w:p>
      <w:pPr>
        <w:pBdr>
          <w:left w:val="single" w:color="0D7377" w:sz="10" w:space="4"/>
        </w:pBdr>
        <w:shd w:fill="D9F0F0" w:val="clear"/>
        <w:spacing w:after="120"/>
        <w:ind w:left="300"/>
      </w:pPr>
      <w:r>
        <w:rPr>
          <w:rFonts w:ascii="Arial" w:cs="Arial" w:eastAsia="Arial" w:hAnsi="Arial"/>
          <w:sz w:val="22"/>
          <w:szCs w:val="22"/>
        </w:rPr>
        <w:t xml:space="preserve">What is the average and range of daily active minutes across all students, and how does it vary between individuals?</w:t>
      </w:r>
    </w:p>
    <w:p>
      <w:pPr>
        <w:spacing w:after="80"/>
      </w:pPr>
    </w:p>
    <w:p>
      <w:pPr>
        <w:pStyle w:val="Heading2"/>
        <w:spacing w:after="140" w:before="280"/>
      </w:pPr>
      <w:r>
        <w:rPr>
          <w:rFonts w:ascii="Arial" w:cs="Arial" w:eastAsia="Arial" w:hAnsi="Arial"/>
          <w:b/>
          <w:bCs/>
          <w:color w:val="0D7377"/>
          <w:sz w:val="26"/>
          <w:szCs w:val="26"/>
        </w:rPr>
        <w:t xml:space="preserve">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600"/>
        <w:gridCol w:w="1613"/>
        <w:gridCol w:w="1813"/>
      </w:tblGrid>
      <w:tr>
        <w:trPr>
          <w:tblHeader/>
        </w:trPr>
        <w:tc>
          <w:tcPr>
            <w:tcW w:type="dxa" w:w="2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Student</w:t>
            </w:r>
          </w:p>
        </w:tc>
        <w:tc>
          <w:tcPr>
            <w:tcW w:type="dxa" w:w="1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daily min</w:t>
            </w:r>
          </w:p>
        </w:tc>
        <w:tc>
          <w:tcPr>
            <w:tcW w:type="dxa" w:w="14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Min (rest days)</w:t>
            </w:r>
          </w:p>
        </w:tc>
        <w:tc>
          <w:tcPr>
            <w:tcW w:type="dxa" w:w="1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Max (peak day)</w:t>
            </w:r>
          </w:p>
        </w:tc>
        <w:tc>
          <w:tcPr>
            <w:tcW w:type="dxa" w:w="1613"/>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Workout days</w:t>
            </w:r>
          </w:p>
        </w:tc>
        <w:tc>
          <w:tcPr>
            <w:tcW w:type="dxa" w:w="1813"/>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Total days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S001 — Alex</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36.4 min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98 min</w:t>
            </w:r>
          </w:p>
        </w:tc>
        <w:tc>
          <w:tcPr>
            <w:tcW w:type="dxa" w:w="1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50 (56%)</w:t>
            </w:r>
          </w:p>
        </w:tc>
        <w:tc>
          <w:tcPr>
            <w:tcW w:type="dxa" w:w="18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89</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S002 — Jordan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20.6 min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66 min</w:t>
            </w:r>
          </w:p>
        </w:tc>
        <w:tc>
          <w:tcPr>
            <w:tcW w:type="dxa" w:w="16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47 (53%)</w:t>
            </w:r>
          </w:p>
        </w:tc>
        <w:tc>
          <w:tcPr>
            <w:tcW w:type="dxa" w:w="1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89</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S003 — Casey</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8.2 min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39 min</w:t>
            </w:r>
          </w:p>
        </w:tc>
        <w:tc>
          <w:tcPr>
            <w:tcW w:type="dxa" w:w="1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43 (48%)</w:t>
            </w:r>
          </w:p>
        </w:tc>
        <w:tc>
          <w:tcPr>
            <w:tcW w:type="dxa" w:w="18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89</w:t>
            </w:r>
          </w:p>
        </w:tc>
      </w:tr>
    </w:tbl>
    <w:p>
      <w:pPr>
        <w:spacing w:after="100"/>
      </w:pPr>
    </w:p>
    <w:p>
      <w:pPr>
        <w:spacing w:after="120"/>
        <w:jc w:val="center"/>
      </w:pPr>
      <w:r>
        <w:rPr>
          <w:rFonts w:ascii="Arial" w:cs="Arial" w:eastAsia="Arial" w:hAnsi="Arial"/>
          <w:i/>
          <w:iCs/>
          <w:color w:val="888888"/>
          <w:sz w:val="18"/>
          <w:szCs w:val="18"/>
        </w:rPr>
        <w:t xml:space="preserve">Table 2 — Q1 results: daily active minutes per student (rest days contribute 0 minutes).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D9F0F0"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Finding 1.1 — Large inter-student variation in activity</w:t>
            </w:r>
          </w:p>
          <w:p>
            <w:pPr>
              <w:spacing w:after="0"/>
            </w:pPr>
            <w:r>
              <w:rPr>
                <w:rFonts w:ascii="Arial" w:cs="Arial" w:eastAsia="Arial" w:hAnsi="Arial"/>
                <w:sz w:val="21"/>
                <w:szCs w:val="21"/>
              </w:rPr>
              <w:t xml:space="preserve">Alex is more than 4x more active than Casey on average (36.4 vs 8.2 min/day) and nearly 2x more active than Jordan (20.6 min/day). This variation is consistent across both the average and the peak values, suggesting a structural lifestyle difference rather than occasional variation.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D9F0F0"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Finding 1.2 — All students have rest days (minimum = 0)</w:t>
            </w:r>
          </w:p>
          <w:p>
            <w:pPr>
              <w:spacing w:after="0"/>
            </w:pPr>
            <w:r>
              <w:rPr>
                <w:rFonts w:ascii="Arial" w:cs="Arial" w:eastAsia="Arial" w:hAnsi="Arial"/>
                <w:sz w:val="21"/>
                <w:szCs w:val="21"/>
              </w:rPr>
              <w:t xml:space="preserve">Every student has at least some days with zero recorded activity. The design choice to represent rest days with 0 rather than NULL (via COALESCE in Q1) is essential: using NULL would exclude rest days from the average and inflate apparent activity levels.</w:t>
            </w:r>
          </w:p>
        </w:tc>
      </w:tr>
    </w:tbl>
    <w:p>
      <w:pPr>
        <w:spacing w:after="80"/>
      </w:pPr>
    </w:p>
    <w:p>
      <w:pPr>
        <w:spacing w:after="120"/>
      </w:pPr>
      <w:r>
        <w:rPr>
          <w:rFonts w:ascii="Arial" w:cs="Arial" w:eastAsia="Arial" w:hAnsi="Arial"/>
          <w:sz w:val="22"/>
          <w:szCs w:val="22"/>
        </w:rPr>
        <w:t xml:space="preserve">The difference in workout frequency (56% vs 48% of days) is smaller than the difference in average active minutes (36.4 vs 8.2), which means session duration — not just frequency — drives the gap. Casey's median session is shorter and less intense, which is also reflected in the lower day_strain values seen in Q2.</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Sub-Question 2: Activity Schedule and Sleep</w:t>
      </w:r>
    </w:p>
    <w:p>
      <w:pPr>
        <w:pBdr>
          <w:left w:val="single" w:color="0D7377" w:sz="10" w:space="4"/>
        </w:pBdr>
        <w:shd w:fill="D9F0F0" w:val="clear"/>
        <w:spacing w:after="120"/>
        <w:ind w:left="300"/>
      </w:pPr>
      <w:r>
        <w:rPr>
          <w:rFonts w:ascii="Arial" w:cs="Arial" w:eastAsia="Arial" w:hAnsi="Arial"/>
          <w:sz w:val="22"/>
          <w:szCs w:val="22"/>
        </w:rPr>
        <w:t xml:space="preserve">How does a student's workout schedule relate to patterns in their sleep duration and physiological load?</w:t>
      </w:r>
    </w:p>
    <w:p>
      <w:pPr>
        <w:spacing w:after="80"/>
      </w:pPr>
    </w:p>
    <w:p>
      <w:pPr>
        <w:pStyle w:val="Heading2"/>
        <w:spacing w:after="140" w:before="280"/>
      </w:pPr>
      <w:r>
        <w:rPr>
          <w:rFonts w:ascii="Arial" w:cs="Arial" w:eastAsia="Arial" w:hAnsi="Arial"/>
          <w:b/>
          <w:bCs/>
          <w:color w:val="0D7377"/>
          <w:sz w:val="26"/>
          <w:szCs w:val="26"/>
        </w:rPr>
        <w:t xml:space="preserve">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613"/>
        <w:gridCol w:w="1813"/>
      </w:tblGrid>
      <w:tr>
        <w:trPr>
          <w:tblHeader/>
        </w:trPr>
        <w:tc>
          <w:tcPr>
            <w:tcW w:type="dxa" w:w="18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Student</w:t>
            </w:r>
          </w:p>
        </w:tc>
        <w:tc>
          <w:tcPr>
            <w:tcW w:type="dxa" w:w="1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Day type</w:t>
            </w:r>
          </w:p>
        </w:tc>
        <w:tc>
          <w:tcPr>
            <w:tcW w:type="dxa" w:w="1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sleep (h)</w:t>
            </w:r>
          </w:p>
        </w:tc>
        <w:tc>
          <w:tcPr>
            <w:tcW w:type="dxa" w:w="1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Sleep eff. (%)</w:t>
            </w:r>
          </w:p>
        </w:tc>
        <w:tc>
          <w:tcPr>
            <w:tcW w:type="dxa" w:w="1613"/>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strain</w:t>
            </w:r>
          </w:p>
        </w:tc>
        <w:tc>
          <w:tcPr>
            <w:tcW w:type="dxa" w:w="1813"/>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Days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S001 — Alex</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Workout day</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7.83 h</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88.9%</w:t>
            </w:r>
          </w:p>
        </w:tc>
        <w:tc>
          <w:tcPr>
            <w:tcW w:type="dxa" w:w="1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13.31</w:t>
            </w:r>
          </w:p>
        </w:tc>
        <w:tc>
          <w:tcPr>
            <w:tcW w:type="dxa" w:w="18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50</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S001 — Alex</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Rest day</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7.86 h</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86.8%</w:t>
            </w:r>
          </w:p>
        </w:tc>
        <w:tc>
          <w:tcPr>
            <w:tcW w:type="dxa" w:w="1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14.31</w:t>
            </w:r>
          </w:p>
        </w:tc>
        <w:tc>
          <w:tcPr>
            <w:tcW w:type="dxa" w:w="18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39</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S002 — Jordan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Workout day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6.33 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86.4%</w:t>
            </w:r>
          </w:p>
        </w:tc>
        <w:tc>
          <w:tcPr>
            <w:tcW w:type="dxa" w:w="16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10.75</w:t>
            </w:r>
          </w:p>
        </w:tc>
        <w:tc>
          <w:tcPr>
            <w:tcW w:type="dxa" w:w="1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47</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S002 — Jordan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Rest day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6.43 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87.9%</w:t>
            </w:r>
          </w:p>
        </w:tc>
        <w:tc>
          <w:tcPr>
            <w:tcW w:type="dxa" w:w="16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10.72</w:t>
            </w:r>
          </w:p>
        </w:tc>
        <w:tc>
          <w:tcPr>
            <w:tcW w:type="dxa" w:w="1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42</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S003 — Casey</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Workout day</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5.38 h</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86.1%</w:t>
            </w:r>
          </w:p>
        </w:tc>
        <w:tc>
          <w:tcPr>
            <w:tcW w:type="dxa" w:w="1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7.47</w:t>
            </w:r>
          </w:p>
        </w:tc>
        <w:tc>
          <w:tcPr>
            <w:tcW w:type="dxa" w:w="18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43</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S003 — Casey</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Rest day</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5.45 h</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88.9%</w:t>
            </w:r>
          </w:p>
        </w:tc>
        <w:tc>
          <w:tcPr>
            <w:tcW w:type="dxa" w:w="1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8.12</w:t>
            </w:r>
          </w:p>
        </w:tc>
        <w:tc>
          <w:tcPr>
            <w:tcW w:type="dxa" w:w="18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46</w:t>
            </w:r>
          </w:p>
        </w:tc>
      </w:tr>
    </w:tbl>
    <w:p>
      <w:pPr>
        <w:spacing w:after="100"/>
      </w:pPr>
    </w:p>
    <w:p>
      <w:pPr>
        <w:spacing w:after="120"/>
        <w:jc w:val="center"/>
      </w:pPr>
      <w:r>
        <w:rPr>
          <w:rFonts w:ascii="Arial" w:cs="Arial" w:eastAsia="Arial" w:hAnsi="Arial"/>
          <w:i/>
          <w:iCs/>
          <w:color w:val="888888"/>
          <w:sz w:val="18"/>
          <w:szCs w:val="18"/>
        </w:rPr>
        <w:t xml:space="preserve">Table 3 — Q2 results: sleep and strain on workout days vs rest days per student.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D9F0F0"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Finding 2.1 — Workout days do NOT reduce sleep duration</w:t>
            </w:r>
          </w:p>
          <w:p>
            <w:pPr>
              <w:spacing w:after="0"/>
            </w:pPr>
            <w:r>
              <w:rPr>
                <w:rFonts w:ascii="Arial" w:cs="Arial" w:eastAsia="Arial" w:hAnsi="Arial"/>
                <w:sz w:val="21"/>
                <w:szCs w:val="21"/>
              </w:rPr>
              <w:t xml:space="preserve">Contrary to a common assumption, none of the three students sleep significantly less on workout days than on rest days. The difference is minimal for all three: Alex (7.83 vs 7.86 h), Jordan (6.33 vs 6.43 h), Casey (5.38 vs 5.45 h). This suggests that physical activity does not compete with sleep at these exercise volumes.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D9F0F0"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Finding 2.2 — Sleep efficiency is slightly higher on workout days for Alex, lower for Casey</w:t>
            </w:r>
          </w:p>
          <w:p>
            <w:pPr>
              <w:spacing w:after="0"/>
            </w:pPr>
            <w:r>
              <w:rPr>
                <w:rFonts w:ascii="Arial" w:cs="Arial" w:eastAsia="Arial" w:hAnsi="Arial"/>
                <w:sz w:val="21"/>
                <w:szCs w:val="21"/>
              </w:rPr>
              <w:t xml:space="preserve">Alex shows higher sleep efficiency on workout days (88.9% vs 86.8%), consistent with the widely observed effect that moderate exercise improves sleep quality. Casey shows the opposite pattern (86.1% vs 88.9%), which may reflect that his workout sessions are too short and low-intensity to produce a sleep quality benefit.</w:t>
            </w:r>
          </w:p>
        </w:tc>
      </w:tr>
    </w:tbl>
    <w:p>
      <w:pPr>
        <w:spacing w:after="80"/>
      </w:pPr>
    </w:p>
    <w:p>
      <w:pPr>
        <w:spacing w:after="120"/>
      </w:pPr>
      <w:r>
        <w:rPr>
          <w:rFonts w:ascii="Arial" w:cs="Arial" w:eastAsia="Arial" w:hAnsi="Arial"/>
          <w:sz w:val="22"/>
          <w:szCs w:val="22"/>
        </w:rPr>
        <w:t xml:space="preserve">The day_strain values are worth noting: Alex's rest days actually show slightly higher strain (14.31) than workout days (13.31), which seems counterintuitive. This is explained by the WHOOP model: day_strain accounts for all cardiovascular activity throughout the day, not just formal workouts. On some rest days from the gym, Alex may have been more active in other ways (commuting, errands, walking) than on days when a formal workout replaced background activity.</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Sub-Question 3: Sleep Duration and Study Hours</w:t>
      </w:r>
    </w:p>
    <w:p>
      <w:pPr>
        <w:pBdr>
          <w:left w:val="single" w:color="0D7377" w:sz="10" w:space="4"/>
        </w:pBdr>
        <w:shd w:fill="D9F0F0" w:val="clear"/>
        <w:spacing w:after="120"/>
        <w:ind w:left="300"/>
      </w:pPr>
      <w:r>
        <w:rPr>
          <w:rFonts w:ascii="Arial" w:cs="Arial" w:eastAsia="Arial" w:hAnsi="Arial"/>
          <w:sz w:val="22"/>
          <w:szCs w:val="22"/>
        </w:rPr>
        <w:t xml:space="preserve">Is there a relationship between sleep duration in the week before an exam and the study hours reported that week?</w:t>
      </w:r>
    </w:p>
    <w:p>
      <w:pPr>
        <w:spacing w:after="80"/>
      </w:pPr>
    </w:p>
    <w:p>
      <w:pPr>
        <w:pStyle w:val="Heading2"/>
        <w:spacing w:after="140" w:before="280"/>
      </w:pPr>
      <w:r>
        <w:rPr>
          <w:rFonts w:ascii="Arial" w:cs="Arial" w:eastAsia="Arial" w:hAnsi="Arial"/>
          <w:b/>
          <w:bCs/>
          <w:color w:val="0D7377"/>
          <w:sz w:val="26"/>
          <w:szCs w:val="26"/>
        </w:rPr>
        <w:t xml:space="preserve">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Student</w:t>
            </w:r>
          </w:p>
        </w:tc>
        <w:tc>
          <w:tcPr>
            <w:tcW w:type="dxa" w:w="2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sleep (pre-exam week)</w:t>
            </w:r>
          </w:p>
        </w:tc>
        <w:tc>
          <w:tcPr>
            <w:tcW w:type="dxa" w:w="2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study hrs</w:t>
            </w:r>
          </w:p>
        </w:tc>
        <w:tc>
          <w:tcPr>
            <w:tcW w:type="dxa" w:w="28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grade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S001 — Alex</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8.04 h</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9.8 h</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8.36</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S002 — Jordan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6.29 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7.1 h</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6.39</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S003 — Casey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5.48 h</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5.7 h</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5.51</w:t>
            </w:r>
          </w:p>
        </w:tc>
      </w:tr>
    </w:tbl>
    <w:p>
      <w:pPr>
        <w:spacing w:after="100"/>
      </w:pPr>
    </w:p>
    <w:p>
      <w:pPr>
        <w:spacing w:after="120"/>
        <w:jc w:val="center"/>
      </w:pPr>
      <w:r>
        <w:rPr>
          <w:rFonts w:ascii="Arial" w:cs="Arial" w:eastAsia="Arial" w:hAnsi="Arial"/>
          <w:i/>
          <w:iCs/>
          <w:color w:val="888888"/>
          <w:sz w:val="18"/>
          <w:szCs w:val="18"/>
        </w:rPr>
        <w:t xml:space="preserve">Table 4 — Q3 results: sleep duration, study hours, and grade per student (averaged across all exams).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D9F0F0"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Finding 3.1 — Sleep duration, study hours, and grades align in the same order across all students</w:t>
            </w:r>
          </w:p>
          <w:p>
            <w:pPr>
              <w:spacing w:after="0"/>
            </w:pPr>
            <w:r>
              <w:rPr>
                <w:rFonts w:ascii="Arial" w:cs="Arial" w:eastAsia="Arial" w:hAnsi="Arial"/>
                <w:sz w:val="21"/>
                <w:szCs w:val="21"/>
              </w:rPr>
              <w:t xml:space="preserve">The student who sleeps the most (Alex: 8.04 h) also studies the most (9.8 h) and achieves the highest grades (8.36). The student who sleeps the least (Casey: 5.48 h) also studies the least (5.7 h) and achieves the lowest grades (5.51). This consistent co-occurrence across three independent variables suggests that sleep, study engagement, and academic outcomes are all expressions of the same underlying factor: student discipline and lifestyle consistency.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D9F0F0"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Finding 3.2 — Sleep and study hours are positively associated, not in competition</w:t>
            </w:r>
          </w:p>
          <w:p>
            <w:pPr>
              <w:spacing w:after="0"/>
            </w:pPr>
            <w:r>
              <w:rPr>
                <w:rFonts w:ascii="Arial" w:cs="Arial" w:eastAsia="Arial" w:hAnsi="Arial"/>
                <w:sz w:val="21"/>
                <w:szCs w:val="21"/>
              </w:rPr>
              <w:t xml:space="preserve">A common assumption is that students sacrifice sleep to study more. This dataset does not support that assumption: the student who studies the most (Alex, 9.8 h/week) also sleeps the most (8.04 h/night). The student who studies the least (Casey, 5.7 h/week) also sleeps the least (5.48 h). Sleep and study time appear to be complements, not substitutes, within this dataset.</w:t>
            </w:r>
          </w:p>
        </w:tc>
      </w:tr>
    </w:tbl>
    <w:p>
      <w:pPr>
        <w:spacing w:after="80"/>
      </w:pPr>
    </w:p>
    <w:p>
      <w:pPr>
        <w:spacing w:after="120"/>
      </w:pPr>
      <w:r>
        <w:rPr>
          <w:rFonts w:ascii="Arial" w:cs="Arial" w:eastAsia="Arial" w:hAnsi="Arial"/>
          <w:sz w:val="22"/>
          <w:szCs w:val="22"/>
        </w:rPr>
        <w:t xml:space="preserve">An important methodological note: this finding is observed at the between-student level. Within a single student, the pattern may differ — Casey's best exam score (7.1) occurred in a week with more sleep than his worst weeks. Individual-level variation within students would require a longer dataset or more students to analyse reliably.</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Sub-Question 4: Physical Activity and Academic Grades</w:t>
      </w:r>
    </w:p>
    <w:p>
      <w:pPr>
        <w:pBdr>
          <w:left w:val="single" w:color="0D7377" w:sz="10" w:space="4"/>
        </w:pBdr>
        <w:shd w:fill="D9F0F0" w:val="clear"/>
        <w:spacing w:after="120"/>
        <w:ind w:left="300"/>
      </w:pPr>
      <w:r>
        <w:rPr>
          <w:rFonts w:ascii="Arial" w:cs="Arial" w:eastAsia="Arial" w:hAnsi="Arial"/>
          <w:sz w:val="22"/>
          <w:szCs w:val="22"/>
        </w:rPr>
        <w:t xml:space="preserve">Do students with higher daily active minutes and better physiological recovery achieve better academic grades?</w:t>
      </w:r>
    </w:p>
    <w:p>
      <w:pPr>
        <w:spacing w:after="80"/>
      </w:pPr>
    </w:p>
    <w:p>
      <w:pPr>
        <w:pStyle w:val="Heading2"/>
        <w:spacing w:after="140" w:before="280"/>
      </w:pPr>
      <w:r>
        <w:rPr>
          <w:rFonts w:ascii="Arial" w:cs="Arial" w:eastAsia="Arial" w:hAnsi="Arial"/>
          <w:b/>
          <w:bCs/>
          <w:color w:val="0D7377"/>
          <w:sz w:val="26"/>
          <w:szCs w:val="26"/>
        </w:rPr>
        <w:t xml:space="preserve">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Student</w:t>
            </w:r>
          </w:p>
        </w:tc>
        <w:tc>
          <w:tcPr>
            <w:tcW w:type="dxa" w:w="2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active min (pre-exam week)</w:t>
            </w:r>
          </w:p>
        </w:tc>
        <w:tc>
          <w:tcPr>
            <w:tcW w:type="dxa" w:w="2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WHOOP recovery</w:t>
            </w:r>
          </w:p>
        </w:tc>
        <w:tc>
          <w:tcPr>
            <w:tcW w:type="dxa" w:w="28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grade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S001 — Alex</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36.2 min/day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78.7%</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8.36</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S002 — Jordan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21.2 min/day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57.2%</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6.39</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S003 — Casey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9.7 min/day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32.6%</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5.51</w:t>
            </w:r>
          </w:p>
        </w:tc>
      </w:tr>
    </w:tbl>
    <w:p>
      <w:pPr>
        <w:spacing w:after="100"/>
      </w:pPr>
    </w:p>
    <w:p>
      <w:pPr>
        <w:spacing w:after="120"/>
        <w:jc w:val="center"/>
      </w:pPr>
      <w:r>
        <w:rPr>
          <w:rFonts w:ascii="Arial" w:cs="Arial" w:eastAsia="Arial" w:hAnsi="Arial"/>
          <w:i/>
          <w:iCs/>
          <w:color w:val="888888"/>
          <w:sz w:val="18"/>
          <w:szCs w:val="18"/>
        </w:rPr>
        <w:t xml:space="preserve">Table 5 — Q4 results: pre-exam active minutes, WHOOP recovery, and grade per student.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D9F0F0"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Finding 4.1 — Activity level and physiological recovery are strongly aligned with grade outcomes</w:t>
            </w:r>
          </w:p>
          <w:p>
            <w:pPr>
              <w:spacing w:after="0"/>
            </w:pPr>
            <w:r>
              <w:rPr>
                <w:rFonts w:ascii="Arial" w:cs="Arial" w:eastAsia="Arial" w:hAnsi="Arial"/>
                <w:sz w:val="21"/>
                <w:szCs w:val="21"/>
              </w:rPr>
              <w:t xml:space="preserve">Alex averages 36.2 active minutes/day in exam weeks, a WHOOP recovery of 78.7%, and a grade of 8.36. Casey averages 9.7 min/day, a recovery of 32.6%, and a grade of 5.51. The gap in grades (2.85 points on a 10-point scale) is accompanied by a 4x gap in activity and more than double the physiological recovery score.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D9F0F0"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Finding 4.2 — Recovery score may be a stronger predictor than active minutes alone</w:t>
            </w:r>
          </w:p>
          <w:p>
            <w:pPr>
              <w:spacing w:after="0"/>
            </w:pPr>
            <w:r>
              <w:rPr>
                <w:rFonts w:ascii="Arial" w:cs="Arial" w:eastAsia="Arial" w:hAnsi="Arial"/>
                <w:sz w:val="21"/>
                <w:szCs w:val="21"/>
              </w:rPr>
              <w:t xml:space="preserve">The WHOOP recovery score integrates HRV, resting heart rate, sleep performance, and respiratory rate into a single metric. The gradient in recovery scores (78.7% → 57.2% → 32.6%) mirrors the grade gradient more closely than the active minutes alone. This suggests that overall physiological resilience — not just exercise volume — is associated with academic performance, possibly because students who are physically well-recovered are also better able to concentrate and retain information during study sessions.</w:t>
            </w:r>
          </w:p>
        </w:tc>
      </w:tr>
    </w:tbl>
    <w:p>
      <w:pPr>
        <w:spacing w:after="80"/>
      </w:pPr>
    </w:p>
    <w:p>
      <w:pPr>
        <w:spacing w:after="120"/>
      </w:pPr>
      <w:r>
        <w:rPr>
          <w:rFonts w:ascii="Arial" w:cs="Arial" w:eastAsia="Arial" w:hAnsi="Arial"/>
          <w:sz w:val="22"/>
          <w:szCs w:val="22"/>
        </w:rPr>
        <w:t xml:space="preserve">Caution is warranted here: with three students, no statistical significance can be claimed. The observed association could be driven by confounding variables — for example, a student's overall motivation and self-discipline could simultaneously drive both higher physical activity and more effective studying. The finding is best interpreted as a hypothesis to test in a larger dataset, not as evidence of a causal relationship.</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Sub-Question 5: Caloric Intake, Study Hours, and Grades</w:t>
      </w:r>
    </w:p>
    <w:p>
      <w:pPr>
        <w:pBdr>
          <w:left w:val="single" w:color="0D7377" w:sz="10" w:space="4"/>
        </w:pBdr>
        <w:shd w:fill="D9F0F0" w:val="clear"/>
        <w:spacing w:after="120"/>
        <w:ind w:left="300"/>
      </w:pPr>
      <w:r>
        <w:rPr>
          <w:rFonts w:ascii="Arial" w:cs="Arial" w:eastAsia="Arial" w:hAnsi="Arial"/>
          <w:sz w:val="22"/>
          <w:szCs w:val="22"/>
        </w:rPr>
        <w:t xml:space="preserve">On weeks with below-average caloric intake, do students report fewer study hours and score lower on assessments?</w:t>
      </w:r>
    </w:p>
    <w:p>
      <w:pPr>
        <w:spacing w:after="80"/>
      </w:pPr>
    </w:p>
    <w:p>
      <w:pPr>
        <w:pStyle w:val="Heading2"/>
        <w:spacing w:after="140" w:before="280"/>
      </w:pPr>
      <w:r>
        <w:rPr>
          <w:rFonts w:ascii="Arial" w:cs="Arial" w:eastAsia="Arial" w:hAnsi="Arial"/>
          <w:b/>
          <w:bCs/>
          <w:color w:val="0D7377"/>
          <w:sz w:val="26"/>
          <w:szCs w:val="26"/>
        </w:rPr>
        <w:t xml:space="preserve">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13"/>
        <w:gridCol w:w="2013"/>
      </w:tblGrid>
      <w:tr>
        <w:trPr>
          <w:tblHeader/>
        </w:trPr>
        <w:tc>
          <w:tcPr>
            <w:tcW w:type="dxa" w:w="2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Caloric intake category</w:t>
            </w:r>
          </w:p>
        </w:tc>
        <w:tc>
          <w:tcPr>
            <w:tcW w:type="dxa" w:w="22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exam grade</w:t>
            </w:r>
          </w:p>
        </w:tc>
        <w:tc>
          <w:tcPr>
            <w:tcW w:type="dxa" w:w="2213"/>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study hrs</w:t>
            </w:r>
          </w:p>
        </w:tc>
        <w:tc>
          <w:tcPr>
            <w:tcW w:type="dxa" w:w="2013"/>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Who contributes</w:t>
            </w:r>
          </w:p>
        </w:tc>
      </w:tr>
      <w:tr>
        <w:tc>
          <w:tcPr>
            <w:tcW w:type="dxa" w:w="2600"/>
            <w:tcBorders>
              <w:top w:val="single" w:color="CCCCCC" w:sz="1"/>
              <w:left w:val="single" w:color="CCCCCC" w:sz="1"/>
              <w:bottom w:val="single" w:color="CCCCCC" w:sz="1"/>
              <w:right w:val="single" w:color="CCCCCC" w:sz="1"/>
            </w:tcBorders>
            <w:shd w:fill="D6F0D6" w:val="clear"/>
            <w:tcMar>
              <w:top w:type="dxa" w:w="100"/>
              <w:left w:type="dxa" w:w="140"/>
              <w:bottom w:type="dxa" w:w="100"/>
              <w:right w:type="dxa" w:w="140"/>
            </w:tcMar>
          </w:tcPr>
          <w:p>
            <w:pPr>
              <w:jc w:val="left"/>
            </w:pPr>
            <w:r>
              <w:rPr>
                <w:rFonts w:ascii="Arial" w:cs="Arial" w:eastAsia="Arial" w:hAnsi="Arial"/>
                <w:b/>
                <w:bCs/>
                <w:sz w:val="20"/>
                <w:szCs w:val="20"/>
              </w:rPr>
              <w:t xml:space="preserve">At or above personal average</w:t>
            </w:r>
          </w:p>
        </w:tc>
        <w:tc>
          <w:tcPr>
            <w:tcW w:type="dxa" w:w="2200"/>
            <w:tcBorders>
              <w:top w:val="single" w:color="CCCCCC" w:sz="1"/>
              <w:left w:val="single" w:color="CCCCCC" w:sz="1"/>
              <w:bottom w:val="single" w:color="CCCCCC" w:sz="1"/>
              <w:right w:val="single" w:color="CCCCCC" w:sz="1"/>
            </w:tcBorders>
            <w:shd w:fill="D6F0D6"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7.37</w:t>
            </w:r>
          </w:p>
        </w:tc>
        <w:tc>
          <w:tcPr>
            <w:tcW w:type="dxa" w:w="2213"/>
            <w:tcBorders>
              <w:top w:val="single" w:color="CCCCCC" w:sz="1"/>
              <w:left w:val="single" w:color="CCCCCC" w:sz="1"/>
              <w:bottom w:val="single" w:color="CCCCCC" w:sz="1"/>
              <w:right w:val="single" w:color="CCCCCC" w:sz="1"/>
            </w:tcBorders>
            <w:shd w:fill="D6F0D6"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8.4 h</w:t>
            </w:r>
          </w:p>
        </w:tc>
        <w:tc>
          <w:tcPr>
            <w:tcW w:type="dxa" w:w="2013"/>
            <w:tcBorders>
              <w:top w:val="single" w:color="CCCCCC" w:sz="1"/>
              <w:left w:val="single" w:color="CCCCCC" w:sz="1"/>
              <w:bottom w:val="single" w:color="CCCCCC" w:sz="1"/>
              <w:right w:val="single" w:color="CCCCCC" w:sz="1"/>
            </w:tcBorders>
            <w:shd w:fill="D6F0D6"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S001 (all exams), S002 (all exams)</w:t>
            </w:r>
          </w:p>
        </w:tc>
      </w:tr>
      <w:tr>
        <w:tc>
          <w:tcPr>
            <w:tcW w:type="dxa" w:w="2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bCs/>
                <w:sz w:val="20"/>
                <w:szCs w:val="20"/>
              </w:rPr>
              <w:t xml:space="preserve">Below personal average</w:t>
            </w:r>
          </w:p>
        </w:tc>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5.51</w:t>
            </w:r>
          </w:p>
        </w:tc>
        <w:tc>
          <w:tcPr>
            <w:tcW w:type="dxa" w:w="2213"/>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5.7 h</w:t>
            </w:r>
          </w:p>
        </w:tc>
        <w:tc>
          <w:tcPr>
            <w:tcW w:type="dxa" w:w="2013"/>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S003 (all exams)</w:t>
            </w:r>
          </w:p>
        </w:tc>
      </w:tr>
    </w:tbl>
    <w:p>
      <w:pPr>
        <w:spacing w:after="100"/>
      </w:pPr>
    </w:p>
    <w:p>
      <w:pPr>
        <w:spacing w:after="120"/>
        <w:jc w:val="center"/>
      </w:pPr>
      <w:r>
        <w:rPr>
          <w:rFonts w:ascii="Arial" w:cs="Arial" w:eastAsia="Arial" w:hAnsi="Arial"/>
          <w:i/>
          <w:iCs/>
          <w:color w:val="888888"/>
          <w:sz w:val="18"/>
          <w:szCs w:val="18"/>
        </w:rPr>
        <w:t xml:space="preserve">Table 6 — Q5 results: caloric intake category vs grade and study hours (averaged across all exam weeks).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D9F0F0"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Finding 5.1 — Below-average caloric intake weeks are associated with lower grades and study hours</w:t>
            </w:r>
          </w:p>
          <w:p>
            <w:pPr>
              <w:spacing w:after="0"/>
            </w:pPr>
            <w:r>
              <w:rPr>
                <w:rFonts w:ascii="Arial" w:cs="Arial" w:eastAsia="Arial" w:hAnsi="Arial"/>
                <w:sz w:val="21"/>
                <w:szCs w:val="21"/>
              </w:rPr>
              <w:t xml:space="preserve">Exam weeks categorised as 'Below personal average' in caloric intake show an average grade of 5.51 and 5.7 study hours, compared to 7.37 and 8.4 hours for weeks at or above the personal average. This is a difference of 1.86 grade points and 2.7 study hours.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FFF3CD"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Finding 5.2 — Important limitation: category is perfectly split by student</w:t>
            </w:r>
          </w:p>
          <w:p>
            <w:pPr>
              <w:spacing w:after="0"/>
            </w:pPr>
            <w:r>
              <w:rPr>
                <w:rFonts w:ascii="Arial" w:cs="Arial" w:eastAsia="Arial" w:hAnsi="Arial"/>
                <w:sz w:val="21"/>
                <w:szCs w:val="21"/>
              </w:rPr>
              <w:t xml:space="preserve">In this dataset, S001 and S002 are always 'At or above average' and S003 is always 'Below average' — the categories align with students rather than varying within students over time. This means the finding cannot be separated from the general student profile effect: Casey has lower grades, fewer study hours, AND lower caloric intake all at once. The Q5 result therefore confirms the inter-student pattern rather than establishing a specific nutritional effect.</w:t>
            </w:r>
          </w:p>
        </w:tc>
      </w:tr>
    </w:tbl>
    <w:p>
      <w:pPr>
        <w:spacing w:after="80"/>
      </w:pPr>
    </w:p>
    <w:p>
      <w:pPr>
        <w:spacing w:after="120"/>
      </w:pPr>
      <w:r>
        <w:rPr>
          <w:rFonts w:ascii="Arial" w:cs="Arial" w:eastAsia="Arial" w:hAnsi="Arial"/>
          <w:sz w:val="22"/>
          <w:szCs w:val="22"/>
        </w:rPr>
        <w:t xml:space="preserve">This finding points to a key design implication for future research: to isolate the effect of nutrition on academic performance, within-student variation over time is needed — for example, observing how the same student's grades change between high-calorie and low-calorie exam weeks. A 6-month dataset with more students would enable this analysis.</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Answer to the Main Research Question</w:t>
      </w:r>
    </w:p>
    <w:p>
      <w:pPr>
        <w:pBdr>
          <w:left w:val="single" w:color="1B3A6B" w:sz="10" w:space="4"/>
        </w:pBdr>
        <w:shd w:fill="EAF0F8" w:val="clear"/>
        <w:spacing w:after="120"/>
        <w:ind w:left="300"/>
      </w:pPr>
      <w:r>
        <w:rPr>
          <w:rFonts w:ascii="Arial" w:cs="Arial" w:eastAsia="Arial" w:hAnsi="Arial"/>
          <w:sz w:val="22"/>
          <w:szCs w:val="22"/>
        </w:rPr>
        <w:t xml:space="preserve">How do daily lifestyle habits — sleep duration, physical activity, and nutrition — relate to student study time and academic performance?</w:t>
      </w:r>
    </w:p>
    <w:p>
      <w:pPr>
        <w:spacing w:after="80"/>
      </w:pPr>
    </w:p>
    <w:p>
      <w:pPr>
        <w:spacing w:after="120"/>
      </w:pPr>
      <w:r>
        <w:rPr>
          <w:rFonts w:ascii="Arial" w:cs="Arial" w:eastAsia="Arial" w:hAnsi="Arial"/>
          <w:sz w:val="22"/>
          <w:szCs w:val="22"/>
        </w:rPr>
        <w:t xml:space="preserve">Across all five analytical queries, the data consistently points in the same direction: the student with the healthiest lifestyle habits (most sleep, most physical activity, most consistent nutrition) also invests the most study time and achieves the highest grades. The student with the least consistent habits achieves the lowest grades and studies the least. This pattern is not confined to one dimension — it is visible simultaneously in sleep data, wearable physiological metrics, nutritional logs, and academic records.</w:t>
      </w:r>
    </w:p>
    <w:p>
      <w:pPr>
        <w:spacing w:after="80"/>
      </w:pPr>
    </w:p>
    <w:p>
      <w:pPr>
        <w:spacing w:after="120"/>
      </w:pPr>
      <w:r>
        <w:rPr>
          <w:rFonts w:ascii="Arial" w:cs="Arial" w:eastAsia="Arial" w:hAnsi="Arial"/>
          <w:sz w:val="22"/>
          <w:szCs w:val="22"/>
        </w:rPr>
        <w:t xml:space="preserve">The most important finding is not any single correlation, but the fact that these dimensions </w:t>
      </w:r>
      <w:r>
        <w:rPr>
          <w:rFonts w:ascii="Arial" w:cs="Arial" w:eastAsia="Arial" w:hAnsi="Arial"/>
          <w:b/>
          <w:bCs/>
          <w:sz w:val="22"/>
          <w:szCs w:val="22"/>
        </w:rPr>
        <w:t xml:space="preserve">align with each other</w:t>
      </w:r>
      <w:r>
        <w:rPr>
          <w:rFonts w:ascii="Arial" w:cs="Arial" w:eastAsia="Arial" w:hAnsi="Arial"/>
          <w:sz w:val="22"/>
          <w:szCs w:val="22"/>
        </w:rPr>
        <w:t xml:space="preserve">. Sleep, activity, nutrition, study time, and grades all point in the same direction for every student in the dataset. This suggests that what is being measured is not just one lifestyle variable affecting one outcome, but a broader pattern of self-regulation and consistency that simultaneously shapes all aspects of a student's academic and physical life.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D9F0F0"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Central conclusion</w:t>
            </w:r>
          </w:p>
          <w:p>
            <w:pPr>
              <w:spacing w:after="0"/>
            </w:pPr>
            <w:r>
              <w:rPr>
                <w:rFonts w:ascii="Arial" w:cs="Arial" w:eastAsia="Arial" w:hAnsi="Arial"/>
                <w:sz w:val="21"/>
                <w:szCs w:val="21"/>
              </w:rPr>
              <w:t xml:space="preserve">Students who sleep more, exercise more consistently, and eat more regularly also study more hours and achieve higher grades. The data does not establish causation — we cannot determine whether better sleep causes better grades, or whether both are driven by a third variable such as motivation or self-discipline. However, the consistent co-occurrence across independent data sources makes lifestyle habits a credible and measurable correlate of academic performance, and a promising input for personalised Learning Analytics interventions.</w:t>
            </w:r>
          </w:p>
        </w:tc>
      </w:tr>
    </w:tbl>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Limitations</w:t>
      </w:r>
    </w:p>
    <w:p>
      <w:pPr>
        <w:spacing w:after="120"/>
      </w:pPr>
      <w:r>
        <w:rPr>
          <w:rFonts w:ascii="Arial" w:cs="Arial" w:eastAsia="Arial" w:hAnsi="Arial"/>
          <w:sz w:val="22"/>
          <w:szCs w:val="22"/>
        </w:rPr>
        <w:t xml:space="preserve">The following limitations should be considered when interpreting these findings:</w:t>
      </w:r>
    </w:p>
    <w:p>
      <w:pPr>
        <w:spacing w:after="60"/>
      </w:pPr>
    </w:p>
    <w:p>
      <w:pPr>
        <w:pStyle w:val="ListParagraph"/>
        <w:numPr>
          <w:ilvl w:val="0"/>
          <w:numId w:val="2"/>
        </w:numPr>
        <w:spacing w:after="80"/>
      </w:pPr>
      <w:r>
        <w:rPr>
          <w:rFonts w:ascii="Arial" w:cs="Arial" w:eastAsia="Arial" w:hAnsi="Arial"/>
          <w:b/>
          <w:bCs/>
          <w:sz w:val="22"/>
          <w:szCs w:val="22"/>
        </w:rPr>
        <w:t xml:space="preserve">Sample size: </w:t>
      </w:r>
      <w:r>
        <w:rPr>
          <w:rFonts w:ascii="Arial" w:cs="Arial" w:eastAsia="Arial" w:hAnsi="Arial"/>
          <w:sz w:val="22"/>
          <w:szCs w:val="22"/>
        </w:rPr>
        <w:t xml:space="preserve">Three students is sufficient to observe patterns and test the ETL pipeline, but is far too small to draw statistically significant conclusions. No correlation coefficients or p-values are reported because they would not be meaningful at N=3.</w:t>
      </w:r>
    </w:p>
    <w:p>
      <w:pPr>
        <w:pStyle w:val="ListParagraph"/>
        <w:numPr>
          <w:ilvl w:val="0"/>
          <w:numId w:val="2"/>
        </w:numPr>
        <w:spacing w:after="80"/>
      </w:pPr>
      <w:r>
        <w:rPr>
          <w:rFonts w:ascii="Arial" w:cs="Arial" w:eastAsia="Arial" w:hAnsi="Arial"/>
          <w:b/>
          <w:bCs/>
          <w:sz w:val="22"/>
          <w:szCs w:val="22"/>
        </w:rPr>
        <w:t xml:space="preserve">Between-student vs within-student effects: </w:t>
      </w:r>
      <w:r>
        <w:rPr>
          <w:rFonts w:ascii="Arial" w:cs="Arial" w:eastAsia="Arial" w:hAnsi="Arial"/>
          <w:sz w:val="22"/>
          <w:szCs w:val="22"/>
        </w:rPr>
        <w:t xml:space="preserve">Most findings reflect differences between students rather than changes within the same student over time. Isolating the effect of a specific habit on a specific outcome requires observing how one changes when the other changes — this is possible within a longer dataset or a larger cohort.</w:t>
      </w:r>
    </w:p>
    <w:p>
      <w:pPr>
        <w:pStyle w:val="ListParagraph"/>
        <w:numPr>
          <w:ilvl w:val="0"/>
          <w:numId w:val="2"/>
        </w:numPr>
        <w:spacing w:after="80"/>
      </w:pPr>
      <w:r>
        <w:rPr>
          <w:rFonts w:ascii="Arial" w:cs="Arial" w:eastAsia="Arial" w:hAnsi="Arial"/>
          <w:b/>
          <w:bCs/>
          <w:sz w:val="22"/>
          <w:szCs w:val="22"/>
        </w:rPr>
        <w:t xml:space="preserve">Confounding variables: </w:t>
      </w:r>
      <w:r>
        <w:rPr>
          <w:rFonts w:ascii="Arial" w:cs="Arial" w:eastAsia="Arial" w:hAnsi="Arial"/>
          <w:sz w:val="22"/>
          <w:szCs w:val="22"/>
        </w:rPr>
        <w:t xml:space="preserve">The lifestyle differences between students are likely related to underlying differences in motivation, academic background, time management, and socioeconomic context. These variables are not measured in this dataset and cannot be controlled for.</w:t>
      </w:r>
    </w:p>
    <w:p>
      <w:pPr>
        <w:pStyle w:val="ListParagraph"/>
        <w:numPr>
          <w:ilvl w:val="0"/>
          <w:numId w:val="2"/>
        </w:numPr>
        <w:spacing w:after="80"/>
      </w:pPr>
      <w:r>
        <w:rPr>
          <w:rFonts w:ascii="Arial" w:cs="Arial" w:eastAsia="Arial" w:hAnsi="Arial"/>
          <w:b/>
          <w:bCs/>
          <w:sz w:val="22"/>
          <w:szCs w:val="22"/>
        </w:rPr>
        <w:t xml:space="preserve">Synthetic data: </w:t>
      </w:r>
      <w:r>
        <w:rPr>
          <w:rFonts w:ascii="Arial" w:cs="Arial" w:eastAsia="Arial" w:hAnsi="Arial"/>
          <w:sz w:val="22"/>
          <w:szCs w:val="22"/>
        </w:rPr>
        <w:t xml:space="preserve">The dataset is synthetic — deliberately designed to show contrasting profiles to make analytical patterns visible. Real student data would show more noise, more complex within-student variation, and less clean between-student separation. The findings should be understood as proof-of-concept demonstrations rather than empirical discoveries.</w:t>
      </w:r>
    </w:p>
    <w:p>
      <w:pPr>
        <w:pStyle w:val="ListParagraph"/>
        <w:numPr>
          <w:ilvl w:val="0"/>
          <w:numId w:val="2"/>
        </w:numPr>
        <w:spacing w:after="80"/>
      </w:pPr>
      <w:r>
        <w:rPr>
          <w:rFonts w:ascii="Arial" w:cs="Arial" w:eastAsia="Arial" w:hAnsi="Arial"/>
          <w:b/>
          <w:bCs/>
          <w:sz w:val="22"/>
          <w:szCs w:val="22"/>
        </w:rPr>
        <w:t xml:space="preserve">Self-reported study hours: </w:t>
      </w:r>
      <w:r>
        <w:rPr>
          <w:rFonts w:ascii="Arial" w:cs="Arial" w:eastAsia="Arial" w:hAnsi="Arial"/>
          <w:sz w:val="22"/>
          <w:szCs w:val="22"/>
        </w:rPr>
        <w:t xml:space="preserve">Study hours in the academic_performance table are self-reported once per exam, not continuously tracked. Self-report bias and recall error are known issues with this measurement approach.</w:t>
      </w:r>
    </w:p>
    <w:p>
      <w:pPr>
        <w:pStyle w:val="ListParagraph"/>
        <w:numPr>
          <w:ilvl w:val="0"/>
          <w:numId w:val="2"/>
        </w:numPr>
        <w:spacing w:after="80"/>
      </w:pPr>
      <w:r>
        <w:rPr>
          <w:rFonts w:ascii="Arial" w:cs="Arial" w:eastAsia="Arial" w:hAnsi="Arial"/>
          <w:b/>
          <w:bCs/>
          <w:sz w:val="22"/>
          <w:szCs w:val="22"/>
        </w:rPr>
        <w:t xml:space="preserve">Missing nutrition data: </w:t>
      </w:r>
      <w:r>
        <w:rPr>
          <w:rFonts w:ascii="Arial" w:cs="Arial" w:eastAsia="Arial" w:hAnsi="Arial"/>
          <w:sz w:val="22"/>
          <w:szCs w:val="22"/>
        </w:rPr>
        <w:t xml:space="preserve">S003's 57% missing nutrition logs mean that Q5 results for this student are based on days when logging did occur, which may not be representative. The informative nature of the missing data (absence = likely poor diet) means simple imputation would distort the analysis.</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Utility and Future Applications</w:t>
      </w:r>
    </w:p>
    <w:p>
      <w:pPr>
        <w:pStyle w:val="Heading2"/>
        <w:spacing w:after="140" w:before="280"/>
      </w:pPr>
      <w:r>
        <w:rPr>
          <w:rFonts w:ascii="Arial" w:cs="Arial" w:eastAsia="Arial" w:hAnsi="Arial"/>
          <w:b/>
          <w:bCs/>
          <w:color w:val="0D7377"/>
          <w:sz w:val="26"/>
          <w:szCs w:val="26"/>
        </w:rPr>
        <w:t xml:space="preserve">For the Comenius Research Initiative</w:t>
      </w:r>
    </w:p>
    <w:p>
      <w:pPr>
        <w:spacing w:after="120"/>
      </w:pPr>
      <w:r>
        <w:rPr>
          <w:rFonts w:ascii="Arial" w:cs="Arial" w:eastAsia="Arial" w:hAnsi="Arial"/>
          <w:sz w:val="22"/>
          <w:szCs w:val="22"/>
        </w:rPr>
        <w:t xml:space="preserve">This project contributes a working technical prototype to the Comenius Applied Research Initiative on Personalised Education. Concretely, it demonstrates:</w:t>
      </w:r>
    </w:p>
    <w:p>
      <w:pPr>
        <w:pStyle w:val="ListParagraph"/>
        <w:numPr>
          <w:ilvl w:val="0"/>
          <w:numId w:val="2"/>
        </w:numPr>
        <w:spacing w:after="80"/>
      </w:pPr>
      <w:r>
        <w:rPr>
          <w:rFonts w:ascii="Arial" w:cs="Arial" w:eastAsia="Arial" w:hAnsi="Arial"/>
          <w:b/>
          <w:bCs/>
          <w:sz w:val="22"/>
          <w:szCs w:val="22"/>
        </w:rPr>
        <w:t xml:space="preserve">That a student-centred data ecosystem is technically feasible: </w:t>
      </w:r>
      <w:r>
        <w:rPr>
          <w:rFonts w:ascii="Arial" w:cs="Arial" w:eastAsia="Arial" w:hAnsi="Arial"/>
          <w:sz w:val="22"/>
          <w:szCs w:val="22"/>
        </w:rPr>
        <w:t xml:space="preserve">personal data from wearable devices and nutrition apps can be combined with institutional academic records in a single PostgreSQL database, with a Python ETL pipeline that runs in under one second and can be re-executed safely.</w:t>
      </w:r>
    </w:p>
    <w:p>
      <w:pPr>
        <w:pStyle w:val="ListParagraph"/>
        <w:numPr>
          <w:ilvl w:val="0"/>
          <w:numId w:val="2"/>
        </w:numPr>
        <w:spacing w:after="80"/>
      </w:pPr>
      <w:r>
        <w:rPr>
          <w:rFonts w:ascii="Arial" w:cs="Arial" w:eastAsia="Arial" w:hAnsi="Arial"/>
          <w:b/>
          <w:bCs/>
          <w:sz w:val="22"/>
          <w:szCs w:val="22"/>
        </w:rPr>
        <w:t xml:space="preserve">That lifestyle data provides a measurable signal alongside institutional data: </w:t>
      </w:r>
      <w:r>
        <w:rPr>
          <w:rFonts w:ascii="Arial" w:cs="Arial" w:eastAsia="Arial" w:hAnsi="Arial"/>
          <w:sz w:val="22"/>
          <w:szCs w:val="22"/>
        </w:rPr>
        <w:t xml:space="preserve">WHOOP recovery scores, sleep architecture, and activity levels all show meaningful differences that align with academic outcomes — these are dimensions that institutional Learning Analytics systems (which typically only capture grades and attendance) cannot observe.</w:t>
      </w:r>
    </w:p>
    <w:p>
      <w:pPr>
        <w:pStyle w:val="ListParagraph"/>
        <w:numPr>
          <w:ilvl w:val="0"/>
          <w:numId w:val="2"/>
        </w:numPr>
        <w:spacing w:after="80"/>
      </w:pPr>
      <w:r>
        <w:rPr>
          <w:rFonts w:ascii="Arial" w:cs="Arial" w:eastAsia="Arial" w:hAnsi="Arial"/>
          <w:b/>
          <w:bCs/>
          <w:sz w:val="22"/>
          <w:szCs w:val="22"/>
        </w:rPr>
        <w:t xml:space="preserve">That GDPR-compliant architecture is achievable at this scale: </w:t>
      </w:r>
      <w:r>
        <w:rPr>
          <w:rFonts w:ascii="Arial" w:cs="Arial" w:eastAsia="Arial" w:hAnsi="Arial"/>
          <w:sz w:val="22"/>
          <w:szCs w:val="22"/>
        </w:rPr>
        <w:t xml:space="preserve">the ON DELETE CASCADE design, role-based access control, and encryption strategy documented in Section 3 show that responsible data handling is compatible with Learning Analytics research goals.</w:t>
      </w:r>
    </w:p>
    <w:p>
      <w:pPr>
        <w:spacing w:after="160"/>
      </w:pPr>
    </w:p>
    <w:p>
      <w:pPr>
        <w:pStyle w:val="Heading2"/>
        <w:spacing w:after="140" w:before="280"/>
      </w:pPr>
      <w:r>
        <w:rPr>
          <w:rFonts w:ascii="Arial" w:cs="Arial" w:eastAsia="Arial" w:hAnsi="Arial"/>
          <w:b/>
          <w:bCs/>
          <w:color w:val="0D7377"/>
          <w:sz w:val="26"/>
          <w:szCs w:val="26"/>
        </w:rPr>
        <w:t xml:space="preserve">Potential Extensions of This Research</w:t>
      </w:r>
    </w:p>
    <w:p>
      <w:pPr>
        <w:pStyle w:val="Heading3"/>
        <w:spacing w:after="100" w:before="200"/>
      </w:pPr>
      <w:r>
        <w:rPr>
          <w:rFonts w:ascii="Arial" w:cs="Arial" w:eastAsia="Arial" w:hAnsi="Arial"/>
          <w:b/>
          <w:bCs/>
          <w:color w:val="1B3A6B"/>
          <w:sz w:val="24"/>
          <w:szCs w:val="24"/>
        </w:rPr>
        <w:t xml:space="preserve">Short-term (same dataset)</w:t>
      </w:r>
    </w:p>
    <w:p>
      <w:pPr>
        <w:pStyle w:val="ListParagraph"/>
        <w:numPr>
          <w:ilvl w:val="0"/>
          <w:numId w:val="2"/>
        </w:numPr>
        <w:spacing w:after="80"/>
      </w:pPr>
      <w:r>
        <w:rPr>
          <w:rFonts w:ascii="Arial" w:cs="Arial" w:eastAsia="Arial" w:hAnsi="Arial"/>
          <w:sz w:val="22"/>
          <w:szCs w:val="22"/>
        </w:rPr>
        <w:t xml:space="preserve">Correlation analysis within students over time: calculate Pearson or Spearman correlations between daily sleep duration and grade outcomes at the next assessment, per student.</w:t>
      </w:r>
    </w:p>
    <w:p>
      <w:pPr>
        <w:pStyle w:val="ListParagraph"/>
        <w:numPr>
          <w:ilvl w:val="0"/>
          <w:numId w:val="2"/>
        </w:numPr>
        <w:spacing w:after="80"/>
      </w:pPr>
      <w:r>
        <w:rPr>
          <w:rFonts w:ascii="Arial" w:cs="Arial" w:eastAsia="Arial" w:hAnsi="Arial"/>
          <w:sz w:val="22"/>
          <w:szCs w:val="22"/>
        </w:rPr>
        <w:t xml:space="preserve">Predictive modelling: train a simple regression model to predict exam grade from the 7-day pre-exam averages of sleep, activity, and recovery score. With three students and 15 exams each, the model would be illustrative only — but the pipeline infrastructure is already in place.</w:t>
      </w:r>
    </w:p>
    <w:p>
      <w:pPr>
        <w:pStyle w:val="ListParagraph"/>
        <w:numPr>
          <w:ilvl w:val="0"/>
          <w:numId w:val="2"/>
        </w:numPr>
        <w:spacing w:after="80"/>
      </w:pPr>
      <w:r>
        <w:rPr>
          <w:rFonts w:ascii="Arial" w:cs="Arial" w:eastAsia="Arial" w:hAnsi="Arial"/>
          <w:sz w:val="22"/>
          <w:szCs w:val="22"/>
        </w:rPr>
        <w:t xml:space="preserve">Time-of-day analysis: the WHOOP workout timestamps enable analysis of whether morning vs evening exercise is associated with different sleep quality outcomes.</w:t>
      </w:r>
    </w:p>
    <w:p>
      <w:pPr>
        <w:spacing w:after="80"/>
      </w:pPr>
    </w:p>
    <w:p>
      <w:pPr>
        <w:pStyle w:val="Heading3"/>
        <w:spacing w:after="100" w:before="200"/>
      </w:pPr>
      <w:r>
        <w:rPr>
          <w:rFonts w:ascii="Arial" w:cs="Arial" w:eastAsia="Arial" w:hAnsi="Arial"/>
          <w:b/>
          <w:bCs/>
          <w:color w:val="1B3A6B"/>
          <w:sz w:val="24"/>
          <w:szCs w:val="24"/>
        </w:rPr>
        <w:t xml:space="preserve">Medium-term (expanded dataset)</w:t>
      </w:r>
    </w:p>
    <w:p>
      <w:pPr>
        <w:pStyle w:val="ListParagraph"/>
        <w:numPr>
          <w:ilvl w:val="0"/>
          <w:numId w:val="2"/>
        </w:numPr>
        <w:spacing w:after="80"/>
      </w:pPr>
      <w:r>
        <w:rPr>
          <w:rFonts w:ascii="Arial" w:cs="Arial" w:eastAsia="Arial" w:hAnsi="Arial"/>
          <w:sz w:val="22"/>
          <w:szCs w:val="22"/>
        </w:rPr>
        <w:t xml:space="preserve">Scale to 20–30 students: a cohort of this size would enable within-student analysis across semesters and provide sufficient statistical power for correlation testing.</w:t>
      </w:r>
    </w:p>
    <w:p>
      <w:pPr>
        <w:pStyle w:val="ListParagraph"/>
        <w:numPr>
          <w:ilvl w:val="0"/>
          <w:numId w:val="2"/>
        </w:numPr>
        <w:spacing w:after="80"/>
      </w:pPr>
      <w:r>
        <w:rPr>
          <w:rFonts w:ascii="Arial" w:cs="Arial" w:eastAsia="Arial" w:hAnsi="Arial"/>
          <w:sz w:val="22"/>
          <w:szCs w:val="22"/>
        </w:rPr>
        <w:t xml:space="preserve">Add calendar and scheduling data: integrating class schedules and assignment deadlines would allow analysis of whether students who maintain consistent habits under deadline pressure outperform those who sacrifice sleep or exercise during high-workload weeks.</w:t>
      </w:r>
    </w:p>
    <w:p>
      <w:pPr>
        <w:pStyle w:val="ListParagraph"/>
        <w:numPr>
          <w:ilvl w:val="0"/>
          <w:numId w:val="2"/>
        </w:numPr>
        <w:spacing w:after="80"/>
      </w:pPr>
      <w:r>
        <w:rPr>
          <w:rFonts w:ascii="Arial" w:cs="Arial" w:eastAsia="Arial" w:hAnsi="Arial"/>
          <w:sz w:val="22"/>
          <w:szCs w:val="22"/>
        </w:rPr>
        <w:t xml:space="preserve">Longitudinal tracking: extending the observation period beyond one semester would allow analysis of whether lifestyle habits change as academic difficulty increases, and whether early intervention (triggered by declining recovery scores or sleep duration) could prevent grade drops.</w:t>
      </w:r>
    </w:p>
    <w:p>
      <w:pPr>
        <w:spacing w:after="80"/>
      </w:pPr>
    </w:p>
    <w:p>
      <w:pPr>
        <w:pStyle w:val="Heading3"/>
        <w:spacing w:after="100" w:before="200"/>
      </w:pPr>
      <w:r>
        <w:rPr>
          <w:rFonts w:ascii="Arial" w:cs="Arial" w:eastAsia="Arial" w:hAnsi="Arial"/>
          <w:b/>
          <w:bCs/>
          <w:color w:val="1B3A6B"/>
          <w:sz w:val="24"/>
          <w:szCs w:val="24"/>
        </w:rPr>
        <w:t xml:space="preserve">Long-term (system design implications)</w:t>
      </w:r>
    </w:p>
    <w:p>
      <w:pPr>
        <w:pStyle w:val="ListParagraph"/>
        <w:numPr>
          <w:ilvl w:val="0"/>
          <w:numId w:val="2"/>
        </w:numPr>
        <w:spacing w:after="80"/>
      </w:pPr>
      <w:r>
        <w:rPr>
          <w:rFonts w:ascii="Arial" w:cs="Arial" w:eastAsia="Arial" w:hAnsi="Arial"/>
          <w:sz w:val="22"/>
          <w:szCs w:val="22"/>
        </w:rPr>
        <w:t xml:space="preserve">Early warning system: a system that monitors WHOOP recovery scores in real time could flag students at risk of academic underperformance 1–2 weeks before an exam, enabling proactive tutoring or wellbeing support.</w:t>
      </w:r>
    </w:p>
    <w:p>
      <w:pPr>
        <w:pStyle w:val="ListParagraph"/>
        <w:numPr>
          <w:ilvl w:val="0"/>
          <w:numId w:val="2"/>
        </w:numPr>
        <w:spacing w:after="80"/>
      </w:pPr>
      <w:r>
        <w:rPr>
          <w:rFonts w:ascii="Arial" w:cs="Arial" w:eastAsia="Arial" w:hAnsi="Arial"/>
          <w:sz w:val="22"/>
          <w:szCs w:val="22"/>
        </w:rPr>
        <w:t xml:space="preserve">Personalised study scheduling: if a student's optimal cognitive performance window is correlated with specific sleep patterns or recovery levels, a Learning Design tool could recommend study session timing based on wearable data rather than generic scheduling advice.</w:t>
      </w:r>
    </w:p>
    <w:p>
      <w:pPr>
        <w:pStyle w:val="ListParagraph"/>
        <w:numPr>
          <w:ilvl w:val="0"/>
          <w:numId w:val="2"/>
        </w:numPr>
        <w:spacing w:after="80"/>
      </w:pPr>
      <w:r>
        <w:rPr>
          <w:rFonts w:ascii="Arial" w:cs="Arial" w:eastAsia="Arial" w:hAnsi="Arial"/>
          <w:sz w:val="22"/>
          <w:szCs w:val="22"/>
        </w:rPr>
        <w:t xml:space="preserve">Ethical data governance model: this project's architecture — where the student controls their own data, institutional access is minimised, and deletion is atomic — could serve as a reference design for the broader Comenius data governance framework.</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Data Engineering Contribution</w:t>
      </w:r>
    </w:p>
    <w:p>
      <w:pPr>
        <w:spacing w:after="120"/>
      </w:pPr>
      <w:r>
        <w:rPr>
          <w:rFonts w:ascii="Arial" w:cs="Arial" w:eastAsia="Arial" w:hAnsi="Arial"/>
          <w:sz w:val="22"/>
          <w:szCs w:val="22"/>
        </w:rPr>
        <w:t xml:space="preserve">Beyond the research findings, this project demonstrates several data engineering practices that are relevant to any Learning Analytics system combining heterogeneous personal data sources: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Practice</w:t>
            </w:r>
          </w:p>
        </w:tc>
        <w:tc>
          <w:tcPr>
            <w:tcW w:type="dxa" w:w="60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matters for Learning Analytics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Temporal granularity alignment</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Different sources (daily wearable, sub-daily nutrition, per-exam academic) must be aggregated to a common time window before analysis. The 7-day pre-exam window used in Q3–Q5 is the key design decision that makes cross-source comparison possible.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Informative missing data handling</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S003's missing nutrition days are not a data quality problem — they are a signal. Treating absence as information rather than filling it with averages preserves analytical validity.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Idempotent ETL pipeline</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Re-runnable scripts with ON CONFLICT DO NOTHING are essential for research pipelines where data is updated incrementally or re-exported from source apps.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GDPR by design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ON DELETE CASCADE, row-level security, and role separation are not compliance additions — they are architectural choices that make responsible data use the default path.</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Student-controlled data model</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The students table as the identity anchor, with full cascade deletion, embeds the principle of student data ownership into the schema itself.</w:t>
            </w:r>
          </w:p>
        </w:tc>
      </w:tr>
    </w:tbl>
    <w:p>
      <w:pPr>
        <w:spacing w:after="100"/>
      </w:pPr>
    </w:p>
    <w:p>
      <w:pPr>
        <w:spacing w:after="120"/>
        <w:jc w:val="center"/>
      </w:pPr>
      <w:r>
        <w:rPr>
          <w:rFonts w:ascii="Arial" w:cs="Arial" w:eastAsia="Arial" w:hAnsi="Arial"/>
          <w:i/>
          <w:iCs/>
          <w:color w:val="888888"/>
          <w:sz w:val="18"/>
          <w:szCs w:val="18"/>
        </w:rPr>
        <w:t xml:space="preserve">Table 7 — Data engineering practices and their relevance to Learning Analytics.</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Final Statement</w:t>
      </w:r>
    </w:p>
    <w:p>
      <w:pPr>
        <w:spacing w:after="120"/>
      </w:pPr>
      <w:r>
        <w:rPr>
          <w:rFonts w:ascii="Arial" w:cs="Arial" w:eastAsia="Arial" w:hAnsi="Arial"/>
          <w:sz w:val="22"/>
          <w:szCs w:val="22"/>
        </w:rPr>
        <w:t xml:space="preserve">This project set out to explore whether a responsible, student-centred personal data ecosystem could produce meaningful Learning Analytics insights. The answer, within the limits of a synthetic three-student prototype, is yes.</w:t>
      </w:r>
    </w:p>
    <w:p>
      <w:pPr>
        <w:spacing w:after="120"/>
      </w:pPr>
      <w:r>
        <w:rPr>
          <w:rFonts w:ascii="Arial" w:cs="Arial" w:eastAsia="Arial" w:hAnsi="Arial"/>
          <w:sz w:val="22"/>
          <w:szCs w:val="22"/>
        </w:rPr>
        <w:t xml:space="preserve">The technical infrastructure — a PostgreSQL database, a Python ETL pipeline, and five analytical queries — is functional, tested, and documented. The research findings, though not statistically generalisable, clearly illustrate the patterns that a larger implementation would be able to test rigorously: sleep, physical activity, nutrition, and academic performance co-vary in the same direction, and the combination of wearable and institutional data reveals dimensions of student life that neither source could expose alone.</w:t>
      </w:r>
    </w:p>
    <w:p>
      <w:pPr>
        <w:spacing w:after="120"/>
      </w:pPr>
      <w:r>
        <w:rPr>
          <w:rFonts w:ascii="Arial" w:cs="Arial" w:eastAsia="Arial" w:hAnsi="Arial"/>
          <w:sz w:val="22"/>
          <w:szCs w:val="22"/>
        </w:rPr>
        <w:t xml:space="preserve">The most important contribution of this work may not be the findings themselves, but the </w:t>
      </w:r>
      <w:r>
        <w:rPr>
          <w:rFonts w:ascii="Arial" w:cs="Arial" w:eastAsia="Arial" w:hAnsi="Arial"/>
          <w:b/>
          <w:bCs/>
          <w:sz w:val="22"/>
          <w:szCs w:val="22"/>
        </w:rPr>
        <w:t xml:space="preserve">demonstration that the data engineering is tractable</w:t>
      </w:r>
      <w:r>
        <w:rPr>
          <w:rFonts w:ascii="Arial" w:cs="Arial" w:eastAsia="Arial" w:hAnsi="Arial"/>
          <w:sz w:val="22"/>
          <w:szCs w:val="22"/>
        </w:rPr>
        <w:t xml:space="preserve">. Combining personal health data with academic records, handling heterogeneous temporal granularities, and doing so within a GDPR-compliant architecture is achievable with standard open-source tools. The barriers to Learning Analytics at this level of personalisation are less technical than they are organisational and ethical — which is precisely the space the Comenius project is designed to explore.</w:t>
      </w:r>
    </w:p>
    <w:p>
      <w:pPr>
        <w:spacing w:after="80"/>
      </w:pPr>
    </w:p>
    <w:p>
      <w:pPr>
        <w:spacing w:after="120"/>
        <w:jc w:val="center"/>
      </w:pPr>
      <w:r>
        <w:rPr>
          <w:rFonts w:ascii="Arial" w:cs="Arial" w:eastAsia="Arial" w:hAnsi="Arial"/>
          <w:i/>
          <w:iCs/>
          <w:color w:val="888888"/>
          <w:sz w:val="22"/>
          <w:szCs w:val="22"/>
        </w:rPr>
        <w:t xml:space="preserve">End of Final Report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spacing w:before="100"/>
      <w:jc w:val="center"/>
    </w:pPr>
    <w:r>
      <w:rPr>
        <w:rFonts w:ascii="Arial" w:cs="Arial" w:eastAsia="Arial" w:hAnsi="Arial"/>
        <w:color w:val="888888"/>
        <w:sz w:val="18"/>
        <w:szCs w:val="18"/>
      </w:rPr>
      <w:t xml:space="preserve">Confidential — Personal Data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2026-06-23T09:14:45.398Z</dcterms:created>
  <dcterms:modified xsi:type="dcterms:W3CDTF">2026-06-23T09:14:45.412Z</dcterms:modified>
</cp:coreProperties>
</file>

<file path=docProps/custom.xml><?xml version="1.0" encoding="utf-8"?>
<Properties xmlns="http://schemas.openxmlformats.org/officeDocument/2006/custom-properties" xmlns:vt="http://schemas.openxmlformats.org/officeDocument/2006/docPropsVTypes"/>
</file>