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216"/>
        <w:tblBorders>
          <w:top w:val="none"/>
          <w:left w:val="none"/>
          <w:bottom w:color="808080" w:space="0" w:sz="18" w:val="single"/>
          <w:insideH w:color="808080" w:space="0" w:sz="18" w:val="single"/>
          <w:right w:color="808080" w:space="0" w:sz="18" w:val="single"/>
          <w:insideV w:color="808080" w:space="0" w:sz="18" w:val="single"/>
        </w:tblBorders>
        <w:tblCellMar>
          <w:top w:type="dxa" w:w="216"/>
          <w:left w:type="dxa" w:w="216"/>
          <w:bottom w:type="dxa" w:w="216"/>
          <w:right w:type="dxa" w:w="216"/>
        </w:tblCellMar>
      </w:tblPr>
      <w:tblGrid>
        <w:gridCol w:w="3377"/>
        <w:gridCol w:w="6080"/>
      </w:tblGrid>
      <w:tr>
        <w:trPr>
          <w:cantSplit w:val="false"/>
        </w:trPr>
        <w:tc>
          <w:tcPr>
            <w:tcW w:type="dxa" w:w="3377"/>
            <w:tcBorders>
              <w:top w:val="none"/>
              <w:left w:val="none"/>
              <w:bottom w:color="808080" w:space="0" w:sz="18" w:val="single"/>
              <w:right w:color="808080" w:space="0" w:sz="18" w:val="single"/>
            </w:tcBorders>
            <w:shd w:fill="auto" w:val="clear"/>
            <w:vAlign w:val="center"/>
          </w:tcPr>
          <w:p>
            <w:pPr>
              <w:pStyle w:val="style0"/>
              <w:framePr w:h="23" w:hAnchor="page" w:hRule="exact" w:hSpace="0" w:vAnchor="page" w:vSpace="0" w:w="9458" w:wrap="around" w:xAlign="center" w:yAlign="center"/>
              <w:pBdr>
                <w:top w:val="none"/>
                <w:left w:val="none"/>
                <w:bottom w:val="none"/>
                <w:insideH w:val="none"/>
                <w:right w:val="none"/>
                <w:insideV w:val="none"/>
              </w:pBdr>
            </w:pPr>
            <w:bookmarkStart w:id="0" w:name="__UnoMark__17_1793340474"/>
            <w:bookmarkEnd w:id="0"/>
            <w:r>
              <w:rPr>
                <w:rFonts w:ascii="Cambria" w:cs="" w:hAnsi="Cambria"/>
                <w:color w:val="17365D"/>
                <w:spacing w:val="5"/>
                <w:sz w:val="52"/>
                <w:szCs w:val="52"/>
              </w:rPr>
              <w:t>Konsep WEB SEC</w:t>
            </w:r>
          </w:p>
        </w:tc>
        <w:tc>
          <w:tcPr>
            <w:tcW w:type="dxa" w:w="6080"/>
            <w:gridSpan w:val="2"/>
            <w:tcBorders>
              <w:top w:val="none"/>
              <w:left w:color="808080" w:space="0" w:sz="18" w:val="single"/>
              <w:bottom w:color="808080" w:space="0" w:sz="18" w:val="single"/>
              <w:right w:val="none"/>
            </w:tcBorders>
            <w:shd w:fill="auto" w:val="clear"/>
            <w:tcMar>
              <w:left w:type="dxa" w:w="193"/>
            </w:tcMar>
            <w:vAlign w:val="center"/>
          </w:tcPr>
          <w:p>
            <w:pPr>
              <w:pStyle w:val="style0"/>
              <w:framePr w:h="23" w:hAnchor="page" w:hRule="exact" w:hSpace="0" w:vAnchor="page" w:vSpace="0" w:w="9458" w:wrap="around" w:xAlign="center" w:yAlign="center"/>
              <w:pBdr>
                <w:top w:val="none"/>
                <w:left w:val="none"/>
                <w:bottom w:val="none"/>
                <w:insideH w:val="none"/>
                <w:right w:val="none"/>
                <w:insideV w:val="none"/>
              </w:pBdr>
            </w:pPr>
            <w:bookmarkStart w:id="1" w:name="__UnoMark__18_1793340474"/>
            <w:bookmarkEnd w:id="1"/>
            <w:r>
              <w:rPr>
                <w:rFonts w:ascii="Cambria" w:cs="" w:hAnsi="Cambria"/>
                <w:sz w:val="36"/>
                <w:szCs w:val="36"/>
              </w:rPr>
              <w:t>January 12</w:t>
            </w:r>
          </w:p>
          <w:p>
            <w:pPr>
              <w:pStyle w:val="style0"/>
              <w:framePr w:h="23" w:hAnchor="page" w:hRule="exact" w:hSpace="0" w:vAnchor="page" w:vSpace="0" w:w="9458" w:wrap="around" w:xAlign="center" w:yAlign="center"/>
              <w:pBdr>
                <w:top w:val="none"/>
                <w:left w:val="none"/>
                <w:bottom w:val="none"/>
                <w:insideH w:val="none"/>
                <w:right w:val="none"/>
                <w:insideV w:val="none"/>
              </w:pBdr>
            </w:pPr>
            <w:bookmarkStart w:id="2" w:name="__UnoMark__19_1793340474"/>
            <w:bookmarkEnd w:id="2"/>
            <w:r>
              <w:rPr>
                <w:color w:val="4F81BD"/>
                <w:sz w:val="200"/>
                <w:szCs w:val="200"/>
              </w:rPr>
              <w:t>2015</w:t>
            </w:r>
          </w:p>
        </w:tc>
      </w:tr>
      <w:tr>
        <w:trPr>
          <w:cantSplit w:val="false"/>
        </w:trPr>
        <w:tc>
          <w:tcPr>
            <w:tcW w:type="dxa" w:w="6764"/>
            <w:gridSpan w:val="2"/>
            <w:tcBorders>
              <w:top w:color="808080" w:space="0" w:sz="18" w:val="single"/>
              <w:left w:val="none"/>
              <w:bottom w:val="none"/>
              <w:right w:val="none"/>
            </w:tcBorders>
            <w:shd w:fill="auto" w:val="clear"/>
            <w:vAlign w:val="center"/>
          </w:tcPr>
          <w:p>
            <w:pPr>
              <w:pStyle w:val="style0"/>
              <w:framePr w:h="23" w:hAnchor="page" w:hRule="exact" w:hSpace="0" w:vAnchor="page" w:vSpace="0" w:w="9458" w:wrap="around" w:xAlign="center" w:yAlign="center"/>
              <w:pBdr>
                <w:top w:val="none"/>
                <w:left w:val="none"/>
                <w:bottom w:val="none"/>
                <w:insideH w:val="none"/>
                <w:right w:val="none"/>
                <w:insideV w:val="none"/>
              </w:pBdr>
            </w:pPr>
            <w:bookmarkStart w:id="3" w:name="__UnoMark__20_1793340474"/>
            <w:bookmarkStart w:id="4" w:name="__UnoMark__21_1793340474"/>
            <w:bookmarkEnd w:id="3"/>
            <w:bookmarkEnd w:id="4"/>
            <w:r>
              <w:rPr>
                <w:rFonts w:ascii="Cambria" w:hAnsi="Cambria"/>
                <w:lang w:val="id-ID"/>
              </w:rPr>
              <w:t>Media komunikasi antar anggota Sawiran Entrepreneur Community</w:t>
            </w:r>
          </w:p>
        </w:tc>
        <w:tc>
          <w:tcPr>
            <w:tcW w:type="dxa" w:w="2693"/>
            <w:tcBorders>
              <w:top w:color="808080" w:space="0" w:sz="18" w:val="single"/>
              <w:left w:val="none"/>
              <w:bottom w:val="none"/>
              <w:right w:val="none"/>
            </w:tcBorders>
            <w:shd w:fill="auto" w:val="clear"/>
            <w:vAlign w:val="center"/>
          </w:tcPr>
          <w:p>
            <w:pPr>
              <w:pStyle w:val="style0"/>
              <w:framePr w:h="23" w:hAnchor="page" w:hRule="exact" w:hSpace="0" w:vAnchor="page" w:vSpace="0" w:w="9458" w:wrap="around" w:xAlign="center" w:yAlign="center"/>
              <w:pBdr>
                <w:top w:val="none"/>
                <w:left w:val="none"/>
                <w:bottom w:val="none"/>
                <w:insideH w:val="none"/>
                <w:right w:val="none"/>
                <w:insideV w:val="none"/>
              </w:pBdr>
            </w:pPr>
            <w:bookmarkStart w:id="5" w:name="__UnoMark__22_1793340474"/>
            <w:bookmarkEnd w:id="5"/>
            <w:r>
              <w:rPr>
                <w:rFonts w:ascii="Forte" w:cs="" w:hAnsi="Forte"/>
                <w:sz w:val="36"/>
                <w:szCs w:val="36"/>
                <w:lang w:val="id-ID"/>
              </w:rPr>
              <w:t>RnD Tim</w:t>
            </w:r>
          </w:p>
        </w:tc>
      </w:tr>
    </w:tbl>
    <w:p>
      <w:pPr>
        <w:sectPr>
          <w:type w:val="nextPage"/>
          <w:pgSz w:h="16838" w:w="11906"/>
          <w:pgMar w:bottom="708" w:footer="0" w:gutter="0" w:header="0" w:left="1440" w:right="1440" w:top="1440"/>
          <w:pgNumType w:fmt="decimal"/>
          <w:formProt w:val="false"/>
          <w:titlePg/>
          <w:textDirection w:val="lrTb"/>
          <w:docGrid w:charSpace="4096" w:linePitch="360" w:type="default"/>
        </w:sectPr>
        <w:pStyle w:val="style0"/>
      </w:pPr>
      <w:r>
        <w:rPr>
          <w:rFonts w:ascii="Cambria" w:hAnsi="Cambria"/>
        </w:rPr>
      </w:r>
    </w:p>
    <w:p>
      <w:pPr>
        <w:pStyle w:val="style1"/>
        <w:pageBreakBefore/>
      </w:pPr>
      <w:r>
        <w:rPr/>
        <w:t>Pengantar</w:t>
      </w:r>
    </w:p>
    <w:p>
      <w:pPr>
        <w:pStyle w:val="style0"/>
      </w:pPr>
      <w:r>
        <w:rPr>
          <w:rFonts w:ascii="Cambria" w:hAnsi="Cambria"/>
        </w:rPr>
        <w:t>Sebagai lembaga yang dimiliki oleh anggota, CU Sawiran mempunyai kewajiban untuk mengembangkan anggotanya. Baik dari sisi pemikiran, kapasitas maupun taraf hidup anggotanya. Dengan konsep Credit Union dimana lembaga ini adalah sebuah gerakan yang dipicu oleh nilai nilai kemanusiaan diantaranya:</w:t>
      </w:r>
    </w:p>
    <w:p>
      <w:pPr>
        <w:pStyle w:val="style34"/>
        <w:numPr>
          <w:ilvl w:val="0"/>
          <w:numId w:val="11"/>
        </w:numPr>
      </w:pPr>
      <w:r>
        <w:rPr>
          <w:rFonts w:ascii="Cambria" w:hAnsi="Cambria"/>
        </w:rPr>
        <w:t>Memenuhi kebutuhan anggota</w:t>
      </w:r>
    </w:p>
    <w:p>
      <w:pPr>
        <w:pStyle w:val="style34"/>
        <w:numPr>
          <w:ilvl w:val="0"/>
          <w:numId w:val="11"/>
        </w:numPr>
      </w:pPr>
      <w:r>
        <w:rPr>
          <w:rFonts w:ascii="Cambria" w:hAnsi="Cambria"/>
        </w:rPr>
        <w:t>Meningkatkan kualitas kehidupan anggota dan masyarakat luas</w:t>
      </w:r>
    </w:p>
    <w:p>
      <w:pPr>
        <w:pStyle w:val="style34"/>
        <w:numPr>
          <w:ilvl w:val="0"/>
          <w:numId w:val="11"/>
        </w:numPr>
      </w:pPr>
      <w:r>
        <w:rPr>
          <w:rFonts w:ascii="Cambria" w:hAnsi="Cambria"/>
        </w:rPr>
        <w:t>Meninggikan harkat dan martabat anggota dan masyarakat luas</w:t>
      </w:r>
    </w:p>
    <w:p>
      <w:pPr>
        <w:pStyle w:val="style34"/>
        <w:numPr>
          <w:ilvl w:val="0"/>
          <w:numId w:val="11"/>
        </w:numPr>
      </w:pPr>
      <w:r>
        <w:rPr>
          <w:rFonts w:ascii="Cambria" w:hAnsi="Cambria"/>
        </w:rPr>
        <w:t xml:space="preserve">Memperjuangkan kesejahteraan sosial dan ekonomi </w:t>
      </w:r>
    </w:p>
    <w:p>
      <w:pPr>
        <w:pStyle w:val="style0"/>
      </w:pPr>
      <w:r>
        <w:rPr>
          <w:rFonts w:ascii="Cambria" w:hAnsi="Cambria"/>
        </w:rPr>
        <w:t>Mewajibkan adanya gotong royong yang sejati untuk saling berbagi pemikiran, ide, jalan bagi perkembangan anggota yang berada dalam gerakan ini.</w:t>
      </w:r>
    </w:p>
    <w:p>
      <w:pPr>
        <w:pStyle w:val="style0"/>
      </w:pPr>
      <w:r>
        <w:rPr>
          <w:rFonts w:ascii="Cambria" w:hAnsi="Cambria"/>
        </w:rPr>
        <w:t>Namun tanpa adanya alat bantu yang bisa diakses oleh setiap anggota, maka akan sulit untuk mewujudkan gotong royong antar anggota. Hal inilah yang melatarbelakangi pembuatan Web SEC, sebagai alat untuk menghubungkan setiap orang tanpa dibatasi jarak dan waktu untuk bergotong royong, bersolidaritas, berbagi ilmu kepada anggota dan masyarakat luas untuk mewujudkan kehidupan berswadaya dan kesejahteraan yang lebih baik dengan dasar yang sangat jelas yaitu pendidikan dan inovasi.</w:t>
      </w:r>
    </w:p>
    <w:p>
      <w:pPr>
        <w:pStyle w:val="style1"/>
      </w:pPr>
      <w:r>
        <w:rPr/>
        <w:t>Nama Domain</w:t>
      </w:r>
    </w:p>
    <w:p>
      <w:pPr>
        <w:pStyle w:val="style0"/>
      </w:pPr>
      <w:hyperlink r:id="rId2">
        <w:r>
          <w:rPr>
            <w:rStyle w:val="style20"/>
            <w:rFonts w:ascii="Cambria" w:hAnsi="Cambria"/>
          </w:rPr>
          <w:t>www.SEC.org</w:t>
        </w:r>
      </w:hyperlink>
    </w:p>
    <w:p>
      <w:pPr>
        <w:pStyle w:val="style1"/>
      </w:pPr>
      <w:r>
        <w:rPr/>
        <w:t>Otoritas  Web</w:t>
      </w:r>
    </w:p>
    <w:p>
      <w:pPr>
        <w:pStyle w:val="style34"/>
        <w:numPr>
          <w:ilvl w:val="0"/>
          <w:numId w:val="4"/>
        </w:numPr>
      </w:pPr>
      <w:r>
        <w:rPr>
          <w:rFonts w:ascii="Cambria" w:hAnsi="Cambria"/>
        </w:rPr>
        <w:t>Super Admin</w:t>
      </w:r>
    </w:p>
    <w:p>
      <w:pPr>
        <w:pStyle w:val="style34"/>
      </w:pPr>
      <w:r>
        <w:rPr>
          <w:rFonts w:ascii="Cambria" w:hAnsi="Cambria"/>
        </w:rPr>
        <w:t>Memiliki semua akses dalam web.</w:t>
      </w:r>
    </w:p>
    <w:p>
      <w:pPr>
        <w:pStyle w:val="style34"/>
        <w:numPr>
          <w:ilvl w:val="0"/>
          <w:numId w:val="15"/>
        </w:numPr>
      </w:pPr>
      <w:r>
        <w:rPr>
          <w:rFonts w:ascii="Cambria" w:hAnsi="Cambria"/>
        </w:rPr>
        <w:t>FX Andi Sutrisno</w:t>
        <w:tab/>
        <w:tab/>
        <w:t xml:space="preserve">: </w:t>
      </w:r>
    </w:p>
    <w:p>
      <w:pPr>
        <w:pStyle w:val="style34"/>
        <w:numPr>
          <w:ilvl w:val="0"/>
          <w:numId w:val="15"/>
        </w:numPr>
      </w:pPr>
      <w:r>
        <w:rPr>
          <w:rFonts w:ascii="Cambria" w:hAnsi="Cambria"/>
        </w:rPr>
        <w:t>Yohana Maria Tatik</w:t>
        <w:tab/>
        <w:t>: mariatatik@yahoo.com</w:t>
      </w:r>
    </w:p>
    <w:p>
      <w:pPr>
        <w:pStyle w:val="style34"/>
        <w:numPr>
          <w:ilvl w:val="0"/>
          <w:numId w:val="4"/>
        </w:numPr>
      </w:pPr>
      <w:r>
        <w:rPr>
          <w:rFonts w:ascii="Cambria" w:hAnsi="Cambria"/>
        </w:rPr>
        <w:t>Admin</w:t>
      </w:r>
    </w:p>
    <w:p>
      <w:pPr>
        <w:pStyle w:val="style34"/>
      </w:pPr>
      <w:r>
        <w:rPr>
          <w:rFonts w:ascii="Cambria" w:hAnsi="Cambria"/>
        </w:rPr>
        <w:t>Akses terbatas hanya untuk aproval pendaftaran anggota SEC dan artikel.</w:t>
      </w:r>
    </w:p>
    <w:p>
      <w:pPr>
        <w:pStyle w:val="style34"/>
        <w:numPr>
          <w:ilvl w:val="0"/>
          <w:numId w:val="16"/>
        </w:numPr>
      </w:pPr>
      <w:r>
        <w:rPr>
          <w:rFonts w:ascii="Cambria" w:hAnsi="Cambria"/>
        </w:rPr>
        <w:t>Admin</w:t>
        <w:tab/>
        <w:tab/>
        <w:tab/>
        <w:t>:</w:t>
      </w:r>
    </w:p>
    <w:p>
      <w:pPr>
        <w:pStyle w:val="style1"/>
      </w:pPr>
      <w:r>
        <w:rPr/>
        <w:t>Konsep Web</w:t>
      </w:r>
    </w:p>
    <w:p>
      <w:pPr>
        <w:pStyle w:val="style0"/>
      </w:pPr>
      <w:r>
        <w:rPr>
          <w:rFonts w:ascii="Cambria" w:hAnsi="Cambria"/>
        </w:rPr>
        <w:t>Web dibuat dengan elegant, dengan dominan warna biru sebagai warna kebesaran CU Sawiran, dengan warna kuning keemasan (dasar warna CU Sawiran).</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1"/>
      </w:pPr>
      <w:r>
        <w:rPr/>
        <w:t>Akses atas Web SEC</w:t>
      </w:r>
    </w:p>
    <w:p>
      <w:pPr>
        <w:pStyle w:val="style34"/>
        <w:numPr>
          <w:ilvl w:val="0"/>
          <w:numId w:val="5"/>
        </w:numPr>
      </w:pPr>
      <w:r>
        <w:rPr>
          <w:rFonts w:ascii="Cambria" w:hAnsi="Cambria"/>
        </w:rPr>
        <w:t>Anggota SEC</w:t>
      </w:r>
    </w:p>
    <w:p>
      <w:pPr>
        <w:pStyle w:val="style34"/>
      </w:pPr>
      <w:r>
        <w:rPr>
          <w:rFonts w:ascii="Cambria" w:hAnsi="Cambria"/>
        </w:rPr>
        <w:t>Anggota SEC adalah anggota CU Sawiran yang telah terdaftar secara resmi dalam gerakan SEC. Anggota SEC mempunyai akses penuh untuk melihat dan berinteraksi dalam web dengan terlebih dahulu masuk/ login dengan screening Nomor Buku Anggota CU Sawiran.</w:t>
      </w:r>
    </w:p>
    <w:p>
      <w:pPr>
        <w:pStyle w:val="style34"/>
        <w:numPr>
          <w:ilvl w:val="0"/>
          <w:numId w:val="5"/>
        </w:numPr>
      </w:pPr>
      <w:r>
        <w:rPr>
          <w:rFonts w:ascii="Cambria" w:hAnsi="Cambria"/>
        </w:rPr>
        <w:t>Masyarakat umum</w:t>
      </w:r>
    </w:p>
    <w:p>
      <w:pPr>
        <w:pStyle w:val="style34"/>
      </w:pPr>
      <w:r>
        <w:rPr>
          <w:rFonts w:ascii="Cambria" w:hAnsi="Cambria"/>
        </w:rPr>
        <w:t>Masyarakat umum adalah orang diluar anggota SEC/ hanya pemerhati dimana hanya bisa melihat homepage awal saja</w:t>
      </w:r>
    </w:p>
    <w:p>
      <w:pPr>
        <w:pStyle w:val="style1"/>
      </w:pPr>
      <w:r>
        <w:rPr/>
        <w:t>Header</w:t>
      </w:r>
    </w:p>
    <w:p>
      <w:pPr>
        <w:pStyle w:val="style34"/>
        <w:numPr>
          <w:ilvl w:val="0"/>
          <w:numId w:val="1"/>
        </w:numPr>
      </w:pPr>
      <w:r>
        <w:rPr>
          <w:rFonts w:ascii="Cambria" w:hAnsi="Cambria"/>
        </w:rPr>
        <w:t>Logo SEC</w:t>
      </w:r>
    </w:p>
    <w:p>
      <w:pPr>
        <w:pStyle w:val="style34"/>
        <w:numPr>
          <w:ilvl w:val="0"/>
          <w:numId w:val="1"/>
        </w:numPr>
      </w:pPr>
      <w:r>
        <w:rPr>
          <w:rFonts w:ascii="Cambria" w:hAnsi="Cambria"/>
        </w:rPr>
        <w:t xml:space="preserve">Motto SEC : </w:t>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8522"/>
      </w:tblGrid>
      <w:tr>
        <w:trPr>
          <w:cantSplit w:val="false"/>
        </w:trPr>
        <w:tc>
          <w:tcPr>
            <w:tcW w:type="dxa" w:w="8522"/>
            <w:tcBorders>
              <w:top w:val="none"/>
              <w:left w:val="none"/>
              <w:bottom w:val="none"/>
              <w:right w:val="none"/>
            </w:tcBorders>
            <w:shd w:fill="auto" w:val="clear"/>
          </w:tcPr>
          <w:p>
            <w:pPr>
              <w:pStyle w:val="style34"/>
              <w:spacing w:after="200" w:before="0"/>
              <w:ind w:hanging="0" w:left="0" w:right="0"/>
              <w:contextualSpacing/>
            </w:pPr>
            <w:r>
              <w:rPr>
                <w:rFonts w:ascii="Cambria" w:hAnsi="Cambria"/>
              </w:rPr>
              <w:t>“</w:t>
            </w:r>
            <w:r>
              <w:rPr>
                <w:rFonts w:ascii="Cambria" w:hAnsi="Cambria"/>
              </w:rPr>
              <w:t>Solusi cerdas untuk berkembang dan berbagi”</w:t>
            </w:r>
          </w:p>
        </w:tc>
      </w:tr>
    </w:tbl>
    <w:p>
      <w:pPr>
        <w:pStyle w:val="style34"/>
        <w:numPr>
          <w:ilvl w:val="0"/>
          <w:numId w:val="1"/>
        </w:numPr>
      </w:pPr>
      <w:r>
        <w:rPr>
          <w:rFonts w:ascii="Cambria" w:hAnsi="Cambria"/>
        </w:rPr>
        <w:t>Gambar:</w:t>
      </w:r>
    </w:p>
    <w:p>
      <w:pPr>
        <w:pStyle w:val="style34"/>
      </w:pPr>
      <w:r>
        <w:rPr/>
        <w:drawing>
          <wp:inline distB="0" distL="0" distR="0" distT="0">
            <wp:extent cx="5728970" cy="5299710"/>
            <wp:effectExtent b="0" l="0" r="0" t="0"/>
            <wp:docPr descr="DSC_1679.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SC_1679.JPG" id="0" name="Picture"/>
                    <pic:cNvPicPr>
                      <a:picLocks noChangeArrowheads="1" noChangeAspect="1"/>
                    </pic:cNvPicPr>
                  </pic:nvPicPr>
                  <pic:blipFill>
                    <a:blip r:embed="rId3"/>
                    <a:srcRect/>
                    <a:stretch>
                      <a:fillRect/>
                    </a:stretch>
                  </pic:blipFill>
                  <pic:spPr bwMode="auto">
                    <a:xfrm>
                      <a:off x="0" y="0"/>
                      <a:ext cx="5728970" cy="5299710"/>
                    </a:xfrm>
                    <a:prstGeom prst="rect">
                      <a:avLst/>
                    </a:prstGeom>
                    <a:noFill/>
                    <a:ln w="9525">
                      <a:noFill/>
                      <a:miter lim="800000"/>
                      <a:headEnd/>
                      <a:tailEnd/>
                    </a:ln>
                  </pic:spPr>
                </pic:pic>
              </a:graphicData>
            </a:graphic>
          </wp:inline>
        </w:drawing>
      </w:r>
    </w:p>
    <w:p>
      <w:pPr>
        <w:pStyle w:val="style1"/>
      </w:pPr>
      <w:r>
        <w:rPr/>
        <w:t>Menu</w:t>
      </w:r>
    </w:p>
    <w:p>
      <w:pPr>
        <w:pStyle w:val="style34"/>
        <w:numPr>
          <w:ilvl w:val="0"/>
          <w:numId w:val="2"/>
        </w:numPr>
      </w:pPr>
      <w:r>
        <w:rPr>
          <w:rFonts w:ascii="Cambria" w:hAnsi="Cambria"/>
          <w:b/>
        </w:rPr>
        <w:t>Home</w:t>
      </w:r>
    </w:p>
    <w:p>
      <w:pPr>
        <w:pStyle w:val="style34"/>
        <w:numPr>
          <w:ilvl w:val="0"/>
          <w:numId w:val="3"/>
        </w:numPr>
      </w:pPr>
      <w:r>
        <w:rPr>
          <w:rFonts w:ascii="Cambria" w:hAnsi="Cambria"/>
        </w:rPr>
        <w:t xml:space="preserve">Profil organisasi SEC </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374"/>
      </w:tblGrid>
      <w:tr>
        <w:trPr>
          <w:trHeight w:hRule="atLeast" w:val="6292"/>
          <w:cantSplit w:val="false"/>
        </w:trPr>
        <w:tc>
          <w:tcPr>
            <w:tcW w:type="dxa" w:w="9374"/>
            <w:tcBorders>
              <w:top w:val="none"/>
              <w:left w:val="none"/>
              <w:bottom w:val="none"/>
              <w:right w:val="none"/>
            </w:tcBorders>
            <w:shd w:fill="auto" w:val="clear"/>
          </w:tcPr>
          <w:p>
            <w:pPr>
              <w:pStyle w:val="style1"/>
              <w:keepNext/>
              <w:keepLines/>
              <w:spacing w:after="0" w:before="480"/>
              <w:contextualSpacing w:val="false"/>
            </w:pPr>
            <w:r>
              <w:rPr>
                <w:rStyle w:val="style23"/>
                <w:b/>
              </w:rPr>
              <w:t>Dasar Pemikiran Organisasi SEC</w:t>
            </w:r>
          </w:p>
          <w:p>
            <w:pPr>
              <w:pStyle w:val="style1"/>
            </w:pPr>
            <w:r>
              <w:rPr>
                <w:rStyle w:val="style23"/>
                <w:b/>
              </w:rPr>
              <w:t xml:space="preserve">Visi </w:t>
            </w:r>
          </w:p>
          <w:p>
            <w:pPr>
              <w:pStyle w:val="style36"/>
              <w:spacing w:line="276" w:lineRule="auto"/>
            </w:pPr>
            <w:r>
              <w:rPr>
                <w:rFonts w:ascii="Cambria" w:cs="Courier New" w:hAnsi="Cambria"/>
              </w:rPr>
              <w:t>“</w:t>
            </w:r>
            <w:r>
              <w:rPr>
                <w:rFonts w:ascii="Cambria" w:cs="Courier New" w:hAnsi="Cambria"/>
              </w:rPr>
              <w:t>Menjadi lembaga keuangan yang berkualitas dan professional dalam meningkatkan kesejahteraan masyarakat dengan mengedepankan pemberdayaan perekonomian.”</w:t>
            </w:r>
          </w:p>
          <w:p>
            <w:pPr>
              <w:pStyle w:val="style1"/>
            </w:pPr>
            <w:r>
              <w:rPr>
                <w:rStyle w:val="style21"/>
                <w:color w:val="365F91"/>
                <w:sz w:val="56"/>
                <w:szCs w:val="56"/>
                <w:u w:val="none"/>
              </w:rPr>
              <w:t>Misi</w:t>
            </w:r>
          </w:p>
          <w:p>
            <w:pPr>
              <w:pStyle w:val="style36"/>
              <w:numPr>
                <w:ilvl w:val="0"/>
                <w:numId w:val="13"/>
              </w:numPr>
              <w:spacing w:line="276" w:lineRule="auto"/>
            </w:pPr>
            <w:r>
              <w:rPr>
                <w:rFonts w:ascii="Cambria" w:cs="Courier New" w:hAnsi="Cambria"/>
              </w:rPr>
              <w:t>Meningkatkan kualitas Lembaga, SDM, Anggota dalam menuju masyarakat yang bebas finansial</w:t>
            </w:r>
          </w:p>
          <w:p>
            <w:pPr>
              <w:pStyle w:val="style36"/>
              <w:numPr>
                <w:ilvl w:val="0"/>
                <w:numId w:val="13"/>
              </w:numPr>
              <w:spacing w:line="276" w:lineRule="auto"/>
            </w:pPr>
            <w:r>
              <w:rPr>
                <w:rFonts w:ascii="Cambria" w:cs="Courier New" w:hAnsi="Cambria"/>
              </w:rPr>
              <w:t>Meningkatkan kesejahteraan kesejahteraan masyarakat dengan memberikan pelayanan yang prima dan professional dalam menata perekonomian masyarakat</w:t>
            </w:r>
          </w:p>
          <w:p>
            <w:pPr>
              <w:pStyle w:val="style36"/>
              <w:numPr>
                <w:ilvl w:val="0"/>
                <w:numId w:val="13"/>
              </w:numPr>
              <w:spacing w:line="276" w:lineRule="auto"/>
            </w:pPr>
            <w:r>
              <w:rPr>
                <w:rFonts w:ascii="Cambria" w:cs="Courier New" w:hAnsi="Cambria"/>
              </w:rPr>
              <w:t>Mengajak masyarakat meningkatkan perekonomian dengan kekuatan yang ada dalam diri masyarakat dengan pengelolaan ekonomi</w:t>
            </w:r>
          </w:p>
          <w:p>
            <w:pPr>
              <w:pStyle w:val="style1"/>
            </w:pPr>
            <w:r>
              <w:rPr/>
              <w:t>Tujuan:</w:t>
            </w:r>
          </w:p>
          <w:p>
            <w:pPr>
              <w:pStyle w:val="style36"/>
              <w:numPr>
                <w:ilvl w:val="0"/>
                <w:numId w:val="14"/>
              </w:numPr>
              <w:spacing w:line="276" w:lineRule="auto"/>
            </w:pPr>
            <w:r>
              <w:rPr>
                <w:rFonts w:ascii="Cambria" w:cs="Courier New" w:hAnsi="Cambria"/>
                <w:lang w:val="id-ID"/>
              </w:rPr>
              <w:t>Meningkatkan kualitas SDM dengan pendidikan dan transfer ilmu yang dilakukan oleh anggota, untuk anggota dan dari anggota SEC sendiri.</w:t>
            </w:r>
          </w:p>
          <w:p>
            <w:pPr>
              <w:pStyle w:val="style36"/>
              <w:numPr>
                <w:ilvl w:val="0"/>
                <w:numId w:val="14"/>
              </w:numPr>
              <w:spacing w:line="276" w:lineRule="auto"/>
            </w:pPr>
            <w:r>
              <w:rPr>
                <w:rFonts w:ascii="Cambria" w:cs="Courier New" w:hAnsi="Cambria"/>
                <w:lang w:val="id-ID"/>
              </w:rPr>
              <w:t>Saling memberikan informasi antar anggota SEC yang berkaitan dengan usaha, pemikiran, inovasi, teknologi dll.</w:t>
            </w:r>
          </w:p>
          <w:p>
            <w:pPr>
              <w:pStyle w:val="style36"/>
              <w:numPr>
                <w:ilvl w:val="0"/>
                <w:numId w:val="14"/>
              </w:numPr>
              <w:spacing w:line="276" w:lineRule="auto"/>
            </w:pPr>
            <w:r>
              <w:rPr>
                <w:rFonts w:ascii="Cambria" w:cs="Courier New" w:hAnsi="Cambria"/>
                <w:lang w:val="id-ID"/>
              </w:rPr>
              <w:t>Membuat koneksi antar anggota sehingga menjadikan lingkaran kekuatan ekonomi, pendidikan, dan budaya demi kesejahteraan yang lebih baik.</w:t>
            </w:r>
          </w:p>
          <w:p>
            <w:pPr>
              <w:pStyle w:val="style36"/>
              <w:numPr>
                <w:ilvl w:val="0"/>
                <w:numId w:val="14"/>
              </w:numPr>
              <w:spacing w:line="276" w:lineRule="auto"/>
            </w:pPr>
            <w:r>
              <w:rPr>
                <w:rFonts w:ascii="Cambria" w:cs="Courier New" w:hAnsi="Cambria"/>
                <w:lang w:val="id-ID"/>
              </w:rPr>
              <w:t>Mengimplementasikan 4 pilar gerakan Credit Union yaitu pendidikan, swadaya, solidaritas dan inovasi.</w:t>
            </w:r>
          </w:p>
          <w:p>
            <w:pPr>
              <w:pStyle w:val="style34"/>
              <w:spacing w:after="200" w:before="0"/>
              <w:ind w:hanging="0" w:left="0" w:right="0"/>
              <w:contextualSpacing/>
            </w:pPr>
            <w:r>
              <w:rPr>
                <w:rFonts w:ascii="Cambria" w:hAnsi="Cambria"/>
              </w:rPr>
            </w:r>
          </w:p>
        </w:tc>
      </w:tr>
    </w:tbl>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ind w:hanging="0" w:left="1080" w:right="0"/>
      </w:pPr>
      <w:r>
        <w:rPr>
          <w:rFonts w:ascii="Cambria" w:hAnsi="Cambria"/>
        </w:rPr>
      </w:r>
    </w:p>
    <w:p>
      <w:pPr>
        <w:pStyle w:val="style34"/>
        <w:numPr>
          <w:ilvl w:val="0"/>
          <w:numId w:val="2"/>
        </w:numPr>
      </w:pPr>
      <w:r>
        <w:rPr>
          <w:rFonts w:ascii="Cambria" w:hAnsi="Cambria"/>
          <w:b/>
        </w:rPr>
        <w:t>Profil Anggota</w:t>
      </w:r>
    </w:p>
    <w:p>
      <w:pPr>
        <w:pStyle w:val="style34"/>
      </w:pPr>
      <w:r>
        <w:rPr>
          <w:rFonts w:ascii="Cambria" w:hAnsi="Cambria"/>
        </w:rPr>
        <w:t>Berisi nama-nama anggota dengan SEC, yang dikelompokkan berdasarkan jenis pekerjaan/ usaha yang dimiliki oleh anggota.</w:t>
      </w:r>
    </w:p>
    <w:p>
      <w:pPr>
        <w:pStyle w:val="style34"/>
      </w:pPr>
      <w:r>
        <w:rPr>
          <w:rFonts w:ascii="Cambria" w:hAnsi="Cambria"/>
        </w:rPr>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3655"/>
      </w:tblGrid>
      <w:tr>
        <w:trPr>
          <w:cantSplit w:val="false"/>
        </w:trPr>
        <w:tc>
          <w:tcPr>
            <w:tcW w:type="dxa" w:w="3655"/>
            <w:tcBorders>
              <w:top w:val="none"/>
              <w:left w:val="none"/>
              <w:bottom w:val="none"/>
              <w:right w:val="none"/>
            </w:tcBorders>
            <w:shd w:fill="auto" w:val="clear"/>
          </w:tcPr>
          <w:p>
            <w:pPr>
              <w:pStyle w:val="style34"/>
            </w:pPr>
            <w:r>
              <w:rPr>
                <w:rFonts w:ascii="Cambria" w:hAnsi="Cambria"/>
              </w:rPr>
              <w:t>Kelompok Pekerjaan:</w:t>
            </w:r>
          </w:p>
          <w:p>
            <w:pPr>
              <w:pStyle w:val="style34"/>
              <w:numPr>
                <w:ilvl w:val="0"/>
                <w:numId w:val="6"/>
              </w:numPr>
            </w:pPr>
            <w:r>
              <w:rPr>
                <w:rFonts w:ascii="Cambria" w:hAnsi="Cambria"/>
              </w:rPr>
              <w:t>PNS</w:t>
            </w:r>
          </w:p>
          <w:p>
            <w:pPr>
              <w:pStyle w:val="style34"/>
              <w:numPr>
                <w:ilvl w:val="0"/>
                <w:numId w:val="6"/>
              </w:numPr>
            </w:pPr>
            <w:r>
              <w:rPr>
                <w:rFonts w:ascii="Cambria" w:hAnsi="Cambria"/>
              </w:rPr>
              <w:t>TNI/ POLRI</w:t>
            </w:r>
          </w:p>
          <w:p>
            <w:pPr>
              <w:pStyle w:val="style34"/>
              <w:numPr>
                <w:ilvl w:val="0"/>
                <w:numId w:val="6"/>
              </w:numPr>
            </w:pPr>
            <w:r>
              <w:rPr>
                <w:rFonts w:ascii="Cambria" w:hAnsi="Cambria"/>
              </w:rPr>
              <w:t>Karyawan BUMN/ BUMD</w:t>
            </w:r>
          </w:p>
          <w:p>
            <w:pPr>
              <w:pStyle w:val="style34"/>
              <w:numPr>
                <w:ilvl w:val="0"/>
                <w:numId w:val="6"/>
              </w:numPr>
            </w:pPr>
            <w:r>
              <w:rPr>
                <w:rFonts w:ascii="Cambria" w:hAnsi="Cambria"/>
              </w:rPr>
              <w:t>Karyawan Honorer</w:t>
            </w:r>
          </w:p>
          <w:p>
            <w:pPr>
              <w:pStyle w:val="style34"/>
              <w:numPr>
                <w:ilvl w:val="0"/>
                <w:numId w:val="6"/>
              </w:numPr>
            </w:pPr>
            <w:r>
              <w:rPr>
                <w:rFonts w:ascii="Cambria" w:hAnsi="Cambria"/>
              </w:rPr>
              <w:t>Karyawan Swasta</w:t>
            </w:r>
          </w:p>
          <w:p>
            <w:pPr>
              <w:pStyle w:val="style34"/>
              <w:numPr>
                <w:ilvl w:val="0"/>
                <w:numId w:val="6"/>
              </w:numPr>
            </w:pPr>
            <w:r>
              <w:rPr>
                <w:rFonts w:ascii="Cambria" w:hAnsi="Cambria"/>
              </w:rPr>
              <w:t>Pedagang</w:t>
            </w:r>
          </w:p>
          <w:p>
            <w:pPr>
              <w:pStyle w:val="style34"/>
              <w:numPr>
                <w:ilvl w:val="0"/>
                <w:numId w:val="6"/>
              </w:numPr>
            </w:pPr>
            <w:r>
              <w:rPr>
                <w:rFonts w:ascii="Cambria" w:hAnsi="Cambria"/>
              </w:rPr>
              <w:t>Wiraswasta</w:t>
            </w:r>
          </w:p>
          <w:p>
            <w:pPr>
              <w:pStyle w:val="style34"/>
              <w:numPr>
                <w:ilvl w:val="0"/>
                <w:numId w:val="6"/>
              </w:numPr>
            </w:pPr>
            <w:r>
              <w:rPr>
                <w:rFonts w:ascii="Cambria" w:hAnsi="Cambria"/>
              </w:rPr>
              <w:t>Petani/ Pekebun</w:t>
            </w:r>
          </w:p>
          <w:p>
            <w:pPr>
              <w:pStyle w:val="style34"/>
              <w:numPr>
                <w:ilvl w:val="0"/>
                <w:numId w:val="6"/>
              </w:numPr>
            </w:pPr>
            <w:r>
              <w:rPr>
                <w:rFonts w:ascii="Cambria" w:hAnsi="Cambria"/>
              </w:rPr>
              <w:t>Peternak</w:t>
            </w:r>
          </w:p>
          <w:p>
            <w:pPr>
              <w:pStyle w:val="style34"/>
              <w:numPr>
                <w:ilvl w:val="0"/>
                <w:numId w:val="6"/>
              </w:numPr>
            </w:pPr>
            <w:r>
              <w:rPr>
                <w:rFonts w:ascii="Cambria" w:hAnsi="Cambria"/>
              </w:rPr>
              <w:t>Nelayan/ Perikanan</w:t>
            </w:r>
          </w:p>
          <w:p>
            <w:pPr>
              <w:pStyle w:val="style34"/>
              <w:numPr>
                <w:ilvl w:val="0"/>
                <w:numId w:val="6"/>
              </w:numPr>
            </w:pPr>
            <w:r>
              <w:rPr>
                <w:rFonts w:ascii="Cambria" w:hAnsi="Cambria"/>
              </w:rPr>
              <w:t>PRT</w:t>
            </w:r>
          </w:p>
          <w:p>
            <w:pPr>
              <w:pStyle w:val="style34"/>
              <w:numPr>
                <w:ilvl w:val="0"/>
                <w:numId w:val="6"/>
              </w:numPr>
            </w:pPr>
            <w:r>
              <w:rPr>
                <w:rFonts w:ascii="Cambria" w:hAnsi="Cambria"/>
              </w:rPr>
              <w:t>Tukang</w:t>
            </w:r>
          </w:p>
          <w:p>
            <w:pPr>
              <w:pStyle w:val="style34"/>
              <w:numPr>
                <w:ilvl w:val="0"/>
                <w:numId w:val="6"/>
              </w:numPr>
            </w:pPr>
            <w:r>
              <w:rPr>
                <w:rFonts w:ascii="Cambria" w:hAnsi="Cambria"/>
              </w:rPr>
              <w:t>Buruh</w:t>
            </w:r>
          </w:p>
          <w:p>
            <w:pPr>
              <w:pStyle w:val="style34"/>
              <w:numPr>
                <w:ilvl w:val="0"/>
                <w:numId w:val="6"/>
              </w:numPr>
            </w:pPr>
            <w:r>
              <w:rPr>
                <w:rFonts w:ascii="Cambria" w:hAnsi="Cambria"/>
              </w:rPr>
              <w:t>Sopir</w:t>
            </w:r>
          </w:p>
          <w:p>
            <w:pPr>
              <w:pStyle w:val="style34"/>
              <w:numPr>
                <w:ilvl w:val="0"/>
                <w:numId w:val="6"/>
              </w:numPr>
            </w:pPr>
            <w:r>
              <w:rPr>
                <w:rFonts w:ascii="Cambria" w:hAnsi="Cambria"/>
              </w:rPr>
              <w:t>Pmk. Agama</w:t>
            </w:r>
          </w:p>
          <w:p>
            <w:pPr>
              <w:pStyle w:val="style34"/>
              <w:numPr>
                <w:ilvl w:val="0"/>
                <w:numId w:val="6"/>
              </w:numPr>
            </w:pPr>
            <w:r>
              <w:rPr>
                <w:rFonts w:ascii="Cambria" w:hAnsi="Cambria"/>
              </w:rPr>
              <w:t>Biarawan/ i</w:t>
            </w:r>
          </w:p>
          <w:p>
            <w:pPr>
              <w:pStyle w:val="style34"/>
              <w:numPr>
                <w:ilvl w:val="0"/>
                <w:numId w:val="6"/>
              </w:numPr>
            </w:pPr>
            <w:r>
              <w:rPr>
                <w:rFonts w:ascii="Cambria" w:hAnsi="Cambria"/>
              </w:rPr>
              <w:t>Dokter</w:t>
            </w:r>
          </w:p>
          <w:p>
            <w:pPr>
              <w:pStyle w:val="style34"/>
              <w:numPr>
                <w:ilvl w:val="0"/>
                <w:numId w:val="6"/>
              </w:numPr>
            </w:pPr>
            <w:r>
              <w:rPr>
                <w:rFonts w:ascii="Cambria" w:hAnsi="Cambria"/>
              </w:rPr>
              <w:t>Bidan</w:t>
            </w:r>
          </w:p>
          <w:p>
            <w:pPr>
              <w:pStyle w:val="style34"/>
              <w:numPr>
                <w:ilvl w:val="0"/>
                <w:numId w:val="6"/>
              </w:numPr>
            </w:pPr>
            <w:r>
              <w:rPr>
                <w:rFonts w:ascii="Cambria" w:hAnsi="Cambria"/>
              </w:rPr>
              <w:t>Tabib</w:t>
            </w:r>
          </w:p>
          <w:p>
            <w:pPr>
              <w:pStyle w:val="style34"/>
              <w:numPr>
                <w:ilvl w:val="0"/>
                <w:numId w:val="6"/>
              </w:numPr>
            </w:pPr>
            <w:r>
              <w:rPr>
                <w:rFonts w:ascii="Cambria" w:hAnsi="Cambria"/>
              </w:rPr>
              <w:t>Mantri</w:t>
            </w:r>
          </w:p>
          <w:p>
            <w:pPr>
              <w:pStyle w:val="style34"/>
              <w:numPr>
                <w:ilvl w:val="0"/>
                <w:numId w:val="6"/>
              </w:numPr>
            </w:pPr>
            <w:r>
              <w:rPr>
                <w:rFonts w:ascii="Cambria" w:hAnsi="Cambria"/>
              </w:rPr>
              <w:t>Psikiater/ Psikolog</w:t>
            </w:r>
          </w:p>
          <w:p>
            <w:pPr>
              <w:pStyle w:val="style34"/>
              <w:numPr>
                <w:ilvl w:val="0"/>
                <w:numId w:val="6"/>
              </w:numPr>
            </w:pPr>
            <w:r>
              <w:rPr>
                <w:rFonts w:ascii="Cambria" w:hAnsi="Cambria"/>
              </w:rPr>
              <w:t>Perawat</w:t>
            </w:r>
          </w:p>
          <w:p>
            <w:pPr>
              <w:pStyle w:val="style34"/>
              <w:numPr>
                <w:ilvl w:val="0"/>
                <w:numId w:val="6"/>
              </w:numPr>
            </w:pPr>
            <w:r>
              <w:rPr>
                <w:rFonts w:ascii="Cambria" w:hAnsi="Cambria"/>
              </w:rPr>
              <w:t>Pelaut</w:t>
            </w:r>
          </w:p>
          <w:p>
            <w:pPr>
              <w:pStyle w:val="style34"/>
              <w:numPr>
                <w:ilvl w:val="0"/>
                <w:numId w:val="6"/>
              </w:numPr>
            </w:pPr>
            <w:r>
              <w:rPr>
                <w:rFonts w:ascii="Cambria" w:hAnsi="Cambria"/>
              </w:rPr>
              <w:t>Peneliti</w:t>
            </w:r>
          </w:p>
          <w:p>
            <w:pPr>
              <w:pStyle w:val="style34"/>
              <w:numPr>
                <w:ilvl w:val="0"/>
                <w:numId w:val="6"/>
              </w:numPr>
            </w:pPr>
            <w:r>
              <w:rPr>
                <w:rFonts w:ascii="Cambria" w:hAnsi="Cambria"/>
              </w:rPr>
              <w:t>Pialang</w:t>
            </w:r>
          </w:p>
          <w:p>
            <w:pPr>
              <w:pStyle w:val="style34"/>
              <w:numPr>
                <w:ilvl w:val="0"/>
                <w:numId w:val="6"/>
              </w:numPr>
            </w:pPr>
            <w:r>
              <w:rPr>
                <w:rFonts w:ascii="Cambria" w:hAnsi="Cambria"/>
              </w:rPr>
              <w:t>Paranormal</w:t>
            </w:r>
          </w:p>
          <w:p>
            <w:pPr>
              <w:pStyle w:val="style34"/>
              <w:numPr>
                <w:ilvl w:val="0"/>
                <w:numId w:val="6"/>
              </w:numPr>
            </w:pPr>
            <w:r>
              <w:rPr>
                <w:rFonts w:ascii="Cambria" w:hAnsi="Cambria"/>
              </w:rPr>
              <w:t>Kontraktor</w:t>
            </w:r>
          </w:p>
          <w:p>
            <w:pPr>
              <w:pStyle w:val="style34"/>
              <w:numPr>
                <w:ilvl w:val="0"/>
                <w:numId w:val="6"/>
              </w:numPr>
            </w:pPr>
            <w:r>
              <w:rPr>
                <w:rFonts w:ascii="Cambria" w:hAnsi="Cambria"/>
              </w:rPr>
              <w:t>Penyiar</w:t>
            </w:r>
          </w:p>
          <w:p>
            <w:pPr>
              <w:pStyle w:val="style34"/>
              <w:numPr>
                <w:ilvl w:val="0"/>
                <w:numId w:val="6"/>
              </w:numPr>
            </w:pPr>
            <w:r>
              <w:rPr>
                <w:rFonts w:ascii="Cambria" w:hAnsi="Cambria"/>
              </w:rPr>
              <w:t>Promotor Acara</w:t>
            </w:r>
          </w:p>
          <w:p>
            <w:pPr>
              <w:pStyle w:val="style34"/>
              <w:numPr>
                <w:ilvl w:val="0"/>
                <w:numId w:val="6"/>
              </w:numPr>
            </w:pPr>
            <w:r>
              <w:rPr>
                <w:rFonts w:ascii="Cambria" w:hAnsi="Cambria"/>
              </w:rPr>
              <w:t>Dosen</w:t>
            </w:r>
          </w:p>
          <w:p>
            <w:pPr>
              <w:pStyle w:val="style34"/>
              <w:numPr>
                <w:ilvl w:val="0"/>
                <w:numId w:val="6"/>
              </w:numPr>
            </w:pPr>
            <w:r>
              <w:rPr>
                <w:rFonts w:ascii="Cambria" w:hAnsi="Cambria"/>
              </w:rPr>
              <w:t>Guru</w:t>
            </w:r>
          </w:p>
          <w:p>
            <w:pPr>
              <w:pStyle w:val="style34"/>
              <w:numPr>
                <w:ilvl w:val="0"/>
                <w:numId w:val="6"/>
              </w:numPr>
            </w:pPr>
            <w:r>
              <w:rPr>
                <w:rFonts w:ascii="Cambria" w:hAnsi="Cambria"/>
              </w:rPr>
              <w:t>Pilot/Masinis/Nahkoda</w:t>
            </w:r>
          </w:p>
          <w:p>
            <w:pPr>
              <w:pStyle w:val="style34"/>
              <w:numPr>
                <w:ilvl w:val="0"/>
                <w:numId w:val="6"/>
              </w:numPr>
            </w:pPr>
            <w:r>
              <w:rPr>
                <w:rFonts w:ascii="Cambria" w:hAnsi="Cambria"/>
              </w:rPr>
              <w:t>Pengacara</w:t>
            </w:r>
          </w:p>
          <w:p>
            <w:pPr>
              <w:pStyle w:val="style34"/>
              <w:numPr>
                <w:ilvl w:val="0"/>
                <w:numId w:val="6"/>
              </w:numPr>
            </w:pPr>
            <w:r>
              <w:rPr>
                <w:rFonts w:ascii="Cambria" w:hAnsi="Cambria"/>
              </w:rPr>
              <w:t>Notaris</w:t>
            </w:r>
          </w:p>
          <w:p>
            <w:pPr>
              <w:pStyle w:val="style34"/>
              <w:numPr>
                <w:ilvl w:val="0"/>
                <w:numId w:val="6"/>
              </w:numPr>
            </w:pPr>
            <w:r>
              <w:rPr>
                <w:rFonts w:ascii="Cambria" w:hAnsi="Cambria"/>
              </w:rPr>
              <w:t>Arsitek</w:t>
            </w:r>
          </w:p>
          <w:p>
            <w:pPr>
              <w:pStyle w:val="style34"/>
              <w:numPr>
                <w:ilvl w:val="0"/>
                <w:numId w:val="6"/>
              </w:numPr>
            </w:pPr>
            <w:r>
              <w:rPr>
                <w:rFonts w:ascii="Cambria" w:hAnsi="Cambria"/>
              </w:rPr>
              <w:t>Akuntan</w:t>
            </w:r>
          </w:p>
          <w:p>
            <w:pPr>
              <w:pStyle w:val="style34"/>
              <w:numPr>
                <w:ilvl w:val="0"/>
                <w:numId w:val="6"/>
              </w:numPr>
            </w:pPr>
            <w:r>
              <w:rPr>
                <w:rFonts w:ascii="Cambria" w:hAnsi="Cambria"/>
              </w:rPr>
              <w:t>Konsultan</w:t>
            </w:r>
          </w:p>
          <w:p>
            <w:pPr>
              <w:pStyle w:val="style34"/>
              <w:numPr>
                <w:ilvl w:val="0"/>
                <w:numId w:val="6"/>
              </w:numPr>
            </w:pPr>
            <w:r>
              <w:rPr>
                <w:rFonts w:ascii="Cambria" w:hAnsi="Cambria"/>
              </w:rPr>
              <w:t>Desainer</w:t>
            </w:r>
          </w:p>
          <w:p>
            <w:pPr>
              <w:pStyle w:val="style34"/>
              <w:numPr>
                <w:ilvl w:val="0"/>
                <w:numId w:val="6"/>
              </w:numPr>
            </w:pPr>
            <w:r>
              <w:rPr>
                <w:rFonts w:ascii="Cambria" w:hAnsi="Cambria"/>
              </w:rPr>
              <w:t>Mekanik</w:t>
            </w:r>
          </w:p>
          <w:p>
            <w:pPr>
              <w:pStyle w:val="style34"/>
              <w:numPr>
                <w:ilvl w:val="0"/>
                <w:numId w:val="6"/>
              </w:numPr>
            </w:pPr>
            <w:r>
              <w:rPr>
                <w:rFonts w:ascii="Cambria" w:hAnsi="Cambria"/>
              </w:rPr>
              <w:t>Seniman</w:t>
            </w:r>
          </w:p>
          <w:p>
            <w:pPr>
              <w:pStyle w:val="style34"/>
              <w:numPr>
                <w:ilvl w:val="0"/>
                <w:numId w:val="6"/>
              </w:numPr>
            </w:pPr>
            <w:r>
              <w:rPr>
                <w:rFonts w:ascii="Cambria" w:hAnsi="Cambria"/>
              </w:rPr>
              <w:t>Penerjemah</w:t>
            </w:r>
          </w:p>
          <w:p>
            <w:pPr>
              <w:pStyle w:val="style34"/>
              <w:numPr>
                <w:ilvl w:val="0"/>
                <w:numId w:val="6"/>
              </w:numPr>
            </w:pPr>
            <w:r>
              <w:rPr>
                <w:rFonts w:ascii="Cambria" w:hAnsi="Cambria"/>
              </w:rPr>
              <w:t>Wartawan</w:t>
            </w:r>
          </w:p>
          <w:p>
            <w:pPr>
              <w:pStyle w:val="style34"/>
              <w:numPr>
                <w:ilvl w:val="0"/>
                <w:numId w:val="6"/>
              </w:numPr>
            </w:pPr>
            <w:r>
              <w:rPr>
                <w:rFonts w:ascii="Cambria" w:hAnsi="Cambria"/>
              </w:rPr>
              <w:t>Juru Masak</w:t>
            </w:r>
          </w:p>
          <w:p>
            <w:pPr>
              <w:pStyle w:val="style34"/>
              <w:numPr>
                <w:ilvl w:val="0"/>
                <w:numId w:val="6"/>
              </w:numPr>
            </w:pPr>
            <w:r>
              <w:rPr>
                <w:rFonts w:ascii="Cambria" w:hAnsi="Cambria"/>
              </w:rPr>
              <w:t>Penata Rias</w:t>
            </w:r>
          </w:p>
          <w:p>
            <w:pPr>
              <w:pStyle w:val="style34"/>
              <w:numPr>
                <w:ilvl w:val="0"/>
                <w:numId w:val="6"/>
              </w:numPr>
            </w:pPr>
            <w:r>
              <w:rPr>
                <w:rFonts w:ascii="Cambria" w:hAnsi="Cambria"/>
              </w:rPr>
              <w:t>Penata Busana</w:t>
            </w:r>
          </w:p>
          <w:p>
            <w:pPr>
              <w:pStyle w:val="style34"/>
              <w:numPr>
                <w:ilvl w:val="0"/>
                <w:numId w:val="6"/>
              </w:numPr>
            </w:pPr>
            <w:r>
              <w:rPr>
                <w:rFonts w:ascii="Cambria" w:hAnsi="Cambria"/>
              </w:rPr>
              <w:t>Penata Rambut</w:t>
            </w:r>
          </w:p>
          <w:p>
            <w:pPr>
              <w:pStyle w:val="style34"/>
              <w:numPr>
                <w:ilvl w:val="0"/>
                <w:numId w:val="6"/>
              </w:numPr>
            </w:pPr>
            <w:r>
              <w:rPr>
                <w:rFonts w:ascii="Cambria" w:hAnsi="Cambria"/>
              </w:rPr>
              <w:t>Lain-lain</w:t>
            </w:r>
          </w:p>
          <w:p>
            <w:pPr>
              <w:pStyle w:val="style34"/>
              <w:spacing w:after="200" w:before="0"/>
              <w:ind w:hanging="0" w:left="0" w:right="0"/>
              <w:contextualSpacing/>
            </w:pPr>
            <w:r>
              <w:rPr>
                <w:rFonts w:ascii="Cambria" w:hAnsi="Cambria"/>
              </w:rPr>
            </w:r>
          </w:p>
        </w:tc>
      </w:tr>
    </w:tbl>
    <w:p>
      <w:pPr>
        <w:pStyle w:val="style0"/>
        <w:ind w:hanging="0" w:left="720" w:right="0"/>
      </w:pPr>
      <w:r>
        <w:rPr>
          <w:rFonts w:ascii="Cambria" w:hAnsi="Cambria"/>
        </w:rPr>
      </w:r>
    </w:p>
    <w:p>
      <w:pPr>
        <w:pStyle w:val="style0"/>
        <w:ind w:hanging="0" w:left="720" w:right="0"/>
      </w:pPr>
      <w:r>
        <w:rPr>
          <w:rFonts w:ascii="Cambria" w:hAnsi="Cambria"/>
        </w:rPr>
        <w:t>*</w:t>
      </w:r>
      <w:r>
        <w:rPr>
          <w:rFonts w:ascii="Cambria" w:hAnsi="Cambria"/>
          <w:b/>
          <w:i/>
        </w:rPr>
        <w:t>Data yang dimasukkan dalam Folder Anggota SEC</w:t>
      </w:r>
    </w:p>
    <w:p>
      <w:pPr>
        <w:pStyle w:val="style0"/>
        <w:ind w:hanging="0" w:left="720" w:right="0"/>
      </w:pPr>
      <w:r>
        <w:rPr>
          <w:rFonts w:ascii="Cambria" w:hAnsi="Cambria"/>
        </w:rPr>
        <w:t>Pengelompokan kerja atau usaha dilakukan otomatis ketika keyword pekerjaan diketikkan.</w:t>
      </w:r>
    </w:p>
    <w:p>
      <w:pPr>
        <w:pStyle w:val="style34"/>
        <w:numPr>
          <w:ilvl w:val="0"/>
          <w:numId w:val="2"/>
        </w:numPr>
      </w:pPr>
      <w:r>
        <w:rPr>
          <w:rFonts w:ascii="Cambria" w:hAnsi="Cambria"/>
          <w:b/>
        </w:rPr>
        <w:t>Forum Jual Beli</w:t>
        <w:br/>
      </w:r>
      <w:r>
        <w:rPr>
          <w:rFonts w:ascii="Cambria" w:hAnsi="Cambria"/>
          <w:b/>
        </w:rPr>
        <w:t>(barang yang tidah harus di jual)</w:t>
      </w:r>
    </w:p>
    <w:p>
      <w:pPr>
        <w:pStyle w:val="style34"/>
      </w:pPr>
      <w:r>
        <w:rPr>
          <w:rFonts w:ascii="Cambria" w:hAnsi="Cambria"/>
        </w:rPr>
        <w:t xml:space="preserve">Forum jual beli berisi upload barang dan jasa yang dijual oleh anggota dan tempat berdiskusi tentang apapun terkait spesifikasi barang dan jasa tersebut. </w:t>
      </w:r>
    </w:p>
    <w:p>
      <w:pPr>
        <w:pStyle w:val="style34"/>
      </w:pPr>
      <w:r>
        <w:rPr>
          <w:rFonts w:ascii="Cambria" w:hAnsi="Cambria"/>
        </w:rPr>
        <w:t>Rules:</w:t>
      </w:r>
    </w:p>
    <w:p>
      <w:pPr>
        <w:pStyle w:val="style34"/>
        <w:numPr>
          <w:ilvl w:val="0"/>
          <w:numId w:val="7"/>
        </w:numPr>
      </w:pPr>
      <w:r>
        <w:rPr>
          <w:rFonts w:ascii="Cambria" w:hAnsi="Cambria"/>
        </w:rPr>
        <w:t>Untuk penawaran harga via contact langsung dengan penawar.</w:t>
      </w:r>
    </w:p>
    <w:p>
      <w:pPr>
        <w:pStyle w:val="style34"/>
        <w:numPr>
          <w:ilvl w:val="0"/>
          <w:numId w:val="7"/>
        </w:numPr>
      </w:pPr>
      <w:r>
        <w:rPr>
          <w:rFonts w:ascii="Cambria" w:hAnsi="Cambria"/>
        </w:rPr>
        <w:t>Upload dilakukan oleh penawar, approval Admin</w:t>
      </w:r>
    </w:p>
    <w:p>
      <w:pPr>
        <w:pStyle w:val="style0"/>
        <w:ind w:hanging="0" w:left="720" w:right="0"/>
      </w:pPr>
      <w:r>
        <w:rPr>
          <w:rFonts w:ascii="Cambria" w:hAnsi="Cambria"/>
          <w:b/>
          <w:i/>
        </w:rPr>
        <w:t>*iklan di folder iklan metro</w:t>
      </w:r>
    </w:p>
    <w:p>
      <w:pPr>
        <w:pStyle w:val="style0"/>
        <w:ind w:hanging="0" w:left="567" w:right="0"/>
      </w:pPr>
      <w:r>
        <w:rPr>
          <w:rFonts w:ascii="Cambria" w:hAnsi="Cambria"/>
          <w:b/>
          <w:i/>
        </w:rPr>
        <w:t xml:space="preserve">   </w:t>
      </w:r>
      <w:r>
        <w:rPr>
          <w:rFonts w:ascii="Cambria" w:hAnsi="Cambria"/>
          <w:b/>
          <w:i/>
        </w:rPr>
        <w:t>**</w:t>
      </w:r>
      <w:r>
        <w:rPr>
          <w:rFonts w:ascii="Cambria" w:hAnsi="Cambria"/>
          <w:b/>
          <w:i/>
        </w:rPr>
        <w:t>testimoni atau koment untuk  memantau</w:t>
      </w:r>
    </w:p>
    <w:p>
      <w:pPr>
        <w:pStyle w:val="style0"/>
        <w:ind w:hanging="0" w:left="567" w:right="0"/>
      </w:pPr>
      <w:r>
        <w:rPr>
          <w:rFonts w:ascii="Cambria" w:hAnsi="Cambria"/>
          <w:b/>
          <w:i/>
        </w:rPr>
        <w:t>ada dua pendaftaran : sendiri dan lewat admin,</w:t>
      </w:r>
    </w:p>
    <w:p>
      <w:pPr>
        <w:pStyle w:val="style0"/>
        <w:ind w:hanging="0" w:left="567" w:right="0"/>
      </w:pPr>
      <w:r>
        <w:rPr>
          <w:rFonts w:ascii="Cambria" w:hAnsi="Cambria"/>
          <w:b/>
          <w:i/>
        </w:rPr>
        <w:t>username dan password dari nba untuk pertama.</w:t>
      </w:r>
    </w:p>
    <w:p>
      <w:pPr>
        <w:pStyle w:val="style0"/>
        <w:ind w:hanging="0" w:left="567" w:right="0"/>
      </w:pPr>
      <w:r>
        <w:rPr>
          <w:rFonts w:ascii="Cambria" w:hAnsi="Cambria"/>
          <w:b/>
          <w:i/>
        </w:rPr>
        <w:t>Validasi daftar anggota di ambil dari table nba</w:t>
      </w:r>
    </w:p>
    <w:p>
      <w:pPr>
        <w:pStyle w:val="style34"/>
      </w:pPr>
      <w:r>
        <w:rPr>
          <w:rFonts w:ascii="Cambria" w:hAnsi="Cambria"/>
        </w:rPr>
      </w:r>
    </w:p>
    <w:p>
      <w:pPr>
        <w:pStyle w:val="style34"/>
        <w:numPr>
          <w:ilvl w:val="0"/>
          <w:numId w:val="2"/>
        </w:numPr>
      </w:pPr>
      <w:r>
        <w:rPr>
          <w:rFonts w:ascii="Cambria" w:hAnsi="Cambria"/>
          <w:b/>
        </w:rPr>
        <w:t>Forum Diskusi</w:t>
      </w:r>
    </w:p>
    <w:p>
      <w:pPr>
        <w:pStyle w:val="style34"/>
      </w:pPr>
      <w:r>
        <w:rPr>
          <w:rFonts w:ascii="Cambria" w:hAnsi="Cambria"/>
        </w:rPr>
        <w:t>Forum diskusi dipecah menjadi dua bagian, yaitu:</w:t>
      </w:r>
    </w:p>
    <w:p>
      <w:pPr>
        <w:pStyle w:val="style34"/>
        <w:numPr>
          <w:ilvl w:val="0"/>
          <w:numId w:val="8"/>
        </w:numPr>
      </w:pPr>
      <w:r>
        <w:rPr>
          <w:rFonts w:ascii="Cambria" w:hAnsi="Cambria"/>
        </w:rPr>
        <w:t>Khusus</w:t>
      </w:r>
    </w:p>
    <w:tbl>
      <w:tblPr>
        <w:jc w:val="left"/>
        <w:tblInd w:type="dxa" w:w="1080"/>
        <w:tblBorders>
          <w:top w:val="none"/>
          <w:left w:val="none"/>
          <w:bottom w:val="none"/>
          <w:insideH w:val="none"/>
          <w:right w:val="none"/>
          <w:insideV w:val="none"/>
        </w:tblBorders>
        <w:tblCellMar>
          <w:top w:type="dxa" w:w="0"/>
          <w:left w:type="dxa" w:w="108"/>
          <w:bottom w:type="dxa" w:w="0"/>
          <w:right w:type="dxa" w:w="108"/>
        </w:tblCellMar>
      </w:tblPr>
      <w:tblGrid>
        <w:gridCol w:w="8162"/>
      </w:tblGrid>
      <w:tr>
        <w:trPr>
          <w:cantSplit w:val="false"/>
        </w:trPr>
        <w:tc>
          <w:tcPr>
            <w:tcW w:type="dxa" w:w="8162"/>
            <w:tcBorders>
              <w:top w:val="none"/>
              <w:left w:val="none"/>
              <w:bottom w:val="none"/>
              <w:right w:val="none"/>
            </w:tcBorders>
            <w:shd w:fill="auto" w:val="clear"/>
          </w:tcPr>
          <w:p>
            <w:pPr>
              <w:pStyle w:val="style34"/>
              <w:ind w:hanging="0" w:left="0" w:right="0"/>
            </w:pPr>
            <w:r>
              <w:rPr>
                <w:rFonts w:ascii="Cambria" w:hAnsi="Cambria"/>
              </w:rPr>
              <w:t>Forum diskusi yang terjadwal:</w:t>
            </w:r>
          </w:p>
          <w:p>
            <w:pPr>
              <w:pStyle w:val="style34"/>
              <w:numPr>
                <w:ilvl w:val="0"/>
                <w:numId w:val="17"/>
              </w:numPr>
            </w:pPr>
            <w:r>
              <w:rPr>
                <w:rFonts w:ascii="Cambria" w:hAnsi="Cambria"/>
              </w:rPr>
              <w:t xml:space="preserve">Triwulan I </w:t>
              <w:tab/>
              <w:tab/>
              <w:t>:Jaringan/ konektivitas antar anggota</w:t>
            </w:r>
          </w:p>
          <w:p>
            <w:pPr>
              <w:pStyle w:val="style34"/>
              <w:numPr>
                <w:ilvl w:val="0"/>
                <w:numId w:val="17"/>
              </w:numPr>
            </w:pPr>
            <w:r>
              <w:rPr>
                <w:rFonts w:ascii="Cambria" w:hAnsi="Cambria"/>
              </w:rPr>
              <w:t>Triwulan II</w:t>
              <w:tab/>
              <w:tab/>
              <w:t>:Tata Kelola Usaha/ Keuangan</w:t>
            </w:r>
          </w:p>
          <w:p>
            <w:pPr>
              <w:pStyle w:val="style34"/>
              <w:numPr>
                <w:ilvl w:val="0"/>
                <w:numId w:val="17"/>
              </w:numPr>
            </w:pPr>
            <w:r>
              <w:rPr>
                <w:rFonts w:ascii="Cambria" w:hAnsi="Cambria"/>
              </w:rPr>
              <w:t>Triwukan III</w:t>
              <w:tab/>
              <w:t>: Pemasaran</w:t>
            </w:r>
          </w:p>
          <w:p>
            <w:pPr>
              <w:pStyle w:val="style34"/>
              <w:numPr>
                <w:ilvl w:val="0"/>
                <w:numId w:val="17"/>
              </w:numPr>
              <w:spacing w:after="200" w:before="0"/>
              <w:contextualSpacing/>
            </w:pPr>
            <w:r>
              <w:rPr>
                <w:rFonts w:ascii="Cambria" w:hAnsi="Cambria"/>
              </w:rPr>
              <w:t>Triwulan IV</w:t>
              <w:tab/>
              <w:t>: Trade Centre</w:t>
            </w:r>
          </w:p>
        </w:tc>
      </w:tr>
    </w:tbl>
    <w:p>
      <w:pPr>
        <w:pStyle w:val="style34"/>
        <w:ind w:hanging="0" w:left="1080" w:right="0"/>
      </w:pPr>
      <w:r>
        <w:rPr>
          <w:rFonts w:ascii="Cambria" w:hAnsi="Cambria"/>
          <w:b/>
          <w:i/>
        </w:rPr>
        <w:t>Di ganti perkategori untuk thread.</w:t>
      </w:r>
    </w:p>
    <w:p>
      <w:pPr>
        <w:pStyle w:val="style34"/>
        <w:ind w:hanging="0" w:left="1080" w:right="0"/>
      </w:pPr>
      <w:r>
        <w:rPr>
          <w:rFonts w:ascii="Cambria" w:hAnsi="Cambria"/>
          <w:b/>
          <w:i/>
        </w:rPr>
      </w:r>
    </w:p>
    <w:p>
      <w:pPr>
        <w:pStyle w:val="style34"/>
        <w:numPr>
          <w:ilvl w:val="0"/>
          <w:numId w:val="2"/>
        </w:numPr>
      </w:pPr>
      <w:r>
        <w:rPr>
          <w:rFonts w:ascii="Cambria" w:hAnsi="Cambria"/>
          <w:b/>
        </w:rPr>
        <w:t xml:space="preserve">Artikel </w:t>
      </w:r>
      <w:r>
        <w:rPr>
          <w:rFonts w:ascii="Cambria" w:hAnsi="Cambria"/>
          <w:b/>
        </w:rPr>
        <w:t>(tips dan trik dari anggota melalui aproval admin)</w:t>
      </w:r>
    </w:p>
    <w:p>
      <w:pPr>
        <w:pStyle w:val="style34"/>
      </w:pPr>
      <w:r>
        <w:rPr>
          <w:rFonts w:ascii="Cambria" w:hAnsi="Cambria"/>
        </w:rPr>
        <w:t xml:space="preserve">Artikel berisi tulisan-tulisan praktis, penelitian maupun resume diskusi yang diperoleh dan dibuat oleh anggota SEC. </w:t>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8522"/>
      </w:tblGrid>
      <w:tr>
        <w:trPr>
          <w:cantSplit w:val="false"/>
        </w:trPr>
        <w:tc>
          <w:tcPr>
            <w:tcW w:type="dxa" w:w="8522"/>
            <w:tcBorders>
              <w:top w:val="none"/>
              <w:left w:val="none"/>
              <w:bottom w:val="none"/>
              <w:right w:val="none"/>
            </w:tcBorders>
            <w:shd w:fill="auto" w:val="clear"/>
          </w:tcPr>
          <w:p>
            <w:pPr>
              <w:pStyle w:val="style1"/>
              <w:keepNext/>
              <w:keepLines/>
              <w:spacing w:after="0" w:before="480"/>
              <w:contextualSpacing w:val="false"/>
            </w:pPr>
            <w:r>
              <w:rPr/>
              <w:t>Opportunity Cost</w:t>
            </w:r>
          </w:p>
          <w:p>
            <w:pPr>
              <w:pStyle w:val="style0"/>
            </w:pPr>
            <w:r>
              <w:rPr>
                <w:rFonts w:ascii="Cambria" w:cs="Courier New" w:hAnsi="Cambria"/>
              </w:rPr>
              <w:t>Rasionalisasi pengeluaran, pikir dua kali sebelum membelanjakan uang kita. Apa yang terlintas pertama kali dibenak kita?? Ya!! Ini kebutuhan ataukah keinginan!!.  Jika kita masih menemukan kesulitan dalam membedakan keinginan dan kebutuhan, ada baiknya kita simak tulisan berikut:</w:t>
            </w:r>
          </w:p>
          <w:p>
            <w:pPr>
              <w:pStyle w:val="style0"/>
            </w:pPr>
            <w:r>
              <w:rPr>
                <w:rFonts w:ascii="Cambria" w:cs="Courier New" w:hAnsi="Cambria"/>
              </w:rPr>
              <w:t>Lima tahun yang lalu Rindy membeli sebuah Handphone dengan harga 3 juta rupiah, saat ini handphone tersebut  dinilai sebesar 250 ribu rupiah. Lima tahun yang lalu saat membeli handphone tersebut praktis hanya dapat digunakan untuk telepon dan sms, meskipun handphone tersebut dilengkapi dengan layanan teknologi 3G,</w:t>
            </w:r>
            <w:bookmarkStart w:id="6" w:name="_GoBack"/>
            <w:bookmarkEnd w:id="6"/>
            <w:r>
              <w:rPr>
                <w:rFonts w:ascii="Cambria" w:cs="Courier New" w:hAnsi="Cambria"/>
              </w:rPr>
              <w:t>namun karena penyedia jasa komunikasi belum menjual layanan internet 3G, media sosial seperti facebook dan twitter belum populer, maka handphone canggih tersebut praktis tidak berfungsi maksimal kecuali tambahan entertainment saja. Jika saja Rindy lima tahun yang lalu membelanjakan 500 rb untuk membeli handphone dan 2,5 jt untuk disimpan, maka investasinya akan menjadi 4,5 juta (termasuk bunga). Dimana saat ini dengan 4,5 jt Rindy masih bisa membelanjakan 50% nya untuk gadget android dengan fitur yang lebih menarik dan dapat dimanfaatkan lebih untuk membangun relasi dan menjadi alat bantu pemasaran murah. Sisanya? Tentu saja untuk investasi berikutnya.</w:t>
            </w:r>
          </w:p>
          <w:p>
            <w:pPr>
              <w:pStyle w:val="style0"/>
            </w:pPr>
            <w:r>
              <w:rPr>
                <w:rFonts w:ascii="Cambria" w:cs="Courier New" w:hAnsi="Cambria"/>
              </w:rPr>
              <w:t>Ilustrasi diatas memberikan gambaran tentang opportunity cost atau biaya yang muncul atas kemanfaatan suatu benda. Dalam hal ini perluasan pengetahuan sangat dibutuhkan, sehingga akan memudahkan kita dalam membuat suatu pertimbangan sebelum memutuskan membelanjakan uang kita. Pesan utama dari ilustrasi diatas adalah pertimbangan antara nominal yang kita keluarkan dengan manfaat yang kita dapatkan.</w:t>
            </w:r>
          </w:p>
          <w:p>
            <w:pPr>
              <w:pStyle w:val="style34"/>
              <w:spacing w:after="200" w:before="0"/>
              <w:ind w:hanging="0" w:left="0" w:right="0"/>
              <w:contextualSpacing/>
            </w:pPr>
            <w:r>
              <w:rPr>
                <w:rFonts w:ascii="Cambria" w:hAnsi="Cambria"/>
              </w:rPr>
            </w:r>
          </w:p>
        </w:tc>
      </w:tr>
    </w:tbl>
    <w:p>
      <w:pPr>
        <w:pStyle w:val="style34"/>
      </w:pPr>
      <w:r>
        <w:rPr>
          <w:rFonts w:ascii="Cambria" w:hAnsi="Cambria"/>
        </w:rPr>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8522"/>
      </w:tblGrid>
      <w:tr>
        <w:trPr>
          <w:cantSplit w:val="false"/>
        </w:trPr>
        <w:tc>
          <w:tcPr>
            <w:tcW w:type="dxa" w:w="8522"/>
            <w:tcBorders>
              <w:top w:val="none"/>
              <w:left w:val="none"/>
              <w:bottom w:val="none"/>
              <w:right w:val="none"/>
            </w:tcBorders>
            <w:shd w:fill="auto" w:val="clear"/>
          </w:tcPr>
          <w:p>
            <w:pPr>
              <w:pStyle w:val="style1"/>
              <w:keepNext/>
              <w:keepLines/>
              <w:spacing w:after="0" w:before="480"/>
              <w:contextualSpacing w:val="false"/>
            </w:pPr>
            <w:r>
              <w:rPr/>
              <w:t>Diversifikasi investasi dan kekayaan kita</w:t>
            </w:r>
          </w:p>
          <w:p>
            <w:pPr>
              <w:pStyle w:val="style34"/>
              <w:ind w:hanging="0" w:left="0" w:right="0"/>
            </w:pPr>
            <w:r>
              <w:rPr>
                <w:rFonts w:ascii="Cambria" w:hAnsi="Cambria"/>
              </w:rPr>
              <w:t xml:space="preserve">Petani kita melakukan diversifikasi tanaman untuk mendapatkan hasil pertanian yang lebih banyak dengan cara tumpang sari. Selain bertujuan mendapatkan hasil yang lebih banyak, motif berjaga-jaga atas resiko gagal panen dari satu jenis tanaman juga menjadi alasan mengapa petani kita melakukan hal tersebut. </w:t>
            </w:r>
          </w:p>
          <w:p>
            <w:pPr>
              <w:pStyle w:val="style34"/>
              <w:ind w:hanging="0" w:left="0" w:right="0"/>
            </w:pPr>
            <w:r>
              <w:rPr>
                <w:rFonts w:ascii="Cambria" w:hAnsi="Cambria"/>
              </w:rPr>
            </w:r>
          </w:p>
          <w:p>
            <w:pPr>
              <w:pStyle w:val="style34"/>
              <w:ind w:hanging="0" w:left="0" w:right="0"/>
            </w:pPr>
            <w:r>
              <w:rPr>
                <w:rFonts w:ascii="Cambria" w:hAnsi="Cambria"/>
              </w:rPr>
              <w:t>Demikian halnya dengan pengelolaan keuangan kita, jangan mengumpulkan seluruh investasi atau kekayaan kita dalam satu tempat. Strategi diversifikasi yang baik adalah menempatkan investasi dan kekayaan kita pada beragam kelas aset. Dengan menyebar penempatan investasi dan kekayaan kita pada beragam kelas aset akan mengurangi prosentase resiko yang kita tanggung apabila terjadi sesuatu pada salah satu instrumen investasi kita.</w:t>
            </w:r>
          </w:p>
          <w:p>
            <w:pPr>
              <w:pStyle w:val="style34"/>
              <w:ind w:hanging="0" w:left="0" w:right="0"/>
            </w:pPr>
            <w:r>
              <w:rPr>
                <w:rFonts w:ascii="Cambria" w:hAnsi="Cambria"/>
              </w:rPr>
            </w:r>
          </w:p>
          <w:p>
            <w:pPr>
              <w:pStyle w:val="style34"/>
              <w:ind w:hanging="0" w:left="0" w:right="0"/>
            </w:pPr>
            <w:r>
              <w:rPr>
                <w:rFonts w:ascii="Cambria" w:hAnsi="Cambria"/>
              </w:rPr>
              <w:t xml:space="preserve">Strategi diversifikasi yang tepat sangat tergantung dari berapa banyak kekayaan yang kita miliki, rentang usia kita, profil resiko yang berani kita tanggung dan beberapa faktor yang lain. Setiap keputusan kembali pada pemahanan diri sendiri serta pemahaman tentang prinsip dasar uang mulai dari </w:t>
            </w:r>
            <w:r>
              <w:rPr>
                <w:rFonts w:ascii="Cambria" w:hAnsi="Cambria"/>
                <w:i/>
              </w:rPr>
              <w:t>opportunity cost</w:t>
            </w:r>
            <w:r>
              <w:rPr>
                <w:rFonts w:ascii="Cambria" w:hAnsi="Cambria"/>
              </w:rPr>
              <w:t xml:space="preserve">, nilai waktu terhadap uang dan </w:t>
            </w:r>
            <w:r>
              <w:rPr>
                <w:rFonts w:ascii="Cambria" w:hAnsi="Cambria"/>
                <w:i/>
              </w:rPr>
              <w:t>compounding effect of money</w:t>
            </w:r>
            <w:r>
              <w:rPr>
                <w:rFonts w:ascii="Cambria" w:hAnsi="Cambria"/>
              </w:rPr>
              <w:t xml:space="preserve">. </w:t>
            </w:r>
          </w:p>
          <w:p>
            <w:pPr>
              <w:pStyle w:val="style34"/>
              <w:ind w:hanging="0" w:left="0" w:right="0"/>
            </w:pPr>
            <w:r>
              <w:rPr>
                <w:rFonts w:ascii="Cambria" w:hAnsi="Cambria"/>
              </w:rPr>
            </w:r>
          </w:p>
          <w:p>
            <w:pPr>
              <w:pStyle w:val="style34"/>
              <w:ind w:hanging="0" w:left="0" w:right="0"/>
            </w:pPr>
            <w:r>
              <w:rPr>
                <w:rFonts w:ascii="Cambria" w:hAnsi="Cambria"/>
              </w:rPr>
              <w:t xml:space="preserve">Mari kita lihat kembali aset dan investasi yang kita miliki. Dan berusaha memecah aset dan investasi kita pada diversivikasi demi keamanan dan peluang yang lebih baik. </w:t>
            </w:r>
          </w:p>
          <w:p>
            <w:pPr>
              <w:pStyle w:val="style34"/>
              <w:spacing w:after="200" w:before="0"/>
              <w:ind w:hanging="0" w:left="0" w:right="0"/>
              <w:contextualSpacing/>
            </w:pPr>
            <w:r>
              <w:rPr>
                <w:rFonts w:ascii="Cambria" w:hAnsi="Cambria"/>
              </w:rPr>
            </w:r>
          </w:p>
        </w:tc>
      </w:tr>
    </w:tbl>
    <w:p>
      <w:pPr>
        <w:pStyle w:val="style34"/>
      </w:pPr>
      <w:r>
        <w:rPr>
          <w:rFonts w:ascii="Cambria" w:hAnsi="Cambria"/>
        </w:rPr>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8522"/>
      </w:tblGrid>
      <w:tr>
        <w:trPr>
          <w:cantSplit w:val="false"/>
        </w:trPr>
        <w:tc>
          <w:tcPr>
            <w:tcW w:type="dxa" w:w="8522"/>
            <w:tcBorders>
              <w:top w:val="none"/>
              <w:left w:val="none"/>
              <w:bottom w:val="none"/>
              <w:right w:val="none"/>
            </w:tcBorders>
            <w:shd w:fill="auto" w:val="clear"/>
          </w:tcPr>
          <w:p>
            <w:pPr>
              <w:pStyle w:val="style1"/>
              <w:keepNext/>
              <w:keepLines/>
              <w:spacing w:after="0" w:before="480"/>
              <w:contextualSpacing w:val="false"/>
            </w:pPr>
            <w:r>
              <w:rPr/>
              <w:t>Bingkai baru pemikiran dalam ber-INVESTASI</w:t>
            </w:r>
          </w:p>
          <w:p>
            <w:pPr>
              <w:pStyle w:val="style34"/>
              <w:ind w:hanging="0" w:left="0" w:right="0"/>
            </w:pPr>
            <w:r>
              <w:rPr>
                <w:rFonts w:ascii="Cambria" w:cs="Courier New" w:hAnsi="Cambria"/>
              </w:rPr>
              <w:t>Pertama, saat berbicara tentang investasi, kita tidak berpikir tentang penempatan dana dalam bentuk simpanan ataupun pasar saham. Kita harus memperlakukan setiap keputusan yang kita buat dalam hidup sebagai keputusan dalam berinvestasi. Sebagai contoh, saat kita memutuskan apakah nanti “dinner” diluar, belanja baju baru, ataukah merayakan ulang tahun bersama teman; lihat setiap keputusan sebagai investasi. Adalah wajar membelanjakan uang kita, namun kita akan takjub berapa banyak uang yang bisa kita akumulasikan jika kita mulai berinvestasi dengan “mind set” baru ini.</w:t>
            </w:r>
          </w:p>
          <w:p>
            <w:pPr>
              <w:pStyle w:val="style34"/>
              <w:ind w:hanging="0" w:left="0" w:right="0"/>
            </w:pPr>
            <w:r>
              <w:rPr>
                <w:rFonts w:ascii="Cambria" w:cs="Courier New" w:hAnsi="Cambria"/>
              </w:rPr>
            </w:r>
          </w:p>
          <w:p>
            <w:pPr>
              <w:pStyle w:val="style34"/>
              <w:ind w:hanging="0" w:left="0" w:right="0"/>
            </w:pPr>
            <w:r>
              <w:rPr>
                <w:rFonts w:ascii="Cambria" w:cs="Courier New" w:hAnsi="Cambria"/>
              </w:rPr>
              <w:t>Kedua, dan yang  paling utama, investasi dalam kerangka berpikir baru. Lihat uang yang kita investasikan dalam kerangka baru. Bukannya merasa seperti menyisihkan uang 100 rb bulan ini ketika kita bisa membeli dvd player baru, coba kita berpikir dengan cara berikut:</w:t>
            </w:r>
          </w:p>
          <w:p>
            <w:pPr>
              <w:pStyle w:val="style34"/>
              <w:ind w:hanging="0" w:left="0" w:right="0"/>
            </w:pPr>
            <w:r>
              <w:rPr>
                <w:rFonts w:ascii="Cambria" w:cs="Courier New" w:hAnsi="Cambria"/>
              </w:rPr>
              <w:t>100 rb yang kita investasikan akan membayar deviden untuk kita sepanjang hidup. Bagaimana bisa? Hal ini sangat mungkin jika kita mendapat bunga 10%, kita akan dapat 10 rb pertahun, selamanya dari investasi tersebut. Lebih lagi jika 10 rb tersebut ditambahkan kembali pada rekening yang sama maka 10 rb pertahun tersebut akan bertambah stiap tahunnya. Yang artinya jika kita investasi 100 rb perbulan selama 10 bulan investasi kita akan menghasilkan jumlah yang sama 100 rb per tahunnya.</w:t>
            </w:r>
          </w:p>
          <w:p>
            <w:pPr>
              <w:pStyle w:val="style34"/>
              <w:spacing w:after="200" w:before="0"/>
              <w:ind w:hanging="0" w:left="0" w:right="0"/>
              <w:contextualSpacing/>
            </w:pPr>
            <w:r>
              <w:rPr>
                <w:rFonts w:ascii="Cambria" w:hAnsi="Cambria"/>
              </w:rPr>
            </w:r>
          </w:p>
        </w:tc>
      </w:tr>
    </w:tbl>
    <w:p>
      <w:pPr>
        <w:pStyle w:val="style34"/>
      </w:pPr>
      <w:r>
        <w:rPr>
          <w:rFonts w:ascii="Cambria" w:hAnsi="Cambria"/>
        </w:rPr>
      </w:r>
    </w:p>
    <w:p>
      <w:pPr>
        <w:pStyle w:val="style34"/>
      </w:pPr>
      <w:r>
        <w:rPr>
          <w:rFonts w:ascii="Cambria" w:hAnsi="Cambria"/>
          <w:b/>
          <w:i/>
        </w:rPr>
        <w:t>*dibuat link untuk upload dan admin yang melakukan approval</w:t>
      </w:r>
    </w:p>
    <w:p>
      <w:pPr>
        <w:pStyle w:val="style34"/>
      </w:pPr>
      <w:r>
        <w:rPr>
          <w:rFonts w:ascii="Cambria" w:hAnsi="Cambria"/>
          <w:b/>
          <w:i/>
        </w:rPr>
        <w:t>**dibuat link download sebagai kontrol atas pemanfaatan artikel oleh anggota</w:t>
      </w:r>
    </w:p>
    <w:p>
      <w:pPr>
        <w:pStyle w:val="style34"/>
      </w:pPr>
      <w:r>
        <w:rPr>
          <w:rFonts w:ascii="Cambria" w:hAnsi="Cambria"/>
          <w:b/>
          <w:i/>
        </w:rPr>
      </w:r>
    </w:p>
    <w:p>
      <w:pPr>
        <w:pStyle w:val="style34"/>
      </w:pPr>
      <w:r>
        <w:rPr>
          <w:rFonts w:ascii="Cambria" w:hAnsi="Cambria"/>
          <w:b/>
          <w:i/>
        </w:rPr>
      </w:r>
    </w:p>
    <w:p>
      <w:pPr>
        <w:pStyle w:val="style34"/>
        <w:numPr>
          <w:ilvl w:val="0"/>
          <w:numId w:val="2"/>
        </w:numPr>
      </w:pPr>
      <w:r>
        <w:rPr>
          <w:rFonts w:ascii="Cambria" w:hAnsi="Cambria"/>
          <w:b/>
        </w:rPr>
        <w:t>Info</w:t>
      </w:r>
    </w:p>
    <w:p>
      <w:pPr>
        <w:pStyle w:val="style34"/>
      </w:pPr>
      <w:r>
        <w:rPr>
          <w:rFonts w:ascii="Cambria" w:hAnsi="Cambria"/>
        </w:rPr>
        <w:t>Info berisi:</w:t>
      </w:r>
    </w:p>
    <w:p>
      <w:pPr>
        <w:pStyle w:val="style34"/>
        <w:numPr>
          <w:ilvl w:val="0"/>
          <w:numId w:val="7"/>
        </w:numPr>
      </w:pPr>
      <w:r>
        <w:rPr>
          <w:rFonts w:ascii="Cambria" w:hAnsi="Cambria"/>
        </w:rPr>
        <w:t>Kegiatan yang dilakukan oleh organisasi SEC</w:t>
      </w:r>
    </w:p>
    <w:p>
      <w:pPr>
        <w:pStyle w:val="style34"/>
        <w:numPr>
          <w:ilvl w:val="0"/>
          <w:numId w:val="7"/>
        </w:numPr>
      </w:pPr>
      <w:r>
        <w:rPr>
          <w:rFonts w:ascii="Cambria" w:hAnsi="Cambria"/>
        </w:rPr>
        <w:t>Jadwal Kegiatan</w:t>
      </w:r>
    </w:p>
    <w:p>
      <w:pPr>
        <w:pStyle w:val="style34"/>
        <w:numPr>
          <w:ilvl w:val="0"/>
          <w:numId w:val="9"/>
        </w:numPr>
      </w:pPr>
      <w:r>
        <w:rPr>
          <w:rFonts w:ascii="Cambria" w:hAnsi="Cambria"/>
        </w:rPr>
        <w:t>E- Empowering</w:t>
      </w:r>
    </w:p>
    <w:p>
      <w:pPr>
        <w:pStyle w:val="style34"/>
        <w:numPr>
          <w:ilvl w:val="0"/>
          <w:numId w:val="9"/>
        </w:numPr>
      </w:pPr>
      <w:r>
        <w:rPr>
          <w:rFonts w:ascii="Cambria" w:hAnsi="Cambria"/>
        </w:rPr>
        <w:t>Seminar</w:t>
      </w:r>
    </w:p>
    <w:p>
      <w:pPr>
        <w:pStyle w:val="style34"/>
        <w:numPr>
          <w:ilvl w:val="0"/>
          <w:numId w:val="9"/>
        </w:numPr>
      </w:pPr>
      <w:r>
        <w:rPr>
          <w:rFonts w:ascii="Cambria" w:hAnsi="Cambria"/>
        </w:rPr>
        <w:t>Jadwal forum diskusi khusus</w:t>
      </w:r>
    </w:p>
    <w:tbl>
      <w:tblPr>
        <w:jc w:val="left"/>
        <w:tblInd w:type="dxa" w:w="1440"/>
        <w:tblBorders>
          <w:top w:val="none"/>
          <w:left w:val="none"/>
          <w:bottom w:val="none"/>
          <w:insideH w:val="none"/>
          <w:right w:val="none"/>
          <w:insideV w:val="none"/>
        </w:tblBorders>
        <w:tblCellMar>
          <w:top w:type="dxa" w:w="0"/>
          <w:left w:type="dxa" w:w="108"/>
          <w:bottom w:type="dxa" w:w="0"/>
          <w:right w:type="dxa" w:w="108"/>
        </w:tblCellMar>
      </w:tblPr>
      <w:tblGrid>
        <w:gridCol w:w="7802"/>
      </w:tblGrid>
      <w:tr>
        <w:trPr>
          <w:cantSplit w:val="false"/>
        </w:trPr>
        <w:tc>
          <w:tcPr>
            <w:tcW w:type="dxa" w:w="7802"/>
            <w:tcBorders>
              <w:top w:val="none"/>
              <w:left w:val="none"/>
              <w:bottom w:val="none"/>
              <w:right w:val="none"/>
            </w:tcBorders>
            <w:shd w:fill="auto" w:val="clear"/>
          </w:tcPr>
          <w:p>
            <w:pPr>
              <w:pStyle w:val="style0"/>
              <w:jc w:val="both"/>
            </w:pPr>
            <w:r>
              <w:rPr>
                <w:rFonts w:ascii="Cambria" w:hAnsi="Cambria"/>
                <w:b/>
              </w:rPr>
              <w:t>Empowering Anggota saat RAT</w:t>
            </w:r>
          </w:p>
          <w:p>
            <w:pPr>
              <w:pStyle w:val="style0"/>
              <w:jc w:val="both"/>
            </w:pPr>
            <w:r>
              <w:rPr>
                <w:rFonts w:ascii="Cambria" w:hAnsi="Cambria"/>
              </w:rPr>
              <w:t xml:space="preserve">Empowering Anggota akan dilaksanakan pada saat RAT  sebelum sidang laporan pertanggungjawaban pengurus dan pengawas dilaksanakan. Empowering Anggota ini dilakukan oleh Anggota CU Sawiran sendiri yang memiliki kapasitas di bidangnya.  </w:t>
            </w:r>
          </w:p>
          <w:tbl>
            <w:tblPr>
              <w:jc w:val="left"/>
              <w:tblInd w:type="dxa" w:w="113"/>
              <w:tblBorders>
                <w:top w:color="000001" w:space="0" w:sz="8" w:val="single"/>
                <w:left w:color="000001" w:space="0" w:sz="8" w:val="single"/>
                <w:bottom w:val="none"/>
                <w:insideH w:val="none"/>
                <w:right w:color="000001" w:space="0" w:sz="8" w:val="single"/>
                <w:insideV w:color="000001" w:space="0" w:sz="8" w:val="single"/>
              </w:tblBorders>
              <w:tblCellMar>
                <w:top w:type="dxa" w:w="0"/>
                <w:left w:type="dxa" w:w="98"/>
                <w:bottom w:type="dxa" w:w="0"/>
                <w:right w:type="dxa" w:w="108"/>
              </w:tblCellMar>
            </w:tblPr>
            <w:tblGrid>
              <w:gridCol w:w="692"/>
              <w:gridCol w:w="1964"/>
              <w:gridCol w:w="2262"/>
              <w:gridCol w:w="868"/>
              <w:gridCol w:w="1548"/>
            </w:tblGrid>
            <w:tr>
              <w:trPr>
                <w:trHeight w:hRule="atLeast" w:val="442"/>
                <w:cantSplit w:val="false"/>
              </w:trPr>
              <w:tc>
                <w:tcPr>
                  <w:tcW w:type="dxa" w:w="692"/>
                  <w:tcBorders>
                    <w:top w:color="000001" w:space="0" w:sz="8" w:val="single"/>
                    <w:left w:color="000001"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b/>
                      <w:bCs/>
                      <w:color w:val="000000"/>
                      <w:lang w:eastAsia="id-ID"/>
                    </w:rPr>
                  </w:r>
                </w:p>
              </w:tc>
              <w:tc>
                <w:tcPr>
                  <w:tcW w:type="dxa" w:w="1964"/>
                  <w:tcBorders>
                    <w:top w:color="000001" w:space="0" w:sz="8" w:val="single"/>
                    <w:left w:val="none"/>
                    <w:bottom w:val="none"/>
                    <w:right w:color="000001" w:space="0" w:sz="8" w:val="single"/>
                  </w:tcBorders>
                  <w:shd w:fill="FFFFFF" w:val="clear"/>
                  <w:vAlign w:val="center"/>
                </w:tcPr>
                <w:p>
                  <w:pPr>
                    <w:pStyle w:val="style0"/>
                    <w:spacing w:after="0" w:before="0" w:line="100" w:lineRule="atLeast"/>
                    <w:contextualSpacing w:val="false"/>
                    <w:jc w:val="center"/>
                  </w:pPr>
                  <w:r>
                    <w:rPr>
                      <w:rFonts w:ascii="High Tower Text" w:cs="Times New Roman" w:eastAsia="Times New Roman" w:hAnsi="High Tower Text"/>
                      <w:b/>
                      <w:bCs/>
                      <w:color w:val="000000"/>
                      <w:lang w:eastAsia="id-ID"/>
                    </w:rPr>
                    <w:t>Materi</w:t>
                  </w:r>
                </w:p>
              </w:tc>
              <w:tc>
                <w:tcPr>
                  <w:tcW w:type="dxa" w:w="2262"/>
                  <w:tcBorders>
                    <w:top w:color="000001" w:space="0" w:sz="8" w:val="single"/>
                    <w:left w:val="none"/>
                    <w:bottom w:val="none"/>
                    <w:right w:color="000001" w:space="0" w:sz="8" w:val="single"/>
                  </w:tcBorders>
                  <w:shd w:fill="FFFFFF" w:val="clear"/>
                  <w:vAlign w:val="center"/>
                </w:tcPr>
                <w:p>
                  <w:pPr>
                    <w:pStyle w:val="style0"/>
                    <w:spacing w:after="0" w:before="0" w:line="100" w:lineRule="atLeast"/>
                    <w:contextualSpacing w:val="false"/>
                    <w:jc w:val="center"/>
                  </w:pPr>
                  <w:r>
                    <w:rPr>
                      <w:rFonts w:ascii="High Tower Text" w:cs="Times New Roman" w:eastAsia="Times New Roman" w:hAnsi="High Tower Text"/>
                      <w:b/>
                      <w:bCs/>
                      <w:color w:val="000000"/>
                      <w:lang w:eastAsia="id-ID"/>
                    </w:rPr>
                    <w:t>RAT</w:t>
                  </w:r>
                </w:p>
              </w:tc>
              <w:tc>
                <w:tcPr>
                  <w:tcW w:type="dxa" w:w="868"/>
                  <w:tcBorders>
                    <w:top w:color="000001" w:space="0" w:sz="8" w:val="single"/>
                    <w:left w:val="none"/>
                    <w:bottom w:val="none"/>
                    <w:right w:color="000001" w:space="0" w:sz="8" w:val="single"/>
                  </w:tcBorders>
                  <w:shd w:fill="FFFFFF" w:val="clear"/>
                  <w:vAlign w:val="center"/>
                </w:tcPr>
                <w:p>
                  <w:pPr>
                    <w:pStyle w:val="style0"/>
                    <w:spacing w:after="0" w:before="0" w:line="100" w:lineRule="atLeast"/>
                    <w:contextualSpacing w:val="false"/>
                    <w:jc w:val="center"/>
                  </w:pPr>
                  <w:r>
                    <w:rPr>
                      <w:rFonts w:ascii="High Tower Text" w:cs="Times New Roman" w:eastAsia="Times New Roman" w:hAnsi="High Tower Text"/>
                      <w:b/>
                      <w:bCs/>
                      <w:color w:val="000000"/>
                      <w:lang w:eastAsia="id-ID"/>
                    </w:rPr>
                    <w:t>Waktu</w:t>
                  </w:r>
                </w:p>
              </w:tc>
              <w:tc>
                <w:tcPr>
                  <w:tcW w:type="dxa" w:w="1548"/>
                  <w:tcBorders>
                    <w:top w:color="000001" w:space="0" w:sz="8" w:val="single"/>
                    <w:left w:val="none"/>
                    <w:bottom w:val="none"/>
                    <w:right w:color="000001" w:space="0" w:sz="8" w:val="single"/>
                  </w:tcBorders>
                  <w:shd w:fill="FFFFFF" w:val="clear"/>
                  <w:vAlign w:val="center"/>
                </w:tcPr>
                <w:p>
                  <w:pPr>
                    <w:pStyle w:val="style0"/>
                    <w:spacing w:after="0" w:before="0" w:line="100" w:lineRule="atLeast"/>
                    <w:contextualSpacing w:val="false"/>
                    <w:jc w:val="center"/>
                  </w:pPr>
                  <w:r>
                    <w:rPr>
                      <w:rFonts w:ascii="High Tower Text" w:cs="Times New Roman" w:eastAsia="Times New Roman" w:hAnsi="High Tower Text"/>
                      <w:b/>
                      <w:bCs/>
                      <w:color w:val="000000"/>
                      <w:lang w:eastAsia="id-ID"/>
                    </w:rPr>
                    <w:t>Narasumber</w:t>
                  </w:r>
                </w:p>
              </w:tc>
            </w:tr>
            <w:tr>
              <w:trPr>
                <w:trHeight w:hRule="atLeast" w:val="861"/>
                <w:cantSplit w:val="false"/>
              </w:trPr>
              <w:tc>
                <w:tcPr>
                  <w:tcW w:type="dxa" w:w="692"/>
                  <w:vMerge w:val="restart"/>
                  <w:tcBorders>
                    <w:top w:color="00000A" w:space="0" w:sz="8" w:val="singl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I</w:t>
                  </w:r>
                </w:p>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color="00000A" w:space="0" w:sz="8" w:val="singl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b/>
                      <w:color w:val="000000"/>
                      <w:lang w:eastAsia="id-ID"/>
                    </w:rPr>
                    <w:t>Budidaya 1000 lele dalam 1m³? Bisa!!”</w:t>
                  </w:r>
                </w:p>
              </w:tc>
              <w:tc>
                <w:tcPr>
                  <w:tcW w:type="dxa" w:w="2262"/>
                  <w:tcBorders>
                    <w:top w:color="00000A" w:space="0" w:sz="8" w:val="singl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RAT Wlingi – Blitar</w:t>
                  </w:r>
                </w:p>
              </w:tc>
              <w:tc>
                <w:tcPr>
                  <w:tcW w:type="dxa" w:w="868"/>
                  <w:vMerge w:val="restart"/>
                  <w:tcBorders>
                    <w:top w:color="00000A" w:space="0" w:sz="8" w:val="singl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08.00 – 08.30</w:t>
                  </w:r>
                </w:p>
              </w:tc>
              <w:tc>
                <w:tcPr>
                  <w:tcW w:type="dxa" w:w="1548"/>
                  <w:tcBorders>
                    <w:top w:color="00000A" w:space="0" w:sz="8" w:val="singl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Yohanes Adinarmodo</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color w:val="000000"/>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t>08-Feb-15</w:t>
                  </w:r>
                </w:p>
              </w:tc>
              <w:tc>
                <w:tcPr>
                  <w:tcW w:type="dxa" w:w="868"/>
                  <w:vMerge w:val="continue"/>
                  <w:tcBorders>
                    <w:top w:color="00000A" w:space="0" w:sz="8" w:val="singl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color w:val="000000"/>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 xml:space="preserve">FX Andi </w:t>
                  </w:r>
                </w:p>
              </w:tc>
            </w:tr>
            <w:tr>
              <w:trPr>
                <w:trHeight w:hRule="atLeast" w:val="861"/>
                <w:cantSplit w:val="false"/>
              </w:trPr>
              <w:tc>
                <w:tcPr>
                  <w:tcW w:type="dxa" w:w="692"/>
                  <w:vMerge w:val="restart"/>
                  <w:tcBorders>
                    <w:top w:val="non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II</w:t>
                  </w:r>
                </w:p>
              </w:tc>
              <w:tc>
                <w:tcPr>
                  <w:tcW w:type="dxa" w:w="1964"/>
                  <w:tcBorders>
                    <w:top w:val="non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color w:val="000000"/>
                      <w:lang w:eastAsia="id-ID"/>
                    </w:rPr>
                    <w:t>“</w:t>
                  </w:r>
                  <w:r>
                    <w:rPr>
                      <w:rFonts w:ascii="High Tower Text" w:cs="Times New Roman" w:eastAsia="Times New Roman" w:hAnsi="High Tower Text"/>
                      <w:b/>
                      <w:color w:val="000000"/>
                      <w:lang w:eastAsia="id-ID"/>
                    </w:rPr>
                    <w:t>Legalitas Usaha”</w:t>
                  </w:r>
                </w:p>
              </w:tc>
              <w:tc>
                <w:tcPr>
                  <w:tcW w:type="dxa" w:w="2262"/>
                  <w:tcBorders>
                    <w:top w:val="non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RAT Sawojajar – Kepanjen</w:t>
                  </w:r>
                </w:p>
              </w:tc>
              <w:tc>
                <w:tcPr>
                  <w:tcW w:type="dxa" w:w="868"/>
                  <w:vMerge w:val="restart"/>
                  <w:tcBorders>
                    <w:top w:val="non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08.00 – 08.30</w:t>
                  </w:r>
                </w:p>
              </w:tc>
              <w:tc>
                <w:tcPr>
                  <w:tcW w:type="dxa" w:w="1548"/>
                  <w:tcBorders>
                    <w:top w:val="non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Mohammad Hendalton, SH</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color w:val="000000"/>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t>15-Feb-15</w:t>
                  </w:r>
                </w:p>
              </w:tc>
              <w:tc>
                <w:tcPr>
                  <w:tcW w:type="dxa" w:w="868"/>
                  <w:vMerge w:val="continue"/>
                  <w:tcBorders>
                    <w:top w:val="non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color w:val="000000"/>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 xml:space="preserve">FX Andi </w:t>
                  </w:r>
                </w:p>
              </w:tc>
            </w:tr>
            <w:tr>
              <w:trPr>
                <w:trHeight w:hRule="atLeast" w:val="861"/>
                <w:cantSplit w:val="false"/>
              </w:trPr>
              <w:tc>
                <w:tcPr>
                  <w:tcW w:type="dxa" w:w="692"/>
                  <w:vMerge w:val="restart"/>
                  <w:tcBorders>
                    <w:top w:val="non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III</w:t>
                  </w:r>
                </w:p>
              </w:tc>
              <w:tc>
                <w:tcPr>
                  <w:tcW w:type="dxa" w:w="1964"/>
                  <w:tcBorders>
                    <w:top w:val="non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color w:val="000000"/>
                      <w:lang w:eastAsia="id-ID"/>
                    </w:rPr>
                    <w:t>“</w:t>
                  </w:r>
                  <w:r>
                    <w:rPr>
                      <w:rFonts w:ascii="High Tower Text" w:cs="Times New Roman" w:eastAsia="Times New Roman" w:hAnsi="High Tower Text"/>
                      <w:b/>
                      <w:color w:val="000000"/>
                      <w:lang w:eastAsia="id-ID"/>
                    </w:rPr>
                    <w:t>Penghasilan dari halaman rumah?..  Bisa.”</w:t>
                  </w:r>
                </w:p>
              </w:tc>
              <w:tc>
                <w:tcPr>
                  <w:tcW w:type="dxa" w:w="2262"/>
                  <w:tcBorders>
                    <w:top w:val="non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RAT Blimbing – Lawang</w:t>
                  </w:r>
                </w:p>
              </w:tc>
              <w:tc>
                <w:tcPr>
                  <w:tcW w:type="dxa" w:w="868"/>
                  <w:vMerge w:val="restart"/>
                  <w:tcBorders>
                    <w:top w:val="non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08.00 – 08.30</w:t>
                  </w:r>
                </w:p>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548"/>
                  <w:tcBorders>
                    <w:top w:val="non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Sugeng Kurniadi</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color w:val="000000"/>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t>08-Mar-15</w:t>
                  </w:r>
                </w:p>
              </w:tc>
              <w:tc>
                <w:tcPr>
                  <w:tcW w:type="dxa" w:w="868"/>
                  <w:vMerge w:val="continue"/>
                  <w:tcBorders>
                    <w:top w:val="non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color w:val="000000"/>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 xml:space="preserve">FX Andi </w:t>
                  </w:r>
                </w:p>
              </w:tc>
            </w:tr>
            <w:tr>
              <w:trPr>
                <w:trHeight w:hRule="atLeast" w:val="904"/>
                <w:cantSplit w:val="false"/>
              </w:trPr>
              <w:tc>
                <w:tcPr>
                  <w:tcW w:type="dxa" w:w="692"/>
                  <w:vMerge w:val="restart"/>
                  <w:tcBorders>
                    <w:top w:val="non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IV</w:t>
                  </w:r>
                </w:p>
              </w:tc>
              <w:tc>
                <w:tcPr>
                  <w:tcW w:type="dxa" w:w="1964"/>
                  <w:tcBorders>
                    <w:top w:val="non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b/>
                      <w:color w:val="000000"/>
                      <w:lang w:eastAsia="id-ID"/>
                    </w:rPr>
                    <w:t>Kemasan untuk meningkatkan nilai jual makanan olahan”</w:t>
                  </w:r>
                </w:p>
              </w:tc>
              <w:tc>
                <w:tcPr>
                  <w:tcW w:type="dxa" w:w="2262"/>
                  <w:tcBorders>
                    <w:top w:val="non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RAT Dinoyo – Batu</w:t>
                  </w:r>
                </w:p>
              </w:tc>
              <w:tc>
                <w:tcPr>
                  <w:tcW w:type="dxa" w:w="868"/>
                  <w:vMerge w:val="restart"/>
                  <w:tcBorders>
                    <w:top w:val="non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08.00 – 08.30</w:t>
                  </w:r>
                </w:p>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548"/>
                  <w:tcBorders>
                    <w:top w:val="non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Heri Suharto</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color w:val="000000"/>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t>22-Feb-15</w:t>
                  </w:r>
                </w:p>
              </w:tc>
              <w:tc>
                <w:tcPr>
                  <w:tcW w:type="dxa" w:w="868"/>
                  <w:vMerge w:val="continue"/>
                  <w:tcBorders>
                    <w:top w:val="non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color w:val="000000"/>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 xml:space="preserve">FX Andi </w:t>
                  </w:r>
                </w:p>
              </w:tc>
            </w:tr>
            <w:tr>
              <w:trPr>
                <w:trHeight w:hRule="atLeast" w:val="861"/>
                <w:cantSplit w:val="false"/>
              </w:trPr>
              <w:tc>
                <w:tcPr>
                  <w:tcW w:type="dxa" w:w="692"/>
                  <w:vMerge w:val="restart"/>
                  <w:tcBorders>
                    <w:top w:val="non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b/>
                      <w:lang w:eastAsia="id-ID"/>
                    </w:rPr>
                    <w:t>V</w:t>
                  </w:r>
                </w:p>
              </w:tc>
              <w:tc>
                <w:tcPr>
                  <w:tcW w:type="dxa" w:w="1964"/>
                  <w:tcBorders>
                    <w:top w:val="non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lang w:eastAsia="id-ID"/>
                    </w:rPr>
                    <w:t>“</w:t>
                  </w:r>
                  <w:r>
                    <w:rPr>
                      <w:rFonts w:ascii="High Tower Text" w:cs="Times New Roman" w:eastAsia="Times New Roman" w:hAnsi="High Tower Text"/>
                      <w:b/>
                      <w:lang w:eastAsia="id-ID"/>
                    </w:rPr>
                    <w:t>Usaha peningkatan produksi pertanian”</w:t>
                  </w:r>
                </w:p>
              </w:tc>
              <w:tc>
                <w:tcPr>
                  <w:tcW w:type="dxa" w:w="2262"/>
                  <w:tcBorders>
                    <w:top w:val="non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lang w:eastAsia="id-ID"/>
                    </w:rPr>
                    <w:t>RAT Ngadisari</w:t>
                  </w:r>
                </w:p>
              </w:tc>
              <w:tc>
                <w:tcPr>
                  <w:tcW w:type="dxa" w:w="868"/>
                  <w:vMerge w:val="restart"/>
                  <w:tcBorders>
                    <w:top w:val="non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lang w:eastAsia="id-ID"/>
                    </w:rPr>
                    <w:t>08.00 – 08.30</w:t>
                  </w:r>
                </w:p>
                <w:p>
                  <w:pPr>
                    <w:pStyle w:val="style0"/>
                    <w:spacing w:after="0" w:before="0" w:line="100" w:lineRule="atLeast"/>
                    <w:contextualSpacing w:val="false"/>
                    <w:jc w:val="center"/>
                  </w:pPr>
                  <w:r>
                    <w:rPr>
                      <w:rFonts w:ascii="High Tower Text" w:cs="Times New Roman" w:eastAsia="Times New Roman" w:hAnsi="High Tower Text"/>
                      <w:b/>
                      <w:lang w:eastAsia="id-ID"/>
                    </w:rPr>
                  </w:r>
                </w:p>
              </w:tc>
              <w:tc>
                <w:tcPr>
                  <w:tcW w:type="dxa" w:w="1548"/>
                  <w:tcBorders>
                    <w:top w:val="non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lang w:eastAsia="id-ID"/>
                    </w:rPr>
                    <w:t>Stephanus Wiwin Eko Juli</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b/>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lang w:eastAsia="id-ID"/>
                    </w:rPr>
                    <w:t>“</w:t>
                  </w:r>
                  <w:r>
                    <w:rPr>
                      <w:rFonts w:ascii="High Tower Text" w:cs="Times New Roman" w:eastAsia="Times New Roman" w:hAnsi="High Tower Text"/>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lang w:eastAsia="id-ID"/>
                    </w:rPr>
                    <w:t>15-Mar-15</w:t>
                  </w:r>
                </w:p>
              </w:tc>
              <w:tc>
                <w:tcPr>
                  <w:tcW w:type="dxa" w:w="868"/>
                  <w:vMerge w:val="continue"/>
                  <w:tcBorders>
                    <w:top w:val="non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b/>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lang w:eastAsia="id-ID"/>
                    </w:rPr>
                    <w:t xml:space="preserve">FX Andi </w:t>
                  </w:r>
                </w:p>
              </w:tc>
            </w:tr>
            <w:tr>
              <w:trPr>
                <w:trHeight w:hRule="atLeast" w:val="861"/>
                <w:cantSplit w:val="false"/>
              </w:trPr>
              <w:tc>
                <w:tcPr>
                  <w:tcW w:type="dxa" w:w="692"/>
                  <w:vMerge w:val="restart"/>
                  <w:tcBorders>
                    <w:top w:val="none"/>
                    <w:left w:color="00000A" w:space="0" w:sz="8" w:val="single"/>
                    <w:bottom w:val="non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VI</w:t>
                  </w:r>
                </w:p>
              </w:tc>
              <w:tc>
                <w:tcPr>
                  <w:tcW w:type="dxa" w:w="1964"/>
                  <w:tcBorders>
                    <w:top w:val="none"/>
                    <w:left w:val="none"/>
                    <w:bottom w:color="000001"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b/>
                      <w:color w:val="000000"/>
                      <w:lang w:eastAsia="id-ID"/>
                    </w:rPr>
                    <w:t>Menggali Potensi Jalur Wisata”</w:t>
                  </w:r>
                  <w:r>
                    <w:rPr>
                      <w:rFonts w:ascii="High Tower Text" w:cs="Times New Roman" w:eastAsia="Times New Roman" w:hAnsi="High Tower Text"/>
                      <w:color w:val="000000"/>
                      <w:lang w:eastAsia="id-ID"/>
                    </w:rPr>
                    <w:t xml:space="preserve"> </w:t>
                  </w:r>
                </w:p>
              </w:tc>
              <w:tc>
                <w:tcPr>
                  <w:tcW w:type="dxa" w:w="2262"/>
                  <w:tcBorders>
                    <w:top w:val="none"/>
                    <w:left w:val="none"/>
                    <w:bottom w:val="non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RAT Nongkojajar – Tosari</w:t>
                  </w:r>
                </w:p>
              </w:tc>
              <w:tc>
                <w:tcPr>
                  <w:tcW w:type="dxa" w:w="868"/>
                  <w:vMerge w:val="restart"/>
                  <w:tcBorders>
                    <w:top w:val="none"/>
                    <w:left w:color="000001" w:space="0" w:sz="8" w:val="single"/>
                    <w:bottom w:color="000001"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t>08.00 – 08.30</w:t>
                  </w:r>
                </w:p>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548"/>
                  <w:tcBorders>
                    <w:top w:val="none"/>
                    <w:left w:val="none"/>
                    <w:bottom w:color="000001"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Sugeng Kurniadi</w:t>
                  </w:r>
                </w:p>
              </w:tc>
            </w:tr>
            <w:tr>
              <w:trPr>
                <w:trHeight w:hRule="atLeast" w:val="861"/>
                <w:cantSplit w:val="false"/>
              </w:trPr>
              <w:tc>
                <w:tcPr>
                  <w:tcW w:type="dxa" w:w="692"/>
                  <w:vMerge w:val="continue"/>
                  <w:tcBorders>
                    <w:top w:val="none"/>
                    <w:left w:color="00000A" w:space="0" w:sz="8" w:val="single"/>
                    <w:bottom w:color="00000A" w:space="0" w:sz="8" w:val="single"/>
                    <w:right w:color="000001" w:space="0" w:sz="8" w:val="single"/>
                  </w:tcBorders>
                  <w:shd w:fill="FFFFFF" w:val="clear"/>
                  <w:tcMar>
                    <w:left w:type="dxa" w:w="98"/>
                  </w:tcMar>
                  <w:vAlign w:val="center"/>
                </w:tcPr>
                <w:p>
                  <w:pPr>
                    <w:pStyle w:val="style0"/>
                    <w:spacing w:after="0" w:before="0" w:line="100" w:lineRule="atLeast"/>
                    <w:contextualSpacing w:val="false"/>
                    <w:jc w:val="center"/>
                  </w:pPr>
                  <w:r>
                    <w:rPr>
                      <w:rFonts w:ascii="High Tower Text" w:cs="Times New Roman" w:eastAsia="Times New Roman" w:hAnsi="High Tower Text"/>
                      <w:color w:val="000000"/>
                      <w:lang w:eastAsia="id-ID"/>
                    </w:rPr>
                  </w:r>
                </w:p>
              </w:tc>
              <w:tc>
                <w:tcPr>
                  <w:tcW w:type="dxa" w:w="1964"/>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w:t>
                  </w:r>
                  <w:r>
                    <w:rPr>
                      <w:rFonts w:ascii="High Tower Text" w:cs="Times New Roman" w:eastAsia="Times New Roman" w:hAnsi="High Tower Text"/>
                      <w:color w:val="000000"/>
                      <w:lang w:eastAsia="id-ID"/>
                    </w:rPr>
                    <w:t>Jaringan Usaha CU Sawiran”</w:t>
                  </w:r>
                </w:p>
              </w:tc>
              <w:tc>
                <w:tcPr>
                  <w:tcW w:type="dxa" w:w="2262"/>
                  <w:tcBorders>
                    <w:top w:val="none"/>
                    <w:left w:val="none"/>
                    <w:bottom w:color="00000A" w:space="0" w:sz="8" w:val="single"/>
                    <w:right w:color="000001"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t>29-Mar-15</w:t>
                  </w:r>
                </w:p>
                <w:p>
                  <w:pPr>
                    <w:pStyle w:val="style0"/>
                    <w:spacing w:after="0" w:before="0" w:line="100" w:lineRule="atLeast"/>
                    <w:contextualSpacing w:val="false"/>
                    <w:jc w:val="both"/>
                  </w:pPr>
                  <w:r>
                    <w:rPr>
                      <w:rFonts w:ascii="High Tower Text" w:cs="Times New Roman" w:eastAsia="Times New Roman" w:hAnsi="High Tower Text"/>
                      <w:b/>
                      <w:bCs/>
                      <w:color w:val="000000"/>
                      <w:lang w:eastAsia="id-ID"/>
                    </w:rPr>
                  </w:r>
                </w:p>
              </w:tc>
              <w:tc>
                <w:tcPr>
                  <w:tcW w:type="dxa" w:w="868"/>
                  <w:vMerge w:val="continue"/>
                  <w:tcBorders>
                    <w:top w:val="none"/>
                    <w:left w:color="000001" w:space="0" w:sz="8" w:val="single"/>
                    <w:bottom w:color="000001" w:space="0" w:sz="8" w:val="single"/>
                    <w:right w:color="000001" w:space="0" w:sz="8" w:val="single"/>
                  </w:tcBorders>
                  <w:shd w:fill="auto" w:val="clear"/>
                  <w:tcMar>
                    <w:left w:type="dxa" w:w="98"/>
                  </w:tcMar>
                  <w:vAlign w:val="center"/>
                </w:tcPr>
                <w:p>
                  <w:pPr>
                    <w:pStyle w:val="style0"/>
                    <w:spacing w:after="0" w:before="0" w:line="100" w:lineRule="atLeast"/>
                    <w:contextualSpacing w:val="false"/>
                  </w:pPr>
                  <w:r>
                    <w:rPr>
                      <w:rFonts w:ascii="High Tower Text" w:cs="Times New Roman" w:eastAsia="Times New Roman" w:hAnsi="High Tower Text"/>
                      <w:color w:val="000000"/>
                      <w:lang w:eastAsia="id-ID"/>
                    </w:rPr>
                  </w:r>
                </w:p>
              </w:tc>
              <w:tc>
                <w:tcPr>
                  <w:tcW w:type="dxa" w:w="1548"/>
                  <w:tcBorders>
                    <w:top w:val="none"/>
                    <w:left w:val="none"/>
                    <w:bottom w:color="00000A" w:space="0" w:sz="8" w:val="single"/>
                    <w:right w:color="00000A" w:space="0" w:sz="8" w:val="single"/>
                  </w:tcBorders>
                  <w:shd w:fill="FFFFFF" w:val="clear"/>
                  <w:vAlign w:val="center"/>
                </w:tcPr>
                <w:p>
                  <w:pPr>
                    <w:pStyle w:val="style0"/>
                    <w:spacing w:after="0" w:before="0" w:line="100" w:lineRule="atLeast"/>
                    <w:contextualSpacing w:val="false"/>
                    <w:jc w:val="both"/>
                  </w:pPr>
                  <w:r>
                    <w:rPr>
                      <w:rFonts w:ascii="High Tower Text" w:cs="Times New Roman" w:eastAsia="Times New Roman" w:hAnsi="High Tower Text"/>
                      <w:color w:val="000000"/>
                      <w:lang w:eastAsia="id-ID"/>
                    </w:rPr>
                    <w:t xml:space="preserve">FX Andi </w:t>
                  </w:r>
                </w:p>
              </w:tc>
            </w:tr>
          </w:tbl>
          <w:p>
            <w:pPr>
              <w:pStyle w:val="style34"/>
              <w:spacing w:after="200" w:before="0"/>
              <w:ind w:hanging="0" w:left="0" w:right="0"/>
              <w:contextualSpacing/>
            </w:pPr>
            <w:r>
              <w:rPr>
                <w:rFonts w:ascii="Cambria" w:hAnsi="Cambria"/>
              </w:rPr>
            </w:r>
          </w:p>
        </w:tc>
      </w:tr>
    </w:tbl>
    <w:p>
      <w:pPr>
        <w:pStyle w:val="style0"/>
        <w:ind w:firstLine="720" w:left="720" w:right="0"/>
        <w:jc w:val="both"/>
      </w:pPr>
      <w:r>
        <w:rPr>
          <w:rFonts w:ascii="Cambria" w:hAnsi="Cambria"/>
        </w:rPr>
        <w:t>Mari berpartisipasi, untuk menambah peluang bisnis anda!!</w:t>
      </w:r>
    </w:p>
    <w:p>
      <w:pPr>
        <w:pStyle w:val="style34"/>
        <w:ind w:hanging="0" w:left="1440" w:right="0"/>
      </w:pPr>
      <w:r>
        <w:rPr>
          <w:rFonts w:ascii="Cambria" w:hAnsi="Cambria"/>
        </w:rPr>
      </w:r>
    </w:p>
    <w:p>
      <w:pPr>
        <w:pStyle w:val="style34"/>
        <w:numPr>
          <w:ilvl w:val="0"/>
          <w:numId w:val="7"/>
        </w:numPr>
      </w:pPr>
      <w:r>
        <w:rPr>
          <w:rFonts w:ascii="Cambria" w:hAnsi="Cambria"/>
        </w:rPr>
        <w:t>Promosi – promosi organisasi SEC</w:t>
      </w:r>
    </w:p>
    <w:p>
      <w:pPr>
        <w:pStyle w:val="style34"/>
        <w:numPr>
          <w:ilvl w:val="0"/>
          <w:numId w:val="10"/>
        </w:numPr>
      </w:pPr>
      <w:r>
        <w:rPr>
          <w:rFonts w:ascii="Cambria" w:hAnsi="Cambria"/>
        </w:rPr>
        <w:t>Hal baru yang dikeluarkan SEC</w:t>
      </w:r>
    </w:p>
    <w:p>
      <w:pPr>
        <w:pStyle w:val="style34"/>
        <w:ind w:hanging="0" w:left="1440" w:right="0"/>
      </w:pPr>
      <w:r>
        <w:rPr>
          <w:rFonts w:ascii="Cambria" w:hAnsi="Cambria"/>
        </w:rPr>
      </w:r>
    </w:p>
    <w:p>
      <w:pPr>
        <w:pStyle w:val="style34"/>
        <w:numPr>
          <w:ilvl w:val="0"/>
          <w:numId w:val="2"/>
        </w:numPr>
      </w:pPr>
      <w:r>
        <w:rPr>
          <w:rFonts w:ascii="Cambria" w:hAnsi="Cambria"/>
          <w:b/>
        </w:rPr>
        <w:t>Contact Us</w:t>
      </w:r>
    </w:p>
    <w:p>
      <w:pPr>
        <w:pStyle w:val="style34"/>
      </w:pPr>
      <w:r>
        <w:rPr>
          <w:rFonts w:ascii="Cambria" w:hAnsi="Cambria"/>
        </w:rPr>
        <w:t>Contact Us berisi kritik dan saran untuk perkembangan Sawiran Entrepreneur Community, yang langsung ditujukan kepada Super Admin Web SEC.</w:t>
      </w:r>
    </w:p>
    <w:p>
      <w:pPr>
        <w:pStyle w:val="style34"/>
      </w:pPr>
      <w:r>
        <w:rPr>
          <w:rFonts w:ascii="Cambria" w:hAnsi="Cambria"/>
        </w:rPr>
      </w:r>
    </w:p>
    <w:p>
      <w:pPr>
        <w:pStyle w:val="style1"/>
      </w:pPr>
      <w:r>
        <w:rPr/>
        <w:t>Sidebar</w:t>
      </w:r>
    </w:p>
    <w:p>
      <w:pPr>
        <w:pStyle w:val="style34"/>
        <w:numPr>
          <w:ilvl w:val="0"/>
          <w:numId w:val="7"/>
        </w:numPr>
      </w:pPr>
      <w:r>
        <w:rPr>
          <w:rFonts w:ascii="Cambria" w:hAnsi="Cambria"/>
        </w:rPr>
        <w:t>Online Admin</w:t>
      </w:r>
    </w:p>
    <w:p>
      <w:pPr>
        <w:pStyle w:val="style34"/>
        <w:numPr>
          <w:ilvl w:val="0"/>
          <w:numId w:val="7"/>
        </w:numPr>
      </w:pPr>
      <w:r>
        <w:rPr>
          <w:rFonts w:ascii="Cambria" w:hAnsi="Cambria"/>
        </w:rPr>
        <w:t>Online Anggota</w:t>
      </w:r>
    </w:p>
    <w:p>
      <w:pPr>
        <w:pStyle w:val="style34"/>
        <w:numPr>
          <w:ilvl w:val="0"/>
          <w:numId w:val="7"/>
        </w:numPr>
      </w:pPr>
      <w:r>
        <w:rPr>
          <w:rFonts w:ascii="Cambria" w:hAnsi="Cambria"/>
        </w:rPr>
        <w:t xml:space="preserve">E-SMS </w:t>
      </w:r>
      <w:r>
        <w:rPr>
          <w:rFonts w:ascii="Cambria" w:hAnsi="Cambria"/>
        </w:rPr>
        <w:t>(next project)</w:t>
      </w:r>
    </w:p>
    <w:p>
      <w:pPr>
        <w:pStyle w:val="style34"/>
        <w:numPr>
          <w:ilvl w:val="0"/>
          <w:numId w:val="7"/>
        </w:numPr>
      </w:pPr>
      <w:r>
        <w:rPr>
          <w:rFonts w:ascii="Cambria" w:hAnsi="Cambria"/>
        </w:rPr>
        <w:t xml:space="preserve">Link </w:t>
      </w:r>
      <w:hyperlink r:id="rId4">
        <w:r>
          <w:rPr>
            <w:rStyle w:val="style20"/>
            <w:rFonts w:ascii="Cambria" w:hAnsi="Cambria"/>
          </w:rPr>
          <w:t>www.cusawiran.org</w:t>
        </w:r>
      </w:hyperlink>
    </w:p>
    <w:p>
      <w:pPr>
        <w:pStyle w:val="style34"/>
        <w:numPr>
          <w:ilvl w:val="0"/>
          <w:numId w:val="7"/>
        </w:numPr>
      </w:pPr>
      <w:r>
        <w:rPr>
          <w:rFonts w:ascii="Cambria" w:hAnsi="Cambria"/>
        </w:rPr>
        <w:t>Iklan dan sponsor</w:t>
      </w:r>
    </w:p>
    <w:p>
      <w:pPr>
        <w:pStyle w:val="style1"/>
      </w:pPr>
      <w:r>
        <w:rPr/>
        <w:t>Kontent</w:t>
      </w:r>
    </w:p>
    <w:p>
      <w:pPr>
        <w:pStyle w:val="style0"/>
      </w:pPr>
      <w:r>
        <w:rPr>
          <w:rFonts w:ascii="Cambria" w:hAnsi="Cambria"/>
        </w:rPr>
        <w:t>Kontent selalu dinamis, berubah sesuai dengan kebutuhan SEC.</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242"/>
      </w:tblGrid>
      <w:tr>
        <w:trPr>
          <w:cantSplit w:val="false"/>
        </w:trPr>
        <w:tc>
          <w:tcPr>
            <w:tcW w:type="dxa" w:w="9242"/>
            <w:tcBorders>
              <w:top w:val="none"/>
              <w:left w:val="none"/>
              <w:bottom w:val="none"/>
              <w:right w:val="none"/>
            </w:tcBorders>
            <w:shd w:fill="auto" w:val="clear"/>
          </w:tcPr>
          <w:p>
            <w:pPr>
              <w:pStyle w:val="style0"/>
            </w:pPr>
            <w:r>
              <w:rPr>
                <w:rFonts w:ascii="Cambria" w:hAnsi="Cambria"/>
              </w:rPr>
              <w:t>Selamat datang dan bergabung di WEB Sawiran Entrepreneur Community!!</w:t>
            </w:r>
          </w:p>
          <w:p>
            <w:pPr>
              <w:pStyle w:val="style0"/>
            </w:pPr>
            <w:r>
              <w:rPr>
                <w:rFonts w:ascii="Cambria" w:hAnsi="Cambria"/>
              </w:rPr>
              <w:t>Sawiran Entrepreneur Community atau disingkat SEC diluncurkan sebagai bentuk jawaban atas kebutuhan anggota dan masyarakat luas untuk bisa terkoneksi antar anggota yang dikarenakan wilayah kerja CU Sawiran yang tersebar di  7 kota/ kabupaten yang memberikan peluang dan potensi  yang begitu besar untuk mengembangkan kapasitas, mengembangkan usaha dan berbagi pemikiran bagi anggota lainnya. Banyak hal yang bisa anda dapatkan dengan bergabung menjadi Anggota SEC, dan mengakses Web SEC ini diantaranya:</w:t>
            </w:r>
          </w:p>
          <w:p>
            <w:pPr>
              <w:pStyle w:val="style34"/>
              <w:numPr>
                <w:ilvl w:val="0"/>
                <w:numId w:val="12"/>
              </w:numPr>
            </w:pPr>
            <w:r>
              <w:rPr>
                <w:rFonts w:ascii="Cambria" w:hAnsi="Cambria"/>
              </w:rPr>
              <w:t xml:space="preserve">Meningkatkan pertumbuhan usaha anda </w:t>
            </w:r>
          </w:p>
          <w:p>
            <w:pPr>
              <w:pStyle w:val="style34"/>
              <w:numPr>
                <w:ilvl w:val="0"/>
                <w:numId w:val="12"/>
              </w:numPr>
            </w:pPr>
            <w:r>
              <w:rPr>
                <w:rFonts w:ascii="Cambria" w:hAnsi="Cambria"/>
              </w:rPr>
              <w:t>Link antar anggota</w:t>
            </w:r>
          </w:p>
          <w:p>
            <w:pPr>
              <w:pStyle w:val="style34"/>
              <w:numPr>
                <w:ilvl w:val="0"/>
                <w:numId w:val="12"/>
              </w:numPr>
            </w:pPr>
            <w:r>
              <w:rPr>
                <w:rFonts w:ascii="Cambria" w:hAnsi="Cambria"/>
              </w:rPr>
              <w:t>Sharing ilmu yang bermanfaat</w:t>
            </w:r>
          </w:p>
          <w:p>
            <w:pPr>
              <w:pStyle w:val="style34"/>
              <w:numPr>
                <w:ilvl w:val="0"/>
                <w:numId w:val="12"/>
              </w:numPr>
            </w:pPr>
            <w:r>
              <w:rPr>
                <w:rFonts w:ascii="Cambria" w:hAnsi="Cambria"/>
              </w:rPr>
              <w:t xml:space="preserve">Promosi gratis </w:t>
            </w:r>
          </w:p>
          <w:p>
            <w:pPr>
              <w:pStyle w:val="style34"/>
              <w:numPr>
                <w:ilvl w:val="0"/>
                <w:numId w:val="12"/>
              </w:numPr>
            </w:pPr>
            <w:r>
              <w:rPr>
                <w:rFonts w:ascii="Cambria" w:hAnsi="Cambria"/>
              </w:rPr>
              <w:t>Pendampingan dan Pelatihan Usaha</w:t>
            </w:r>
          </w:p>
          <w:p>
            <w:pPr>
              <w:pStyle w:val="style34"/>
              <w:numPr>
                <w:ilvl w:val="0"/>
                <w:numId w:val="12"/>
              </w:numPr>
            </w:pPr>
            <w:r>
              <w:rPr>
                <w:rFonts w:ascii="Cambria" w:hAnsi="Cambria"/>
              </w:rPr>
              <w:t>Informasi Peluang Usaha</w:t>
            </w:r>
          </w:p>
          <w:p>
            <w:pPr>
              <w:pStyle w:val="style34"/>
              <w:numPr>
                <w:ilvl w:val="0"/>
                <w:numId w:val="12"/>
              </w:numPr>
            </w:pPr>
            <w:r>
              <w:rPr>
                <w:rFonts w:ascii="Cambria" w:hAnsi="Cambria"/>
              </w:rPr>
              <w:t>Dll.</w:t>
            </w:r>
          </w:p>
          <w:p>
            <w:pPr>
              <w:pStyle w:val="style0"/>
            </w:pPr>
            <w:r>
              <w:rPr>
                <w:rFonts w:ascii="Cambria" w:hAnsi="Cambria"/>
              </w:rPr>
              <w:t>Ayo manfaatkan peluang dan fasilitas ini, sebagai solusi yang cerdas dalam menghadapi persaingan usaha yang begitu ketat dan pasar bebas Masyarakat Ekonomi Asean 2015.</w:t>
            </w:r>
          </w:p>
          <w:p>
            <w:pPr>
              <w:pStyle w:val="style0"/>
            </w:pPr>
            <w:r>
              <w:rPr>
                <w:rFonts w:ascii="Cambria" w:hAnsi="Cambria"/>
              </w:rPr>
            </w:r>
          </w:p>
        </w:tc>
      </w:tr>
    </w:tbl>
    <w:p>
      <w:pPr>
        <w:pStyle w:val="style0"/>
      </w:pPr>
      <w:r>
        <w:rPr>
          <w:rFonts w:ascii="Cambria" w:hAnsi="Cambria"/>
        </w:rPr>
      </w:r>
    </w:p>
    <w:p>
      <w:pPr>
        <w:pStyle w:val="style1"/>
      </w:pPr>
      <w:r>
        <w:rPr/>
        <w:t>Widget</w:t>
      </w:r>
    </w:p>
    <w:p>
      <w:pPr>
        <w:pStyle w:val="style0"/>
      </w:pPr>
      <w:r>
        <w:rPr>
          <w:rFonts w:ascii="Cambria" w:hAnsi="Cambria"/>
        </w:rPr>
        <w:t>Popular post</w:t>
      </w:r>
    </w:p>
    <w:p>
      <w:pPr>
        <w:pStyle w:val="style1"/>
      </w:pPr>
      <w:r>
        <w:rPr/>
        <w:t>Footer</w:t>
      </w:r>
    </w:p>
    <w:p>
      <w:pPr>
        <w:pStyle w:val="style0"/>
      </w:pPr>
      <w:r>
        <w:rPr>
          <w:rFonts w:ascii="Cambria" w:hAnsi="Cambria"/>
        </w:rPr>
        <w:t xml:space="preserve">Berisi pengumuman, bagaimana menjadi anggota SEC. </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242"/>
      </w:tblGrid>
      <w:tr>
        <w:trPr>
          <w:cantSplit w:val="false"/>
        </w:trPr>
        <w:tc>
          <w:tcPr>
            <w:tcW w:type="dxa" w:w="9242"/>
            <w:tcBorders>
              <w:top w:val="none"/>
              <w:left w:val="none"/>
              <w:bottom w:val="none"/>
              <w:right w:val="none"/>
            </w:tcBorders>
            <w:shd w:fill="auto" w:val="clear"/>
          </w:tcPr>
          <w:p>
            <w:pPr>
              <w:pStyle w:val="style0"/>
            </w:pPr>
            <w:r>
              <w:rPr>
                <w:rFonts w:ascii="Cambria" w:hAnsi="Cambria"/>
              </w:rPr>
              <w:t>Bagaimana menjadi Anggota SEC? Jadilah Anggota CU Sawiran dan daftarkan diri anda untuk menjadi Anggota SEC. Mudah bukan?!</w:t>
            </w:r>
          </w:p>
        </w:tc>
      </w:tr>
    </w:tbl>
    <w:p>
      <w:pPr>
        <w:pStyle w:val="style1"/>
      </w:pPr>
      <w:r>
        <w:rPr/>
        <w:t>Form</w:t>
      </w:r>
    </w:p>
    <w:p>
      <w:pPr>
        <w:pStyle w:val="style0"/>
      </w:pPr>
      <w:r>
        <w:rPr>
          <w:rFonts w:ascii="Cambria" w:hAnsi="Cambria"/>
        </w:rPr>
        <w:t>Form berisi biodata dari anggota SEC. Form ini bisa diisi sendiri oleh calon anggota SEC, dan approval dilakukan oleh admin SEC.</w:t>
      </w:r>
    </w:p>
    <w:p>
      <w:pPr>
        <w:pStyle w:val="style0"/>
      </w:pPr>
      <w:r>
        <w:rPr>
          <w:rFonts w:ascii="Cambria" w:hAnsi="Cambria"/>
          <w:b/>
          <w:i/>
        </w:rPr>
        <w:t>*Formulir Keanggotaan SEC</w:t>
      </w:r>
    </w:p>
    <w:p>
      <w:pPr>
        <w:pStyle w:val="style1"/>
      </w:pPr>
      <w:r>
        <w:rPr/>
        <w:t>Sharing Button</w:t>
      </w:r>
    </w:p>
    <w:p>
      <w:pPr>
        <w:pStyle w:val="style0"/>
      </w:pPr>
      <w:r>
        <w:rPr>
          <w:rFonts w:ascii="Cambria" w:hAnsi="Cambria"/>
        </w:rPr>
        <w:t xml:space="preserve">Sharing button dibuat untuk melihat trafic dari Web SEC. </w:t>
      </w:r>
    </w:p>
    <w:p>
      <w:pPr>
        <w:pStyle w:val="style1"/>
      </w:pPr>
      <w:r>
        <w:rPr/>
        <w:t>Penutup</w:t>
      </w:r>
    </w:p>
    <w:p>
      <w:pPr>
        <w:pStyle w:val="style0"/>
      </w:pPr>
      <w:r>
        <w:rPr>
          <w:rFonts w:ascii="Cambria" w:hAnsi="Cambria"/>
        </w:rPr>
        <w:t>Demikian draft konsep Web SEC. Kritik dan saran kami harapkan untuk menjadikan Web SEC berdayaguna bagi anggota, CU Sawiran dan masyarakat luas. Terimakasih.</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t>Hormat Kami</w:t>
      </w:r>
    </w:p>
    <w:p>
      <w:pPr>
        <w:pStyle w:val="style0"/>
      </w:pPr>
      <w:r>
        <w:rPr>
          <w:rFonts w:ascii="Cambria" w:hAnsi="Cambria"/>
        </w:rPr>
      </w:r>
    </w:p>
    <w:p>
      <w:pPr>
        <w:pStyle w:val="style0"/>
      </w:pPr>
      <w:r>
        <w:rPr>
          <w:rFonts w:ascii="Cambria" w:hAnsi="Cambria"/>
        </w:rPr>
      </w:r>
    </w:p>
    <w:p>
      <w:pPr>
        <w:pStyle w:val="style0"/>
      </w:pPr>
      <w:r>
        <w:rPr>
          <w:rFonts w:ascii="Cambria" w:hAnsi="Cambria"/>
        </w:rPr>
      </w:r>
    </w:p>
    <w:p>
      <w:pPr>
        <w:pStyle w:val="style0"/>
      </w:pPr>
      <w:r>
        <w:rPr>
          <w:rFonts w:ascii="Cambria" w:hAnsi="Cambria"/>
        </w:rPr>
        <w:t>RnD Team</w:t>
      </w:r>
    </w:p>
    <w:sectPr>
      <w:footerReference r:id="rId5"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Arial">
    <w:charset w:val="80"/>
    <w:family w:val="swiss"/>
    <w:pitch w:val="variable"/>
  </w:font>
  <w:font w:name="Forte">
    <w:charset w:val="80"/>
    <w:family w:val="roman"/>
    <w:pitch w:val="variable"/>
  </w:font>
  <w:font w:name="High Tower Tex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Cambria">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rPr>
      <w:fldChar w:fldCharType="begin"/>
    </w:r>
    <w:r>
      <w:instrText> PAGE </w:instrText>
    </w:r>
    <w:r>
      <w:fldChar w:fldCharType="separate"/>
    </w:r>
    <w:r>
      <w:t>5</w:t>
    </w:r>
    <w:r>
      <w:fldChar w:fldCharType="end"/>
    </w:r>
    <w:r>
      <w:rPr>
        <w:b/>
      </w:rPr>
      <w:t xml:space="preserve"> </w:t>
    </w:r>
    <w:r>
      <w:rPr>
        <w:b/>
      </w:rPr>
      <w:t>|</w:t>
    </w:r>
    <w:r>
      <w:rPr>
        <w:color w:val="7F7F7F"/>
        <w:spacing w:val="60"/>
      </w:rPr>
      <w:t>Draft Concept – Web SEC</w:t>
    </w:r>
    <w:pStyle w:val="style38"/>
    <w:top w:color="D9D9D9" w:space="0" w:sz="4" w:val="single"/>
    <w:left w:val="none"/>
    <w:bottom w:val="none"/>
    <w:insideH w:val="none"/>
    <w:right w:val="none"/>
    <w:insideV w:val="none"/>
    <w:pPr/>
  </w:p>
  <w:p>
    <w:pPr>
      <w:pStyle w:val="style38"/>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7">
    <w:lvl w:ilvl="0">
      <w:start w:val="1"/>
      <w:numFmt w:val="bullet"/>
      <w:lvlText w:val="-"/>
      <w:lvlJc w:val="left"/>
      <w:pPr>
        <w:ind w:hanging="360" w:left="1080"/>
      </w:pPr>
      <w:rPr>
        <w:rFonts w:ascii="Cambria" w:cs="Cambria" w:hAnsi="Cambria"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8">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9">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10">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16">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1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2"/>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id-ID"/>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Balloon Text Char"/>
    <w:basedOn w:val="style15"/>
    <w:next w:val="style18"/>
    <w:rPr>
      <w:rFonts w:ascii="Tahoma" w:cs="Tahoma" w:hAnsi="Tahoma"/>
      <w:sz w:val="16"/>
      <w:szCs w:val="16"/>
    </w:rPr>
  </w:style>
  <w:style w:styleId="style19" w:type="character">
    <w:name w:val="Heading 2 Char"/>
    <w:basedOn w:val="style15"/>
    <w:next w:val="style19"/>
    <w:rPr>
      <w:rFonts w:ascii="Cambria" w:cs="" w:hAnsi="Cambria"/>
      <w:b/>
      <w:bCs/>
      <w:color w:val="4F81BD"/>
      <w:sz w:val="26"/>
      <w:szCs w:val="26"/>
    </w:rPr>
  </w:style>
  <w:style w:styleId="style20" w:type="character">
    <w:name w:val="Internet Link"/>
    <w:basedOn w:val="style15"/>
    <w:next w:val="style20"/>
    <w:rPr>
      <w:color w:val="0000FF"/>
      <w:u w:val="single"/>
      <w:lang w:bidi="zxx-" w:eastAsia="zxx-" w:val="zxx-"/>
    </w:rPr>
  </w:style>
  <w:style w:styleId="style21" w:type="character">
    <w:name w:val="Subtle Reference"/>
    <w:basedOn w:val="style15"/>
    <w:next w:val="style21"/>
    <w:rPr>
      <w:smallCaps/>
      <w:color w:val="C0504D"/>
      <w:u w:val="single"/>
    </w:rPr>
  </w:style>
  <w:style w:styleId="style22" w:type="character">
    <w:name w:val="No Spacing Char"/>
    <w:basedOn w:val="style15"/>
    <w:next w:val="style22"/>
    <w:rPr>
      <w:rFonts w:cs=""/>
      <w:lang w:eastAsia="ja-JP" w:val="en-US"/>
    </w:rPr>
  </w:style>
  <w:style w:styleId="style23" w:type="character">
    <w:name w:val="Book Title"/>
    <w:basedOn w:val="style15"/>
    <w:next w:val="style23"/>
    <w:rPr>
      <w:b/>
      <w:bCs/>
      <w:smallCaps/>
      <w:spacing w:val="5"/>
    </w:rPr>
  </w:style>
  <w:style w:styleId="style24" w:type="character">
    <w:name w:val="Header Char"/>
    <w:basedOn w:val="style15"/>
    <w:next w:val="style24"/>
    <w:rPr/>
  </w:style>
  <w:style w:styleId="style25" w:type="character">
    <w:name w:val="Footer Char"/>
    <w:basedOn w:val="style15"/>
    <w:next w:val="style25"/>
    <w:rPr/>
  </w:style>
  <w:style w:styleId="style26" w:type="character">
    <w:name w:val="ListLabel 1"/>
    <w:next w:val="style26"/>
    <w:rPr>
      <w:rFonts w:cs="Courier New"/>
    </w:rPr>
  </w:style>
  <w:style w:styleId="style27" w:type="character">
    <w:name w:val="ListLabel 2"/>
    <w:next w:val="style27"/>
    <w:rPr>
      <w:rFonts w:cs="Calibri"/>
    </w:rPr>
  </w:style>
  <w:style w:styleId="style28" w:type="paragraph">
    <w:name w:val="Heading"/>
    <w:basedOn w:val="style0"/>
    <w:next w:val="style29"/>
    <w:pPr>
      <w:keepNext/>
      <w:spacing w:after="120" w:before="240"/>
      <w:contextualSpacing w:val="false"/>
    </w:pPr>
    <w:rPr>
      <w:rFonts w:ascii="Arial" w:cs="Lohit Hindi" w:eastAsia="DejaVu Sans"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contextualSpacing w:val="false"/>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Title"/>
    <w:basedOn w:val="style0"/>
    <w:next w:val="style33"/>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34" w:type="paragraph">
    <w:name w:val="List Paragraph"/>
    <w:basedOn w:val="style0"/>
    <w:next w:val="style34"/>
    <w:pPr>
      <w:spacing w:after="200" w:before="0"/>
      <w:ind w:hanging="0" w:left="720" w:right="0"/>
      <w:contextualSpacing/>
    </w:pPr>
    <w:rPr/>
  </w:style>
  <w:style w:styleId="style35" w:type="paragraph">
    <w:name w:val="Balloon Text"/>
    <w:basedOn w:val="style0"/>
    <w:next w:val="style35"/>
    <w:pPr>
      <w:spacing w:after="0" w:before="0" w:line="100" w:lineRule="atLeast"/>
      <w:contextualSpacing w:val="false"/>
    </w:pPr>
    <w:rPr>
      <w:rFonts w:ascii="Tahoma" w:cs="Tahoma" w:hAnsi="Tahoma"/>
      <w:sz w:val="16"/>
      <w:szCs w:val="16"/>
    </w:rPr>
  </w:style>
  <w:style w:styleId="style36" w:type="paragraph">
    <w:name w:val="No Spacing"/>
    <w:next w:val="style36"/>
    <w:pPr>
      <w:widowControl/>
      <w:suppressAutoHyphens w:val="true"/>
      <w:spacing w:after="0" w:before="0" w:line="100" w:lineRule="atLeast"/>
      <w:contextualSpacing w:val="false"/>
    </w:pPr>
    <w:rPr>
      <w:rFonts w:ascii="Calibri" w:cs="" w:eastAsia="DejaVu Sans" w:hAnsi="Calibri"/>
      <w:color w:val="auto"/>
      <w:sz w:val="22"/>
      <w:szCs w:val="22"/>
      <w:lang w:bidi="ar-SA" w:eastAsia="ja-JP" w:val="en-US"/>
    </w:rPr>
  </w:style>
  <w:style w:styleId="style37" w:type="paragraph">
    <w:name w:val="Header"/>
    <w:basedOn w:val="style0"/>
    <w:next w:val="style37"/>
    <w:pPr>
      <w:tabs>
        <w:tab w:leader="none" w:pos="4513" w:val="center"/>
        <w:tab w:leader="none" w:pos="9026" w:val="right"/>
      </w:tabs>
      <w:spacing w:after="0" w:before="0" w:line="100" w:lineRule="atLeast"/>
      <w:contextualSpacing w:val="false"/>
    </w:pPr>
    <w:rPr/>
  </w:style>
  <w:style w:styleId="style38" w:type="paragraph">
    <w:name w:val="Footer"/>
    <w:basedOn w:val="style0"/>
    <w:next w:val="style38"/>
    <w:pPr>
      <w:tabs>
        <w:tab w:leader="none" w:pos="4513" w:val="center"/>
        <w:tab w:leader="none" w:pos="9026" w:val="right"/>
      </w:tabs>
      <w:spacing w:after="0" w:before="0" w:line="100" w:lineRule="atLeast"/>
      <w:contextualSpacing w:val="false"/>
    </w:pPr>
    <w:rPr/>
  </w:style>
  <w:style w:styleId="style39" w:type="paragraph">
    <w:name w:val="Frame Contents"/>
    <w:basedOn w:val="style29"/>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C.org/" TargetMode="External"/><Relationship Id="rId3" Type="http://schemas.openxmlformats.org/officeDocument/2006/relationships/image" Target="media/image3.png"/><Relationship Id="rId4" Type="http://schemas.openxmlformats.org/officeDocument/2006/relationships/hyperlink" Target="http://www.cusawiran.or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459</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2015-01-09T08:01:00.00Z</dcterms:created>
  <dc:creator>Lukman</dc:creator>
  <cp:lastModifiedBy>Tatik</cp:lastModifiedBy>
  <dcterms:modified xsi:type="dcterms:W3CDTF">2015-01-12T07:33:00.00Z</dcterms:modified>
  <cp:revision>10</cp:revision>
  <dc:subject>RnD Tim</dc:subject>
  <dc:title>Konsep WEB SEC</dc:title>
</cp:coreProperties>
</file>