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buqmjyuunea" w:id="0"/>
      <w:bookmarkEnd w:id="0"/>
      <w:r w:rsidDel="00000000" w:rsidR="00000000" w:rsidRPr="00000000">
        <w:rPr>
          <w:b w:val="1"/>
          <w:bCs w:val="1"/>
          <w:sz w:val="46"/>
          <w:szCs w:val="46"/>
          <w:rtl w:val="0"/>
        </w:rPr>
        <w:t xml:space="preserve">MODULE 4 — PÉNALITÉS</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Analyse juridique des sanctions financières : intérêts de retard (1727 CGI), majoration pour manquement délibéré (1729 CGI), et pénalité pour défaut de désignation des bénéficiaires (1759 CGI sur le fondement de l'article 117 CGI)</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8twu0nihgk3s" w:id="1"/>
      <w:bookmarkEnd w:id="1"/>
      <w:r w:rsidDel="00000000" w:rsidR="00000000" w:rsidRPr="00000000">
        <w:rPr>
          <w:b w:val="1"/>
          <w:bCs w:val="1"/>
          <w:sz w:val="34"/>
          <w:szCs w:val="34"/>
          <w:rtl w:val="0"/>
        </w:rPr>
        <w:t xml:space="preserve">Convention de référence aux pages</w:t>
      </w:r>
    </w:p>
    <w:p w:rsidR="00000000" w:rsidDel="00000000" w:rsidP="00000000" w:rsidRDefault="00000000" w:rsidRPr="00000000" w14:paraId="00000005">
      <w:pPr>
        <w:spacing w:after="240" w:lineRule="auto"/>
        <w:rPr/>
      </w:pPr>
      <w:r w:rsidDel="00000000" w:rsidR="00000000" w:rsidRPr="00000000">
        <w:rPr>
          <w:rtl w:val="0"/>
        </w:rPr>
        <w:t xml:space="preserve">Sauf indication contraire, toute mention « page X » ou « p. X » dans le présent module renvoie au numéro de page imprimé en bas de la </w:t>
      </w:r>
      <w:r w:rsidDel="00000000" w:rsidR="00000000" w:rsidRPr="00000000">
        <w:rPr>
          <w:b w:val="1"/>
          <w:bCs w:val="1"/>
          <w:rtl w:val="0"/>
        </w:rPr>
        <w:t xml:space="preserve">proposition de rectification du 18 mai 2026</w:t>
      </w:r>
      <w:r w:rsidDel="00000000" w:rsidR="00000000" w:rsidRPr="00000000">
        <w:rPr>
          <w:rtl w:val="0"/>
        </w:rPr>
        <w:t xml:space="preserve"> signée par Pierre DROUARD, Inspecteur des Finances Publiques (DDFiP Jura).</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gp25r4xqmuzt" w:id="2"/>
      <w:bookmarkEnd w:id="2"/>
      <w:r w:rsidDel="00000000" w:rsidR="00000000" w:rsidRPr="00000000">
        <w:rPr>
          <w:b w:val="1"/>
          <w:bCs w:val="1"/>
          <w:sz w:val="34"/>
          <w:szCs w:val="34"/>
          <w:rtl w:val="0"/>
        </w:rPr>
        <w:t xml:space="preserve">Cadre général : architecture des trois sanctions</w:t>
      </w:r>
    </w:p>
    <w:p w:rsidR="00000000" w:rsidDel="00000000" w:rsidP="00000000" w:rsidRDefault="00000000" w:rsidRPr="00000000" w14:paraId="00000008">
      <w:pPr>
        <w:spacing w:after="240" w:lineRule="auto"/>
        <w:rPr/>
      </w:pPr>
      <w:r w:rsidDel="00000000" w:rsidR="00000000" w:rsidRPr="00000000">
        <w:rPr>
          <w:rtl w:val="0"/>
        </w:rPr>
        <w:t xml:space="preserve">L'administration applique trois mécanismes distincts, qu'il importe de ne pas confondre :</w:t>
      </w:r>
    </w:p>
    <w:p w:rsidR="00000000" w:rsidDel="00000000" w:rsidP="00000000" w:rsidRDefault="00000000" w:rsidRPr="00000000" w14:paraId="00000009">
      <w:pPr>
        <w:numPr>
          <w:ilvl w:val="0"/>
          <w:numId w:val="13"/>
        </w:numPr>
        <w:spacing w:after="0" w:afterAutospacing="0" w:lineRule="auto"/>
        <w:ind w:left="720" w:hanging="360"/>
      </w:pPr>
      <w:r w:rsidDel="00000000" w:rsidR="00000000" w:rsidRPr="00000000">
        <w:rPr>
          <w:b w:val="1"/>
          <w:bCs w:val="1"/>
          <w:rtl w:val="0"/>
        </w:rPr>
        <w:t xml:space="preserve">Intérêts de retard</w:t>
      </w:r>
      <w:r w:rsidDel="00000000" w:rsidR="00000000" w:rsidRPr="00000000">
        <w:rPr>
          <w:rtl w:val="0"/>
        </w:rPr>
        <w:t xml:space="preserve"> (article 1727 du CGI) : 0,20 % par mois. Ne constituent pas une sanction (p. 57 : « L'intérêt de retard n'a pas le caractère d'une sanction et vise seulement à réparer le préjudice subi par le trésor du fait de la perception tardive de sa créance »).</w:t>
      </w:r>
    </w:p>
    <w:p w:rsidR="00000000" w:rsidDel="00000000" w:rsidP="00000000" w:rsidRDefault="00000000" w:rsidRPr="00000000" w14:paraId="0000000A">
      <w:pPr>
        <w:numPr>
          <w:ilvl w:val="0"/>
          <w:numId w:val="13"/>
        </w:numPr>
        <w:spacing w:after="0" w:afterAutospacing="0" w:lineRule="auto"/>
        <w:ind w:left="720" w:hanging="360"/>
      </w:pPr>
      <w:r w:rsidDel="00000000" w:rsidR="00000000" w:rsidRPr="00000000">
        <w:rPr>
          <w:b w:val="1"/>
          <w:bCs w:val="1"/>
          <w:rtl w:val="0"/>
        </w:rPr>
        <w:t xml:space="preserve">Majoration de 40 % pour manquement délibéré</w:t>
      </w:r>
      <w:r w:rsidDel="00000000" w:rsidR="00000000" w:rsidRPr="00000000">
        <w:rPr>
          <w:rtl w:val="0"/>
        </w:rPr>
        <w:t xml:space="preserve"> (article 1729 a du CGI), appliquée aux droits IS et TVA.</w:t>
      </w:r>
    </w:p>
    <w:p w:rsidR="00000000" w:rsidDel="00000000" w:rsidP="00000000" w:rsidRDefault="00000000" w:rsidRPr="00000000" w14:paraId="0000000B">
      <w:pPr>
        <w:numPr>
          <w:ilvl w:val="0"/>
          <w:numId w:val="13"/>
        </w:numPr>
        <w:spacing w:after="240" w:lineRule="auto"/>
        <w:ind w:left="720" w:hanging="360"/>
      </w:pPr>
      <w:r w:rsidDel="00000000" w:rsidR="00000000" w:rsidRPr="00000000">
        <w:rPr>
          <w:b w:val="1"/>
          <w:bCs w:val="1"/>
          <w:rtl w:val="0"/>
        </w:rPr>
        <w:t xml:space="preserve">Pénalité de 100 %</w:t>
      </w:r>
      <w:r w:rsidDel="00000000" w:rsidR="00000000" w:rsidRPr="00000000">
        <w:rPr>
          <w:rtl w:val="0"/>
        </w:rPr>
        <w:t xml:space="preserve"> prévue à l'article 1759 du CGI, applicable en l'absence de réponse à l'invitation à désigner les bénéficiaires des sommes regardées comme distribuées (article 117 du CGI).</w:t>
      </w:r>
    </w:p>
    <w:p w:rsidR="00000000" w:rsidDel="00000000" w:rsidP="00000000" w:rsidRDefault="00000000" w:rsidRPr="00000000" w14:paraId="0000000C">
      <w:pPr>
        <w:spacing w:after="240" w:lineRule="auto"/>
        <w:rPr/>
      </w:pPr>
      <w:r w:rsidDel="00000000" w:rsidR="00000000" w:rsidRPr="00000000">
        <w:rPr>
          <w:rtl w:val="0"/>
        </w:rPr>
        <w:t xml:space="preserve">Chiffres applicables au dossier :</w:t>
      </w:r>
    </w:p>
    <w:tbl>
      <w:tblPr>
        <w:tblStyle w:val="Table1"/>
        <w:tblW w:w="9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0"/>
        <w:gridCol w:w="4010"/>
        <w:gridCol w:w="1595"/>
        <w:gridCol w:w="1385"/>
        <w:tblGridChange w:id="0">
          <w:tblGrid>
            <w:gridCol w:w="2630"/>
            <w:gridCol w:w="4010"/>
            <w:gridCol w:w="1595"/>
            <w:gridCol w:w="1385"/>
          </w:tblGrid>
        </w:tblGridChange>
      </w:tblGrid>
      <w:tr>
        <w:trPr>
          <w:cantSplit w:val="0"/>
          <w:trHeight w:val="69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Sanction</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Base</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Taux</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Montant</w:t>
            </w:r>
            <w:r w:rsidDel="00000000" w:rsidR="00000000" w:rsidRPr="00000000">
              <w:rPr>
                <w:rtl w:val="0"/>
              </w:rPr>
            </w:r>
          </w:p>
        </w:tc>
      </w:tr>
      <w:tr>
        <w:trPr>
          <w:cantSplit w:val="0"/>
          <w:trHeight w:val="93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Intérêts de retard IS</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97 510 € (droits IS)</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0,20 %/mois</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4 661 €</w:t>
            </w:r>
          </w:p>
        </w:tc>
      </w:tr>
      <w:tr>
        <w:trPr>
          <w:cantSplit w:val="0"/>
          <w:trHeight w:val="93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Intérêts de retard TVA</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49 547 € (droits TVA)</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0,20 %/mois</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2 607 €</w:t>
            </w:r>
          </w:p>
        </w:tc>
      </w:tr>
      <w:tr>
        <w:trPr>
          <w:cantSplit w:val="0"/>
          <w:trHeight w:val="93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Majoration 1729 sur IS</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97 510 €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40 %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39 004 €</w:t>
            </w:r>
          </w:p>
        </w:tc>
      </w:tr>
      <w:tr>
        <w:trPr>
          <w:cantSplit w:val="0"/>
          <w:trHeight w:val="93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Majoration 1729 sur TVA</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49 547 €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40 %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19 819 €</w:t>
            </w:r>
          </w:p>
        </w:tc>
      </w:tr>
      <w:tr>
        <w:trPr>
          <w:cantSplit w:val="0"/>
          <w:trHeight w:val="93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Pénalité 1759</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471 826 € (total distributions présumées)</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100 %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471 826 €</w:t>
            </w:r>
          </w:p>
        </w:tc>
      </w:tr>
      <w:tr>
        <w:trPr>
          <w:cantSplit w:val="0"/>
          <w:trHeight w:val="93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Total des sanctions</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bCs w:val="1"/>
                <w:rtl w:val="0"/>
              </w:rPr>
              <w:t xml:space="preserve">537 917 €</w:t>
            </w:r>
            <w:r w:rsidDel="00000000" w:rsidR="00000000" w:rsidRPr="00000000">
              <w:rPr>
                <w:rtl w:val="0"/>
              </w:rPr>
            </w:r>
          </w:p>
        </w:tc>
      </w:tr>
    </w:tbl>
    <w:p w:rsidR="00000000" w:rsidDel="00000000" w:rsidP="00000000" w:rsidRDefault="00000000" w:rsidRPr="00000000" w14:paraId="00000029">
      <w:pPr>
        <w:spacing w:after="240" w:lineRule="auto"/>
        <w:rPr/>
      </w:pPr>
      <w:r w:rsidDel="00000000" w:rsidR="00000000" w:rsidRPr="00000000">
        <w:rPr>
          <w:rtl w:val="0"/>
        </w:rPr>
        <w:t xml:space="preserve">Le total des sanctions stricto sensu (1729 + 1759) représente </w:t>
      </w:r>
      <w:r w:rsidDel="00000000" w:rsidR="00000000" w:rsidRPr="00000000">
        <w:rPr>
          <w:b w:val="1"/>
          <w:bCs w:val="1"/>
          <w:rtl w:val="0"/>
        </w:rPr>
        <w:t xml:space="preserve">537 917 </w:t>
      </w:r>
      <w:r w:rsidDel="00000000" w:rsidR="00000000" w:rsidRPr="00000000">
        <w:rPr>
          <w:rtl w:val="0"/>
        </w:rPr>
        <w:t xml:space="preserve">€, soit 77 % de l'enjeu global (684 974 €). La part contestable au plus fort effet financier est donc celle des sanctions, et non celle des droits.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5ivco2ha7urs" w:id="3"/>
      <w:bookmarkEnd w:id="3"/>
      <w:r w:rsidDel="00000000" w:rsidR="00000000" w:rsidRPr="00000000">
        <w:rPr>
          <w:b w:val="1"/>
          <w:bCs w:val="1"/>
          <w:sz w:val="34"/>
          <w:szCs w:val="34"/>
          <w:rtl w:val="0"/>
        </w:rPr>
        <w:t xml:space="preserve">4.1 Cadre juridique de la majoration 1729 (manquement délibéré)</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gk6mnx59esel" w:id="4"/>
      <w:bookmarkEnd w:id="4"/>
      <w:r w:rsidDel="00000000" w:rsidR="00000000" w:rsidRPr="00000000">
        <w:rPr>
          <w:b w:val="1"/>
          <w:bCs w:val="1"/>
          <w:color w:val="000000"/>
          <w:sz w:val="26"/>
          <w:szCs w:val="26"/>
          <w:rtl w:val="0"/>
        </w:rPr>
        <w:t xml:space="preserve">Texte et conditions cumulatives</w:t>
      </w:r>
    </w:p>
    <w:p w:rsidR="00000000" w:rsidDel="00000000" w:rsidP="00000000" w:rsidRDefault="00000000" w:rsidRPr="00000000" w14:paraId="0000002D">
      <w:pPr>
        <w:spacing w:after="240" w:lineRule="auto"/>
        <w:rPr/>
      </w:pPr>
      <w:r w:rsidDel="00000000" w:rsidR="00000000" w:rsidRPr="00000000">
        <w:rPr>
          <w:rtl w:val="0"/>
        </w:rPr>
        <w:t xml:space="preserve">L'article 1729 du CGI, dans sa version applicable, dispose que la majoration de 40 % s'applique « si le manquement délibéré de l'intéressé est établi » (texte cité p. 57).</w:t>
      </w:r>
    </w:p>
    <w:p w:rsidR="00000000" w:rsidDel="00000000" w:rsidP="00000000" w:rsidRDefault="00000000" w:rsidRPr="00000000" w14:paraId="0000002E">
      <w:pPr>
        <w:spacing w:after="240" w:lineRule="auto"/>
        <w:rPr/>
      </w:pPr>
      <w:r w:rsidDel="00000000" w:rsidR="00000000" w:rsidRPr="00000000">
        <w:rPr>
          <w:rtl w:val="0"/>
        </w:rPr>
        <w:t xml:space="preserve">Deux conditions cumulatives sont requises :</w:t>
      </w:r>
    </w:p>
    <w:p w:rsidR="00000000" w:rsidDel="00000000" w:rsidP="00000000" w:rsidRDefault="00000000" w:rsidRPr="00000000" w14:paraId="0000002F">
      <w:pPr>
        <w:numPr>
          <w:ilvl w:val="0"/>
          <w:numId w:val="4"/>
        </w:numPr>
        <w:spacing w:after="0" w:afterAutospacing="0" w:lineRule="auto"/>
        <w:ind w:left="720" w:hanging="360"/>
      </w:pPr>
      <w:r w:rsidDel="00000000" w:rsidR="00000000" w:rsidRPr="00000000">
        <w:rPr>
          <w:b w:val="1"/>
          <w:bCs w:val="1"/>
          <w:rtl w:val="0"/>
        </w:rPr>
        <w:t xml:space="preserve">Élément matériel</w:t>
      </w:r>
      <w:r w:rsidDel="00000000" w:rsidR="00000000" w:rsidRPr="00000000">
        <w:rPr>
          <w:rtl w:val="0"/>
        </w:rPr>
        <w:t xml:space="preserve"> : la déclaration fait apparaître une base d'imposition « insuffisante, inexacte ou incomplète ». Cette condition recoupe l'existence même d'un rehaussement.</w:t>
      </w:r>
    </w:p>
    <w:p w:rsidR="00000000" w:rsidDel="00000000" w:rsidP="00000000" w:rsidRDefault="00000000" w:rsidRPr="00000000" w14:paraId="00000030">
      <w:pPr>
        <w:numPr>
          <w:ilvl w:val="0"/>
          <w:numId w:val="4"/>
        </w:numPr>
        <w:spacing w:after="240" w:lineRule="auto"/>
        <w:ind w:left="720" w:hanging="360"/>
      </w:pPr>
      <w:r w:rsidDel="00000000" w:rsidR="00000000" w:rsidRPr="00000000">
        <w:rPr>
          <w:b w:val="1"/>
          <w:bCs w:val="1"/>
          <w:rtl w:val="0"/>
        </w:rPr>
        <w:t xml:space="preserve">Élément intentionnel</w:t>
      </w:r>
      <w:r w:rsidDel="00000000" w:rsidR="00000000" w:rsidRPr="00000000">
        <w:rPr>
          <w:rtl w:val="0"/>
        </w:rPr>
        <w:t xml:space="preserve"> : il doit être démontré que le contribuable « avait la connaissance exacte des faits ou de la situation qui motivent les rehaussements » (formulation reprise p. 57).</w:t>
      </w:r>
    </w:p>
    <w:p w:rsidR="00000000" w:rsidDel="00000000" w:rsidP="00000000" w:rsidRDefault="00000000" w:rsidRPr="00000000" w14:paraId="00000031">
      <w:pPr>
        <w:spacing w:after="240" w:lineRule="auto"/>
        <w:rPr/>
      </w:pPr>
      <w:r w:rsidDel="00000000" w:rsidR="00000000" w:rsidRPr="00000000">
        <w:rPr>
          <w:rtl w:val="0"/>
        </w:rPr>
        <w:t xml:space="preserve">La proposition reproduit elle-même cette définition stricte p. 57 : « Le manquement délibéré d'un professionnel ou d'un particulier est établi lorsqu'il est démontré que celui-ci avait la connaissance exacte des faits ou de la situation qui motivent les rehaussements. »</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k3n9weojqbj" w:id="5"/>
      <w:bookmarkEnd w:id="5"/>
      <w:r w:rsidDel="00000000" w:rsidR="00000000" w:rsidRPr="00000000">
        <w:rPr>
          <w:b w:val="1"/>
          <w:bCs w:val="1"/>
          <w:color w:val="000000"/>
          <w:sz w:val="26"/>
          <w:szCs w:val="26"/>
          <w:rtl w:val="0"/>
        </w:rPr>
        <w:t xml:space="preserve">Charge de la preuve : article L. 195 A du LPF</w:t>
      </w:r>
    </w:p>
    <w:p w:rsidR="00000000" w:rsidDel="00000000" w:rsidP="00000000" w:rsidRDefault="00000000" w:rsidRPr="00000000" w14:paraId="00000033">
      <w:pPr>
        <w:spacing w:after="240" w:lineRule="auto"/>
        <w:rPr/>
      </w:pPr>
      <w:r w:rsidDel="00000000" w:rsidR="00000000" w:rsidRPr="00000000">
        <w:rPr>
          <w:rtl w:val="0"/>
        </w:rPr>
        <w:t xml:space="preserve">L'article L. 195 A du LPF dispose que « la preuve de la mauvaise foi et des manœuvres frauduleuses incombe à l'administration ». Cette règle constitue le pilier du contentieux des pénalités fiscales et est rappelée dans la doctrine administrative (BOI-CF-INF-10-20).</w:t>
      </w:r>
    </w:p>
    <w:p w:rsidR="00000000" w:rsidDel="00000000" w:rsidP="00000000" w:rsidRDefault="00000000" w:rsidRPr="00000000" w14:paraId="00000034">
      <w:pPr>
        <w:spacing w:after="240" w:lineRule="auto"/>
        <w:rPr/>
      </w:pPr>
      <w:r w:rsidDel="00000000" w:rsidR="00000000" w:rsidRPr="00000000">
        <w:rPr>
          <w:rtl w:val="0"/>
        </w:rPr>
        <w:t xml:space="preserve">La jurisprudence du Conseil d'État précise les exigences probatoires :</w:t>
      </w:r>
    </w:p>
    <w:p w:rsidR="00000000" w:rsidDel="00000000" w:rsidP="00000000" w:rsidRDefault="00000000" w:rsidRPr="00000000" w14:paraId="00000035">
      <w:pPr>
        <w:numPr>
          <w:ilvl w:val="0"/>
          <w:numId w:val="7"/>
        </w:numPr>
        <w:spacing w:after="0" w:afterAutospacing="0" w:lineRule="auto"/>
        <w:ind w:left="720" w:hanging="360"/>
      </w:pPr>
      <w:r w:rsidDel="00000000" w:rsidR="00000000" w:rsidRPr="00000000">
        <w:rPr>
          <w:b w:val="1"/>
          <w:bCs w:val="1"/>
          <w:rtl w:val="0"/>
        </w:rPr>
        <w:t xml:space="preserve">CE, 11 février 2021, n° 432960</w:t>
      </w:r>
      <w:r w:rsidDel="00000000" w:rsidR="00000000" w:rsidRPr="00000000">
        <w:rPr>
          <w:rtl w:val="0"/>
        </w:rPr>
        <w:t xml:space="preserve"> : l'administration doit apporter une double preuve, celle de l'irrégularité et celle de l'intention frauduleuse. La seule existence des irrégularités matérielles ne suffit pas.</w:t>
      </w:r>
    </w:p>
    <w:p w:rsidR="00000000" w:rsidDel="00000000" w:rsidP="00000000" w:rsidRDefault="00000000" w:rsidRPr="00000000" w14:paraId="00000036">
      <w:pPr>
        <w:numPr>
          <w:ilvl w:val="0"/>
          <w:numId w:val="7"/>
        </w:numPr>
        <w:spacing w:after="0" w:afterAutospacing="0" w:lineRule="auto"/>
        <w:ind w:left="720" w:hanging="360"/>
      </w:pPr>
      <w:r w:rsidDel="00000000" w:rsidR="00000000" w:rsidRPr="00000000">
        <w:rPr>
          <w:b w:val="1"/>
          <w:bCs w:val="1"/>
          <w:rtl w:val="0"/>
        </w:rPr>
        <w:t xml:space="preserve">TA Nice, 20 mars 2025, n° 2300782</w:t>
      </w:r>
      <w:r w:rsidDel="00000000" w:rsidR="00000000" w:rsidRPr="00000000">
        <w:rPr>
          <w:rtl w:val="0"/>
        </w:rPr>
        <w:t xml:space="preserve"> : la simple récurrence d'irrégularités, ou l'existence d'un précédent contrôle, ne suffit pas à caractériser le manquement délibéré.</w:t>
      </w:r>
    </w:p>
    <w:p w:rsidR="00000000" w:rsidDel="00000000" w:rsidP="00000000" w:rsidRDefault="00000000" w:rsidRPr="00000000" w14:paraId="00000037">
      <w:pPr>
        <w:numPr>
          <w:ilvl w:val="0"/>
          <w:numId w:val="7"/>
        </w:numPr>
        <w:spacing w:after="240" w:lineRule="auto"/>
        <w:ind w:left="720" w:hanging="360"/>
      </w:pPr>
      <w:r w:rsidDel="00000000" w:rsidR="00000000" w:rsidRPr="00000000">
        <w:rPr>
          <w:b w:val="1"/>
          <w:bCs w:val="1"/>
          <w:rtl w:val="0"/>
        </w:rPr>
        <w:t xml:space="preserve">CAA Paris, 13 février 2025, n° 23PA02734</w:t>
      </w:r>
      <w:r w:rsidDel="00000000" w:rsidR="00000000" w:rsidRPr="00000000">
        <w:rPr>
          <w:rtl w:val="0"/>
        </w:rPr>
        <w:t xml:space="preserve"> : l'administration doit motiver utilement, le défaut de motivation utile pouvant emporter annulation de la pénalité.</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h18e4hwujd6d" w:id="6"/>
      <w:bookmarkEnd w:id="6"/>
      <w:r w:rsidDel="00000000" w:rsidR="00000000" w:rsidRPr="00000000">
        <w:rPr>
          <w:b w:val="1"/>
          <w:bCs w:val="1"/>
          <w:color w:val="000000"/>
          <w:sz w:val="26"/>
          <w:szCs w:val="26"/>
          <w:rtl w:val="0"/>
        </w:rPr>
        <w:t xml:space="preserve">Validation hiérarchique : article L. 80 E du LPF</w:t>
      </w:r>
    </w:p>
    <w:p w:rsidR="00000000" w:rsidDel="00000000" w:rsidP="00000000" w:rsidRDefault="00000000" w:rsidRPr="00000000" w14:paraId="00000039">
      <w:pPr>
        <w:spacing w:after="240" w:lineRule="auto"/>
        <w:rPr/>
      </w:pPr>
      <w:r w:rsidDel="00000000" w:rsidR="00000000" w:rsidRPr="00000000">
        <w:rPr>
          <w:rtl w:val="0"/>
        </w:rPr>
        <w:t xml:space="preserve">L'article L. 80 E du LPF impose que la décision d'appliquer les majorations de l'article 1729 « est prise par un agent ayant au moins le grade d'inspecteur divisionnaire qui vise à cet effet le document comportant la motivation des pénalités ».</w:t>
      </w:r>
    </w:p>
    <w:p w:rsidR="00000000" w:rsidDel="00000000" w:rsidP="00000000" w:rsidRDefault="00000000" w:rsidRPr="00000000" w14:paraId="0000003A">
      <w:pPr>
        <w:spacing w:after="240" w:lineRule="auto"/>
        <w:rPr/>
      </w:pPr>
      <w:r w:rsidDel="00000000" w:rsidR="00000000" w:rsidRPr="00000000">
        <w:rPr>
          <w:rtl w:val="0"/>
        </w:rPr>
        <w:t xml:space="preserve">Dans le dossier, la condition de visa est remplie : la page 1 de la proposition mentionne expressément « Visa et nom de l'Inspecteur principal des Finances Publiques » suivi de </w:t>
      </w:r>
      <w:r w:rsidDel="00000000" w:rsidR="00000000" w:rsidRPr="00000000">
        <w:rPr>
          <w:b w:val="1"/>
          <w:bCs w:val="1"/>
          <w:rtl w:val="0"/>
        </w:rPr>
        <w:t xml:space="preserve">David ROSSIER</w:t>
      </w:r>
      <w:r w:rsidDel="00000000" w:rsidR="00000000" w:rsidRPr="00000000">
        <w:rPr>
          <w:rtl w:val="0"/>
        </w:rPr>
        <w:t xml:space="preserve">. Ce point procédural n'est donc pas attaquable. Le débat se déplace sur la motivation au fond.</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niar00xozv1" w:id="7"/>
      <w:bookmarkEnd w:id="7"/>
      <w:r w:rsidDel="00000000" w:rsidR="00000000" w:rsidRPr="00000000">
        <w:rPr>
          <w:b w:val="1"/>
          <w:bCs w:val="1"/>
          <w:sz w:val="34"/>
          <w:szCs w:val="34"/>
          <w:rtl w:val="0"/>
        </w:rPr>
        <w:t xml:space="preserve">4.2 Motivation de la majoration 1729 dans la proposition</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x8c5x7a18mp8" w:id="8"/>
      <w:bookmarkEnd w:id="8"/>
      <w:r w:rsidDel="00000000" w:rsidR="00000000" w:rsidRPr="00000000">
        <w:rPr>
          <w:b w:val="1"/>
          <w:bCs w:val="1"/>
          <w:color w:val="000000"/>
          <w:sz w:val="26"/>
          <w:szCs w:val="26"/>
          <w:rtl w:val="0"/>
        </w:rPr>
        <w:t xml:space="preserve">Position de l'administration</w:t>
      </w:r>
    </w:p>
    <w:p w:rsidR="00000000" w:rsidDel="00000000" w:rsidP="00000000" w:rsidRDefault="00000000" w:rsidRPr="00000000" w14:paraId="0000003E">
      <w:pPr>
        <w:spacing w:after="240" w:lineRule="auto"/>
        <w:rPr/>
      </w:pPr>
      <w:r w:rsidDel="00000000" w:rsidR="00000000" w:rsidRPr="00000000">
        <w:rPr>
          <w:rtl w:val="0"/>
        </w:rPr>
        <w:t xml:space="preserve">Le titre de la section consacrée à la majoration 1729 figure p. 57 :</w:t>
      </w:r>
    </w:p>
    <w:p w:rsidR="00000000" w:rsidDel="00000000" w:rsidP="00000000" w:rsidRDefault="00000000" w:rsidRPr="00000000" w14:paraId="0000003F">
      <w:pPr>
        <w:spacing w:after="240" w:lineRule="auto"/>
        <w:rPr/>
      </w:pPr>
      <w:r w:rsidDel="00000000" w:rsidR="00000000" w:rsidRPr="00000000">
        <w:rPr>
          <w:rtl w:val="0"/>
        </w:rPr>
        <w:t xml:space="preserve">« II- Manquements délibérés – Impôt sur les Société et TVA</w:t>
        <w:br w:type="textWrapping"/>
        <w:t xml:space="preserve"> </w:t>
      </w:r>
      <w:r w:rsidDel="00000000" w:rsidR="00000000" w:rsidRPr="00000000">
        <w:rPr>
          <w:b w:val="1"/>
          <w:bCs w:val="1"/>
          <w:rtl w:val="0"/>
        </w:rPr>
        <w:t xml:space="preserve">Exercices clos au 31 mars 2022 et 31 mars 2023</w:t>
        <w:br w:type="textWrapping"/>
      </w:r>
      <w:r w:rsidDel="00000000" w:rsidR="00000000" w:rsidRPr="00000000">
        <w:rPr>
          <w:rtl w:val="0"/>
        </w:rPr>
        <w:t xml:space="preserve"> =&gt; Pénalité de l'article 1729 du Code Général des Impôts (C-G-I) »</w:t>
      </w:r>
    </w:p>
    <w:p w:rsidR="00000000" w:rsidDel="00000000" w:rsidP="00000000" w:rsidRDefault="00000000" w:rsidRPr="00000000" w14:paraId="00000040">
      <w:pPr>
        <w:spacing w:after="240" w:lineRule="auto"/>
        <w:rPr/>
      </w:pPr>
      <w:r w:rsidDel="00000000" w:rsidR="00000000" w:rsidRPr="00000000">
        <w:rPr>
          <w:rtl w:val="0"/>
        </w:rPr>
        <w:t xml:space="preserve">P. 57, l'administration énumère, sous l'intitulé « Anomalie et caractère non probant de la comptabilité », les éléments suivants comme caractérisant le manquement délibéré :</w:t>
      </w:r>
    </w:p>
    <w:p w:rsidR="00000000" w:rsidDel="00000000" w:rsidP="00000000" w:rsidRDefault="00000000" w:rsidRPr="00000000" w14:paraId="00000041">
      <w:pPr>
        <w:spacing w:after="240" w:lineRule="auto"/>
        <w:rPr/>
      </w:pPr>
      <w:r w:rsidDel="00000000" w:rsidR="00000000" w:rsidRPr="00000000">
        <w:rPr>
          <w:rtl w:val="0"/>
        </w:rPr>
        <w:t xml:space="preserve">« De nombreuses irrégularités relevées au cours de la vérification résultent de manquement délibéré.</w:t>
        <w:br w:type="textWrapping"/>
        <w:t xml:space="preserve"> Le service a relevé, lors du contrôle sur place, de nombreuses anomalies et incohérences significatives et largement décrites en partie « REJET DE COMPTABILITE » [...] Sommairement résumées, celles-ci sont ainsi respectivement :</w:t>
        <w:br w:type="textWrapping"/>
        <w:t xml:space="preserve"> — Variabilité des données dans les fichiers de la caisse informatique</w:t>
        <w:br w:type="textWrapping"/>
        <w:t xml:space="preserve"> — En terme de montant de chiffre d'affaires,</w:t>
        <w:br w:type="textWrapping"/>
        <w:t xml:space="preserve"> — En terme de montant de TVA, que ce soit en base et de taux appliqué sur les articles</w:t>
        <w:br w:type="textWrapping"/>
        <w:t xml:space="preserve"> — En terme de quantités d'articles qui y apparaissent</w:t>
        <w:br w:type="textWrapping"/>
        <w:t xml:space="preserve"> — En terme de fluctuation des prix de vente suivant les articles</w:t>
        <w:br w:type="textWrapping"/>
        <w:t xml:space="preserve"> — Importance des écarts constatés entre les quantités vendues et les quantités disponible</w:t>
        <w:br w:type="textWrapping"/>
        <w:t xml:space="preserve"> — Absence de trace, dans les données de la caisse, des offerts, des remises</w:t>
        <w:br w:type="textWrapping"/>
        <w:t xml:space="preserve"> — Absence de l'identification des produits supprimés et suivi de ces suppressions</w:t>
        <w:br w:type="textWrapping"/>
        <w:t xml:space="preserve"> — Faiblesse du coefficient de revente »</w:t>
      </w:r>
    </w:p>
    <w:p w:rsidR="00000000" w:rsidDel="00000000" w:rsidP="00000000" w:rsidRDefault="00000000" w:rsidRPr="00000000" w14:paraId="00000042">
      <w:pPr>
        <w:spacing w:after="240" w:lineRule="auto"/>
        <w:rPr/>
      </w:pPr>
      <w:r w:rsidDel="00000000" w:rsidR="00000000" w:rsidRPr="00000000">
        <w:rPr>
          <w:rtl w:val="0"/>
        </w:rPr>
        <w:t xml:space="preserve">P. 58, sous l'intitulé « Importance des minorations », l'administration ajoute :</w:t>
      </w:r>
    </w:p>
    <w:p w:rsidR="00000000" w:rsidDel="00000000" w:rsidP="00000000" w:rsidRDefault="00000000" w:rsidRPr="00000000" w14:paraId="00000043">
      <w:pPr>
        <w:spacing w:after="240" w:lineRule="auto"/>
        <w:rPr/>
      </w:pPr>
      <w:r w:rsidDel="00000000" w:rsidR="00000000" w:rsidRPr="00000000">
        <w:rPr>
          <w:rtl w:val="0"/>
        </w:rPr>
        <w:t xml:space="preserve">« Les discordances TTC relevée sur ces périodes sont significatives :</w:t>
        <w:br w:type="textWrapping"/>
        <w:t xml:space="preserve"> — 193 234,55 € sur l'exercice clos au 31 mars 2023</w:t>
        <w:br w:type="textWrapping"/>
        <w:t xml:space="preserve"> — 138 863,57 € sur l'exercice clos au 31 mars 2024</w:t>
        <w:br w:type="textWrapping"/>
        <w:t xml:space="preserve"> — 139 727,76 € sur l'exercice clos au 31 mars 2025 »</w:t>
      </w:r>
    </w:p>
    <w:p w:rsidR="00000000" w:rsidDel="00000000" w:rsidP="00000000" w:rsidRDefault="00000000" w:rsidRPr="00000000" w14:paraId="00000044">
      <w:pPr>
        <w:spacing w:after="240" w:lineRule="auto"/>
        <w:rPr/>
      </w:pPr>
      <w:r w:rsidDel="00000000" w:rsidR="00000000" w:rsidRPr="00000000">
        <w:rPr>
          <w:rtl w:val="0"/>
        </w:rPr>
        <w:t xml:space="preserve">P. 58, sous l'intitulé « Répétition de l'infraction » :</w:t>
      </w:r>
    </w:p>
    <w:p w:rsidR="00000000" w:rsidDel="00000000" w:rsidP="00000000" w:rsidRDefault="00000000" w:rsidRPr="00000000" w14:paraId="00000045">
      <w:pPr>
        <w:spacing w:after="240" w:lineRule="auto"/>
        <w:rPr/>
      </w:pPr>
      <w:r w:rsidDel="00000000" w:rsidR="00000000" w:rsidRPr="00000000">
        <w:rPr>
          <w:rtl w:val="0"/>
        </w:rPr>
        <w:t xml:space="preserve">« Ces écarts, ces minorations et ces anomalies se répètent tout au long de tous les exercices visés par la vérification »</w:t>
      </w:r>
    </w:p>
    <w:p w:rsidR="00000000" w:rsidDel="00000000" w:rsidP="00000000" w:rsidRDefault="00000000" w:rsidRPr="00000000" w14:paraId="00000046">
      <w:pPr>
        <w:spacing w:after="240" w:lineRule="auto"/>
        <w:rPr/>
      </w:pPr>
      <w:r w:rsidDel="00000000" w:rsidR="00000000" w:rsidRPr="00000000">
        <w:rPr>
          <w:rtl w:val="0"/>
        </w:rPr>
        <w:t xml:space="preserve">P. 58, sous l'intitulé « Omission de déclaration » :</w:t>
      </w:r>
    </w:p>
    <w:p w:rsidR="00000000" w:rsidDel="00000000" w:rsidP="00000000" w:rsidRDefault="00000000" w:rsidRPr="00000000" w14:paraId="00000047">
      <w:pPr>
        <w:spacing w:after="240" w:lineRule="auto"/>
        <w:rPr/>
      </w:pPr>
      <w:r w:rsidDel="00000000" w:rsidR="00000000" w:rsidRPr="00000000">
        <w:rPr>
          <w:rtl w:val="0"/>
        </w:rPr>
        <w:t xml:space="preserve">« Le caractère répétitif et l'intentionnalité des minorations de déclarations de produits et de TVA collectée sont ainsi démontrés. Selon une jurisprudence constante, le Conseil d'État considère que le redevable qui minore volontairement ses déclarations de TVA encourt les pénalités pour manquements délibérés (arrêts n°13072 du 19 décembre 1979, n°17 041 du 28 octobre 1981, n°46 525 du 22 avril 1988 et n°54 134 du 2 décembre 1988). »</w:t>
      </w:r>
    </w:p>
    <w:p w:rsidR="00000000" w:rsidDel="00000000" w:rsidP="00000000" w:rsidRDefault="00000000" w:rsidRPr="00000000" w14:paraId="00000048">
      <w:pPr>
        <w:spacing w:after="240" w:lineRule="auto"/>
        <w:rPr/>
      </w:pPr>
      <w:r w:rsidDel="00000000" w:rsidR="00000000" w:rsidRPr="00000000">
        <w:rPr>
          <w:rtl w:val="0"/>
        </w:rPr>
        <w:t xml:space="preserve">P. 58, conclusion :</w:t>
      </w:r>
    </w:p>
    <w:p w:rsidR="00000000" w:rsidDel="00000000" w:rsidP="00000000" w:rsidRDefault="00000000" w:rsidRPr="00000000" w14:paraId="00000049">
      <w:pPr>
        <w:spacing w:after="240" w:lineRule="auto"/>
        <w:rPr/>
      </w:pPr>
      <w:r w:rsidDel="00000000" w:rsidR="00000000" w:rsidRPr="00000000">
        <w:rPr>
          <w:rtl w:val="0"/>
        </w:rPr>
        <w:t xml:space="preserve">« En définitive, comme le démontrent les paragraphes susvisés, l'ensemble des constatations faites et en raison du caractère répétitif, intentionnel et impossible à ignorer, de l'infraction précitée, la pénalité pour manquement délibéré sera appliquée [...] En conséquence, la majoration de 40 % prévue à l'article 1729 du Code général des Impôts, sera donc appliquée consécutivement aux discordances constatées. »</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ggizrlhpbacv" w:id="9"/>
      <w:bookmarkEnd w:id="9"/>
      <w:r w:rsidDel="00000000" w:rsidR="00000000" w:rsidRPr="00000000">
        <w:rPr>
          <w:b w:val="1"/>
          <w:bCs w:val="1"/>
          <w:sz w:val="34"/>
          <w:szCs w:val="34"/>
          <w:rtl w:val="0"/>
        </w:rPr>
        <w:t xml:space="preserve">4.3 Première faiblesse : erreur matérielle dans l'intitulé de la section (p. 57)</w:t>
      </w:r>
    </w:p>
    <w:p w:rsidR="00000000" w:rsidDel="00000000" w:rsidP="00000000" w:rsidRDefault="00000000" w:rsidRPr="00000000" w14:paraId="0000004C">
      <w:pPr>
        <w:spacing w:after="240" w:lineRule="auto"/>
        <w:rPr/>
      </w:pPr>
      <w:r w:rsidDel="00000000" w:rsidR="00000000" w:rsidRPr="00000000">
        <w:rPr>
          <w:rtl w:val="0"/>
        </w:rPr>
        <w:t xml:space="preserve">L'intitulé de la section de la motivation des manquements délibérés est :</w:t>
      </w:r>
    </w:p>
    <w:p w:rsidR="00000000" w:rsidDel="00000000" w:rsidP="00000000" w:rsidRDefault="00000000" w:rsidRPr="00000000" w14:paraId="0000004D">
      <w:pPr>
        <w:spacing w:after="240" w:lineRule="auto"/>
        <w:rPr/>
      </w:pPr>
      <w:r w:rsidDel="00000000" w:rsidR="00000000" w:rsidRPr="00000000">
        <w:rPr>
          <w:rtl w:val="0"/>
        </w:rPr>
        <w:t xml:space="preserve">« II- Manquements délibérés – Impôt sur les Société et TVA</w:t>
        <w:br w:type="textWrapping"/>
        <w:t xml:space="preserve"> </w:t>
      </w:r>
      <w:r w:rsidDel="00000000" w:rsidR="00000000" w:rsidRPr="00000000">
        <w:rPr>
          <w:b w:val="1"/>
          <w:bCs w:val="1"/>
          <w:rtl w:val="0"/>
        </w:rPr>
        <w:t xml:space="preserve">Exercices clos au 31 mars 2022 et 31 mars 2023</w:t>
      </w:r>
      <w:r w:rsidDel="00000000" w:rsidR="00000000" w:rsidRPr="00000000">
        <w:rPr>
          <w:rtl w:val="0"/>
        </w:rPr>
        <w:t xml:space="preserve"> »</w:t>
      </w:r>
    </w:p>
    <w:p w:rsidR="00000000" w:rsidDel="00000000" w:rsidP="00000000" w:rsidRDefault="00000000" w:rsidRPr="00000000" w14:paraId="0000004E">
      <w:pPr>
        <w:spacing w:after="240" w:lineRule="auto"/>
        <w:rPr/>
      </w:pPr>
      <w:r w:rsidDel="00000000" w:rsidR="00000000" w:rsidRPr="00000000">
        <w:rPr>
          <w:rtl w:val="0"/>
        </w:rPr>
        <w:t xml:space="preserve">Or :</w:t>
      </w:r>
    </w:p>
    <w:p w:rsidR="00000000" w:rsidDel="00000000" w:rsidP="00000000" w:rsidRDefault="00000000" w:rsidRPr="00000000" w14:paraId="0000004F">
      <w:pPr>
        <w:numPr>
          <w:ilvl w:val="0"/>
          <w:numId w:val="14"/>
        </w:numPr>
        <w:spacing w:after="0" w:afterAutospacing="0" w:lineRule="auto"/>
        <w:ind w:left="720" w:hanging="360"/>
      </w:pPr>
      <w:r w:rsidDel="00000000" w:rsidR="00000000" w:rsidRPr="00000000">
        <w:rPr>
          <w:rtl w:val="0"/>
        </w:rPr>
        <w:t xml:space="preserve">La </w:t>
      </w:r>
      <w:r w:rsidDel="00000000" w:rsidR="00000000" w:rsidRPr="00000000">
        <w:rPr>
          <w:b w:val="1"/>
          <w:bCs w:val="1"/>
          <w:rtl w:val="0"/>
        </w:rPr>
        <w:t xml:space="preserve">période vérifiée</w:t>
      </w:r>
      <w:r w:rsidDel="00000000" w:rsidR="00000000" w:rsidRPr="00000000">
        <w:rPr>
          <w:rtl w:val="0"/>
        </w:rPr>
        <w:t xml:space="preserve">, mentionnée p. 1 de la proposition, est « du 01ᵉʳ avril 2022 au 31 mars 2025 ». L'exercice clos au 31 mars 2022 est antérieur au début de la période et n'est pas dans le périmètre du contrôle.</w:t>
      </w:r>
    </w:p>
    <w:p w:rsidR="00000000" w:rsidDel="00000000" w:rsidP="00000000" w:rsidRDefault="00000000" w:rsidRPr="00000000" w14:paraId="00000050">
      <w:pPr>
        <w:numPr>
          <w:ilvl w:val="0"/>
          <w:numId w:val="14"/>
        </w:numPr>
        <w:spacing w:after="240" w:lineRule="auto"/>
        <w:ind w:left="720" w:hanging="360"/>
      </w:pPr>
      <w:r w:rsidDel="00000000" w:rsidR="00000000" w:rsidRPr="00000000">
        <w:rPr>
          <w:rtl w:val="0"/>
        </w:rPr>
        <w:t xml:space="preserve">Les discordances rappelées p. 58 portent sur les exercices clos au 31 mars </w:t>
      </w:r>
      <w:r w:rsidDel="00000000" w:rsidR="00000000" w:rsidRPr="00000000">
        <w:rPr>
          <w:b w:val="1"/>
          <w:bCs w:val="1"/>
          <w:rtl w:val="0"/>
        </w:rPr>
        <w:t xml:space="preserve">2023, 2024 et 2025</w:t>
      </w:r>
      <w:r w:rsidDel="00000000" w:rsidR="00000000" w:rsidRPr="00000000">
        <w:rPr>
          <w:rtl w:val="0"/>
        </w:rPr>
        <w:t xml:space="preserve">.</w:t>
      </w:r>
    </w:p>
    <w:p w:rsidR="00000000" w:rsidDel="00000000" w:rsidP="00000000" w:rsidRDefault="00000000" w:rsidRPr="00000000" w14:paraId="00000051">
      <w:pPr>
        <w:spacing w:after="240" w:lineRule="auto"/>
        <w:rPr/>
      </w:pPr>
      <w:r w:rsidDel="00000000" w:rsidR="00000000" w:rsidRPr="00000000">
        <w:rPr>
          <w:rtl w:val="0"/>
        </w:rPr>
        <w:t xml:space="preserve">L'intitulé mentionne donc un exercice (2022) hors période, et omet deux exercices (2024 et 2025) qui font pourtant l'objet de la majoration. Cette erreur matérielle, sur la </w:t>
      </w:r>
      <w:r w:rsidDel="00000000" w:rsidR="00000000" w:rsidRPr="00000000">
        <w:rPr>
          <w:b w:val="1"/>
          <w:bCs w:val="1"/>
          <w:rtl w:val="0"/>
        </w:rPr>
        <w:t xml:space="preserve">motivation des pénalités</w:t>
      </w:r>
      <w:r w:rsidDel="00000000" w:rsidR="00000000" w:rsidRPr="00000000">
        <w:rPr>
          <w:rtl w:val="0"/>
        </w:rPr>
        <w:t xml:space="preserve">, dont la doctrine exige un haut degré de rigueur (BOI-CF-INF-30 et CAA Paris 13 février 2025 n° 23PA02734), constitue un grief recevable.</w:t>
      </w:r>
    </w:p>
    <w:p w:rsidR="00000000" w:rsidDel="00000000" w:rsidP="00000000" w:rsidRDefault="00000000" w:rsidRPr="00000000" w14:paraId="00000052">
      <w:pPr>
        <w:spacing w:after="240" w:lineRule="auto"/>
        <w:rPr/>
      </w:pPr>
      <w:r w:rsidDel="00000000" w:rsidR="00000000" w:rsidRPr="00000000">
        <w:rPr>
          <w:rtl w:val="0"/>
        </w:rPr>
        <w:t xml:space="preserve">La gravité juridique de cette erreur doit s'apprécier à l'aune de la rigueur attendue d'une motivation devant établir, à peine de décharge, </w:t>
      </w:r>
      <w:r w:rsidDel="00000000" w:rsidR="00000000" w:rsidRPr="00000000">
        <w:rPr>
          <w:b w:val="1"/>
          <w:bCs w:val="1"/>
          <w:rtl w:val="0"/>
        </w:rPr>
        <w:t xml:space="preserve">un fait fautif imputable à un sujet déterminé pendant une période déterminée</w:t>
      </w:r>
      <w:r w:rsidDel="00000000" w:rsidR="00000000" w:rsidRPr="00000000">
        <w:rPr>
          <w:rtl w:val="0"/>
        </w:rPr>
        <w:t xml:space="preserve">.</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m6pijrqfy5tg" w:id="10"/>
      <w:bookmarkEnd w:id="10"/>
      <w:r w:rsidDel="00000000" w:rsidR="00000000" w:rsidRPr="00000000">
        <w:rPr>
          <w:b w:val="1"/>
          <w:bCs w:val="1"/>
          <w:sz w:val="34"/>
          <w:szCs w:val="34"/>
          <w:rtl w:val="0"/>
        </w:rPr>
        <w:t xml:space="preserve">4.4 Deuxième faiblesse : la motivation invoquée recouvre intégralement celle du rejet de comptabilité</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aksrtb3tt4iy" w:id="11"/>
      <w:bookmarkEnd w:id="11"/>
      <w:r w:rsidDel="00000000" w:rsidR="00000000" w:rsidRPr="00000000">
        <w:rPr>
          <w:b w:val="1"/>
          <w:bCs w:val="1"/>
          <w:color w:val="000000"/>
          <w:sz w:val="26"/>
          <w:szCs w:val="26"/>
          <w:rtl w:val="0"/>
        </w:rPr>
        <w:t xml:space="preserve">Analyse comparative</w:t>
      </w:r>
    </w:p>
    <w:p w:rsidR="00000000" w:rsidDel="00000000" w:rsidP="00000000" w:rsidRDefault="00000000" w:rsidRPr="00000000" w14:paraId="00000056">
      <w:pPr>
        <w:spacing w:after="240" w:lineRule="auto"/>
        <w:rPr/>
      </w:pPr>
      <w:r w:rsidDel="00000000" w:rsidR="00000000" w:rsidRPr="00000000">
        <w:rPr>
          <w:rtl w:val="0"/>
        </w:rPr>
        <w:t xml:space="preserve">Les éléments énumérés p. 57 pour caractériser le manquement délibéré sont strictement identiques aux motifs invoqués au titre du rejet de comptabilité (p. 14 à 32 — voir Module 2) :</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90"/>
        <w:gridCol w:w="3530"/>
        <w:tblGridChange w:id="0">
          <w:tblGrid>
            <w:gridCol w:w="5690"/>
            <w:gridCol w:w="3530"/>
          </w:tblGrid>
        </w:tblGridChange>
      </w:tblGrid>
      <w:tr>
        <w:trPr>
          <w:cantSplit w:val="0"/>
          <w:trHeight w:val="69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Élément invoqué p. 57</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bCs w:val="1"/>
                <w:rtl w:val="0"/>
              </w:rPr>
              <w:t xml:space="preserve">Motif de rejet correspondant</w:t>
            </w:r>
            <w:r w:rsidDel="00000000" w:rsidR="00000000" w:rsidRPr="00000000">
              <w:rPr>
                <w:rtl w:val="0"/>
              </w:rPr>
            </w:r>
          </w:p>
        </w:tc>
      </w:tr>
      <w:tr>
        <w:trPr>
          <w:cantSplit w:val="0"/>
          <w:trHeight w:val="69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Variabilité des données caisse — chiffre d'affaires</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Sections XII et XIII (p. 27-29)</w:t>
            </w:r>
          </w:p>
        </w:tc>
      </w:tr>
      <w:tr>
        <w:trPr>
          <w:cantSplit w:val="0"/>
          <w:trHeight w:val="69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Variabilité des données caisse — TVA</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Section XI (p. 26-27)</w:t>
            </w:r>
          </w:p>
        </w:tc>
      </w:tr>
      <w:tr>
        <w:trPr>
          <w:cantSplit w:val="0"/>
          <w:trHeight w:val="69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Variabilité des données caisse — quantités d'articles</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Section XII (p. 27-28)</w:t>
            </w:r>
          </w:p>
        </w:tc>
      </w:tr>
      <w:tr>
        <w:trPr>
          <w:cantSplit w:val="0"/>
          <w:trHeight w:val="69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Variabilité des données caisse — prix de vente</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Section XVI (p. 33-34)</w:t>
            </w:r>
          </w:p>
        </w:tc>
      </w:tr>
      <w:tr>
        <w:trPr>
          <w:cantSplit w:val="0"/>
          <w:trHeight w:val="69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Importance des écarts ventes/disponibles</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Section XIV (p. 30-31)</w:t>
            </w:r>
          </w:p>
        </w:tc>
      </w:tr>
      <w:tr>
        <w:trPr>
          <w:cantSplit w:val="0"/>
          <w:trHeight w:val="69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Absence de trace des offerts</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Motif n° 4 (p. 17)</w:t>
            </w:r>
          </w:p>
        </w:tc>
      </w:tr>
      <w:tr>
        <w:trPr>
          <w:cantSplit w:val="0"/>
          <w:trHeight w:val="69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Absence d'identification des produits supprimés</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Motif n° 5 (p. 18-19, p. 23)</w:t>
            </w:r>
          </w:p>
        </w:tc>
      </w:tr>
      <w:tr>
        <w:trPr>
          <w:cantSplit w:val="0"/>
          <w:trHeight w:val="69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Faiblesse du coefficient de revente</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Section XVII (p. 34)</w:t>
            </w:r>
          </w:p>
        </w:tc>
      </w:tr>
    </w:tbl>
    <w:p w:rsidR="00000000" w:rsidDel="00000000" w:rsidP="00000000" w:rsidRDefault="00000000" w:rsidRPr="00000000" w14:paraId="00000069">
      <w:pPr>
        <w:spacing w:after="240" w:lineRule="auto"/>
        <w:rPr/>
      </w:pPr>
      <w:r w:rsidDel="00000000" w:rsidR="00000000" w:rsidRPr="00000000">
        <w:rPr>
          <w:rtl w:val="0"/>
        </w:rPr>
        <w:t xml:space="preserve">Aucun élément spécifiquement attaché à l'</w:t>
      </w:r>
      <w:r w:rsidDel="00000000" w:rsidR="00000000" w:rsidRPr="00000000">
        <w:rPr>
          <w:b w:val="1"/>
          <w:bCs w:val="1"/>
          <w:rtl w:val="0"/>
        </w:rPr>
        <w:t xml:space="preserve">intention</w:t>
      </w:r>
      <w:r w:rsidDel="00000000" w:rsidR="00000000" w:rsidRPr="00000000">
        <w:rPr>
          <w:rtl w:val="0"/>
        </w:rPr>
        <w:t xml:space="preserve"> des dirigeants n'est ajouté à la motivation : pas d'agissements bancaires occultes, pas de fausses factures, pas de comptes parallèles découverts, pas de tenue d'une « shadow accounting », pas de témoignages, pas de communications privées révélant l'intention. La motivation des pénalités ne fait que reprendre les motifs du rejet et leur prêter, par voie d'inférence, un caractère intentionnel.</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j3tdx07n7h0y" w:id="12"/>
      <w:bookmarkEnd w:id="12"/>
      <w:r w:rsidDel="00000000" w:rsidR="00000000" w:rsidRPr="00000000">
        <w:rPr>
          <w:b w:val="1"/>
          <w:bCs w:val="1"/>
          <w:color w:val="000000"/>
          <w:sz w:val="26"/>
          <w:szCs w:val="26"/>
          <w:rtl w:val="0"/>
        </w:rPr>
        <w:t xml:space="preserve">Conséquence juridique</w:t>
      </w:r>
    </w:p>
    <w:p w:rsidR="00000000" w:rsidDel="00000000" w:rsidP="00000000" w:rsidRDefault="00000000" w:rsidRPr="00000000" w14:paraId="0000006B">
      <w:pPr>
        <w:spacing w:after="240" w:lineRule="auto"/>
        <w:rPr/>
      </w:pPr>
      <w:r w:rsidDel="00000000" w:rsidR="00000000" w:rsidRPr="00000000">
        <w:rPr>
          <w:rtl w:val="0"/>
        </w:rPr>
        <w:t xml:space="preserve">Le Conseil d'État (CE 11 février 2021 n° 432960) impose la démonstration distincte de l'élément intentionnel. L'élément matériel (l'existence du rehaussement) ne suffit pas. La proposition fonde le caractère intentionnel sur trois inférences successives :</w:t>
      </w:r>
    </w:p>
    <w:p w:rsidR="00000000" w:rsidDel="00000000" w:rsidP="00000000" w:rsidRDefault="00000000" w:rsidRPr="00000000" w14:paraId="0000006C">
      <w:pPr>
        <w:numPr>
          <w:ilvl w:val="0"/>
          <w:numId w:val="6"/>
        </w:numPr>
        <w:spacing w:after="0" w:afterAutospacing="0" w:lineRule="auto"/>
        <w:ind w:left="720" w:hanging="360"/>
      </w:pPr>
      <w:r w:rsidDel="00000000" w:rsidR="00000000" w:rsidRPr="00000000">
        <w:rPr>
          <w:b w:val="1"/>
          <w:bCs w:val="1"/>
          <w:rtl w:val="0"/>
        </w:rPr>
        <w:t xml:space="preserve">« Importance des minorations »</w:t>
      </w:r>
      <w:r w:rsidDel="00000000" w:rsidR="00000000" w:rsidRPr="00000000">
        <w:rPr>
          <w:rtl w:val="0"/>
        </w:rPr>
        <w:t xml:space="preserve"> (p. 58) : la taille de l'écart constaté.</w:t>
      </w:r>
    </w:p>
    <w:p w:rsidR="00000000" w:rsidDel="00000000" w:rsidP="00000000" w:rsidRDefault="00000000" w:rsidRPr="00000000" w14:paraId="0000006D">
      <w:pPr>
        <w:numPr>
          <w:ilvl w:val="0"/>
          <w:numId w:val="6"/>
        </w:numPr>
        <w:spacing w:after="0" w:afterAutospacing="0" w:lineRule="auto"/>
        <w:ind w:left="720" w:hanging="360"/>
      </w:pPr>
      <w:r w:rsidDel="00000000" w:rsidR="00000000" w:rsidRPr="00000000">
        <w:rPr>
          <w:b w:val="1"/>
          <w:bCs w:val="1"/>
          <w:rtl w:val="0"/>
        </w:rPr>
        <w:t xml:space="preserve">« Répétition de l'infraction »</w:t>
      </w:r>
      <w:r w:rsidDel="00000000" w:rsidR="00000000" w:rsidRPr="00000000">
        <w:rPr>
          <w:rtl w:val="0"/>
        </w:rPr>
        <w:t xml:space="preserve"> (p. 58) : la récurrence sur trois exercices.</w:t>
      </w:r>
    </w:p>
    <w:p w:rsidR="00000000" w:rsidDel="00000000" w:rsidP="00000000" w:rsidRDefault="00000000" w:rsidRPr="00000000" w14:paraId="0000006E">
      <w:pPr>
        <w:numPr>
          <w:ilvl w:val="0"/>
          <w:numId w:val="6"/>
        </w:numPr>
        <w:spacing w:after="240" w:lineRule="auto"/>
        <w:ind w:left="720" w:hanging="360"/>
      </w:pPr>
      <w:r w:rsidDel="00000000" w:rsidR="00000000" w:rsidRPr="00000000">
        <w:rPr>
          <w:b w:val="1"/>
          <w:bCs w:val="1"/>
          <w:rtl w:val="0"/>
        </w:rPr>
        <w:t xml:space="preserve">« Omission de déclaration »</w:t>
      </w:r>
      <w:r w:rsidDel="00000000" w:rsidR="00000000" w:rsidRPr="00000000">
        <w:rPr>
          <w:rtl w:val="0"/>
        </w:rPr>
        <w:t xml:space="preserve"> (p. 58) : l'inférence finale qu'« intentionnalité » serait « ainsi démontrée ».</w:t>
      </w:r>
    </w:p>
    <w:p w:rsidR="00000000" w:rsidDel="00000000" w:rsidP="00000000" w:rsidRDefault="00000000" w:rsidRPr="00000000" w14:paraId="0000006F">
      <w:pPr>
        <w:spacing w:after="240" w:lineRule="auto"/>
        <w:rPr/>
      </w:pPr>
      <w:r w:rsidDel="00000000" w:rsidR="00000000" w:rsidRPr="00000000">
        <w:rPr>
          <w:rtl w:val="0"/>
        </w:rPr>
        <w:t xml:space="preserve">Ces trois critères, qualitatifs, sont eux-mêmes des conséquences du fait que la reconstitution porte sur trois exercices et concerne des montants non négligeables. Ils ne constituent pas un élément autonome d'intention. La jurisprudence récente du TA Nice (20 mars 2025 n° 2300782) écarte expressément ce raisonnement.</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9ekoqwlkjzlc" w:id="13"/>
      <w:bookmarkEnd w:id="13"/>
      <w:r w:rsidDel="00000000" w:rsidR="00000000" w:rsidRPr="00000000">
        <w:rPr>
          <w:b w:val="1"/>
          <w:bCs w:val="1"/>
          <w:color w:val="000000"/>
          <w:sz w:val="26"/>
          <w:szCs w:val="26"/>
          <w:rtl w:val="0"/>
        </w:rPr>
        <w:t xml:space="preserve">Jurisprudence citée par l'administration</w:t>
      </w:r>
    </w:p>
    <w:p w:rsidR="00000000" w:rsidDel="00000000" w:rsidP="00000000" w:rsidRDefault="00000000" w:rsidRPr="00000000" w14:paraId="00000071">
      <w:pPr>
        <w:spacing w:after="240" w:lineRule="auto"/>
        <w:rPr/>
      </w:pPr>
      <w:r w:rsidDel="00000000" w:rsidR="00000000" w:rsidRPr="00000000">
        <w:rPr>
          <w:rtl w:val="0"/>
        </w:rPr>
        <w:t xml:space="preserve">Les arrêts cités p. 58 (CE n° 13072 du 19/12/1979, n° 17041 du 28/10/1981, n° 46525 du 22/04/1988, n° 54134 du 02/12/1988) datent tous d'avant 1989. La doctrine et la jurisprudence postérieures (notamment CE 11/02/2021 n° 432960 cité ci-dessus) ont précisé le standard probatoire applicable à la majoration 1729 dans un sens plus exigeant pour l'administration. Le fait que l'administration ne cite aucun arrêt postérieur à 1988 sur ce point est, en soi, révélateur d'une approche conservatrice de la motivation, qui ne tient pas compte de l'évolution des standards.</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e47tkc93hjvu" w:id="14"/>
      <w:bookmarkEnd w:id="14"/>
      <w:r w:rsidDel="00000000" w:rsidR="00000000" w:rsidRPr="00000000">
        <w:rPr>
          <w:b w:val="1"/>
          <w:bCs w:val="1"/>
          <w:sz w:val="34"/>
          <w:szCs w:val="34"/>
          <w:rtl w:val="0"/>
        </w:rPr>
        <w:t xml:space="preserve">4.5 Troisième faiblesse : la coopération constante des dirigeants pendant le contrôle est incompatible avec une volonté frauduleuse établie</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g2eoqtxv04lv" w:id="15"/>
      <w:bookmarkEnd w:id="15"/>
      <w:r w:rsidDel="00000000" w:rsidR="00000000" w:rsidRPr="00000000">
        <w:rPr>
          <w:b w:val="1"/>
          <w:bCs w:val="1"/>
          <w:color w:val="000000"/>
          <w:sz w:val="26"/>
          <w:szCs w:val="26"/>
          <w:rtl w:val="0"/>
        </w:rPr>
        <w:t xml:space="preserve">Éléments factuels figurant dans la proposition</w:t>
      </w:r>
    </w:p>
    <w:p w:rsidR="00000000" w:rsidDel="00000000" w:rsidP="00000000" w:rsidRDefault="00000000" w:rsidRPr="00000000" w14:paraId="00000075">
      <w:pPr>
        <w:spacing w:after="240" w:lineRule="auto"/>
        <w:rPr/>
      </w:pPr>
      <w:r w:rsidDel="00000000" w:rsidR="00000000" w:rsidRPr="00000000">
        <w:rPr>
          <w:rtl w:val="0"/>
        </w:rPr>
        <w:t xml:space="preserve">La proposition documente, sans contradiction, plusieurs éléments de coopération active des dirigeants tout au long des quatre mois de contrôle. Ces éléments sont étrangers à la défense ; ils figurent à l'initiative du vérificateur lui-même dans les pages narratives du contrôle (p. 2 à 7) :</w:t>
      </w:r>
    </w:p>
    <w:p w:rsidR="00000000" w:rsidDel="00000000" w:rsidP="00000000" w:rsidRDefault="00000000" w:rsidRPr="00000000" w14:paraId="00000076">
      <w:pPr>
        <w:numPr>
          <w:ilvl w:val="0"/>
          <w:numId w:val="2"/>
        </w:numPr>
        <w:spacing w:after="0" w:afterAutospacing="0" w:lineRule="auto"/>
        <w:ind w:left="720" w:hanging="360"/>
      </w:pPr>
      <w:r w:rsidDel="00000000" w:rsidR="00000000" w:rsidRPr="00000000">
        <w:rPr>
          <w:b w:val="1"/>
          <w:bCs w:val="1"/>
          <w:rtl w:val="0"/>
        </w:rPr>
        <w:t xml:space="preserve">P. 2</w:t>
      </w:r>
      <w:r w:rsidDel="00000000" w:rsidR="00000000" w:rsidRPr="00000000">
        <w:rPr>
          <w:rtl w:val="0"/>
        </w:rPr>
        <w:t xml:space="preserve"> : désignation par les co-gérants de l'expert-comptable AGC comme mandataire, formalisée par courriel de M. PASTEUR et par recommandé. Volonté immédiate de transparence procédurale.</w:t>
      </w:r>
    </w:p>
    <w:p w:rsidR="00000000" w:rsidDel="00000000" w:rsidP="00000000" w:rsidRDefault="00000000" w:rsidRPr="00000000" w14:paraId="00000077">
      <w:pPr>
        <w:numPr>
          <w:ilvl w:val="0"/>
          <w:numId w:val="2"/>
        </w:numPr>
        <w:spacing w:after="0" w:afterAutospacing="0" w:lineRule="auto"/>
        <w:ind w:left="720" w:hanging="360"/>
      </w:pPr>
      <w:r w:rsidDel="00000000" w:rsidR="00000000" w:rsidRPr="00000000">
        <w:rPr>
          <w:b w:val="1"/>
          <w:bCs w:val="1"/>
          <w:rtl w:val="0"/>
        </w:rPr>
        <w:t xml:space="preserve">P. 2</w:t>
      </w:r>
      <w:r w:rsidDel="00000000" w:rsidR="00000000" w:rsidRPr="00000000">
        <w:rPr>
          <w:rtl w:val="0"/>
        </w:rPr>
        <w:t xml:space="preserve"> : remise des Fichiers des Écritures Comptables (FEC) dès la première intervention du 12 janvier 2026.</w:t>
      </w:r>
    </w:p>
    <w:p w:rsidR="00000000" w:rsidDel="00000000" w:rsidP="00000000" w:rsidRDefault="00000000" w:rsidRPr="00000000" w14:paraId="00000078">
      <w:pPr>
        <w:numPr>
          <w:ilvl w:val="0"/>
          <w:numId w:val="2"/>
        </w:numPr>
        <w:spacing w:after="0" w:afterAutospacing="0" w:lineRule="auto"/>
        <w:ind w:left="720" w:hanging="360"/>
      </w:pPr>
      <w:r w:rsidDel="00000000" w:rsidR="00000000" w:rsidRPr="00000000">
        <w:rPr>
          <w:b w:val="1"/>
          <w:bCs w:val="1"/>
          <w:rtl w:val="0"/>
        </w:rPr>
        <w:t xml:space="preserve">P. 3</w:t>
      </w:r>
      <w:r w:rsidDel="00000000" w:rsidR="00000000" w:rsidRPr="00000000">
        <w:rPr>
          <w:rtl w:val="0"/>
        </w:rPr>
        <w:t xml:space="preserve"> : transmission par le cabinet AGC, dès le 13 janvier 2026, du certificat de conformité du logiciel de caisse SERVILOG (daté du 01/12/2018) et de trois récapitulatifs annuels.</w:t>
      </w:r>
    </w:p>
    <w:p w:rsidR="00000000" w:rsidDel="00000000" w:rsidP="00000000" w:rsidRDefault="00000000" w:rsidRPr="00000000" w14:paraId="00000079">
      <w:pPr>
        <w:numPr>
          <w:ilvl w:val="0"/>
          <w:numId w:val="2"/>
        </w:numPr>
        <w:spacing w:after="0" w:afterAutospacing="0" w:lineRule="auto"/>
        <w:ind w:left="720" w:hanging="360"/>
      </w:pPr>
      <w:r w:rsidDel="00000000" w:rsidR="00000000" w:rsidRPr="00000000">
        <w:rPr>
          <w:b w:val="1"/>
          <w:bCs w:val="1"/>
          <w:rtl w:val="0"/>
        </w:rPr>
        <w:t xml:space="preserve">P. 3-4</w:t>
      </w:r>
      <w:r w:rsidDel="00000000" w:rsidR="00000000" w:rsidRPr="00000000">
        <w:rPr>
          <w:rtl w:val="0"/>
        </w:rPr>
        <w:t xml:space="preserve"> : participation du fils de Mme BEHEM, salarié du restaurant, à l'examen de la caisse le 29 janvier 2026, sans réticence.</w:t>
      </w:r>
    </w:p>
    <w:p w:rsidR="00000000" w:rsidDel="00000000" w:rsidP="00000000" w:rsidRDefault="00000000" w:rsidRPr="00000000" w14:paraId="0000007A">
      <w:pPr>
        <w:numPr>
          <w:ilvl w:val="0"/>
          <w:numId w:val="2"/>
        </w:numPr>
        <w:spacing w:after="0" w:afterAutospacing="0" w:lineRule="auto"/>
        <w:ind w:left="720" w:hanging="360"/>
      </w:pPr>
      <w:r w:rsidDel="00000000" w:rsidR="00000000" w:rsidRPr="00000000">
        <w:rPr>
          <w:b w:val="1"/>
          <w:bCs w:val="1"/>
          <w:rtl w:val="0"/>
        </w:rPr>
        <w:t xml:space="preserve">P. 5</w:t>
      </w:r>
      <w:r w:rsidDel="00000000" w:rsidR="00000000" w:rsidRPr="00000000">
        <w:rPr>
          <w:rtl w:val="0"/>
        </w:rPr>
        <w:t xml:space="preserve"> : transmission par le cabinet AGC, le 13 février 2026, de six fichiers (trois PDF de rapports Z et trois Excel de détails de ventes), à la demande du service.</w:t>
      </w:r>
    </w:p>
    <w:p w:rsidR="00000000" w:rsidDel="00000000" w:rsidP="00000000" w:rsidRDefault="00000000" w:rsidRPr="00000000" w14:paraId="0000007B">
      <w:pPr>
        <w:numPr>
          <w:ilvl w:val="0"/>
          <w:numId w:val="2"/>
        </w:numPr>
        <w:spacing w:after="0" w:afterAutospacing="0" w:lineRule="auto"/>
        <w:ind w:left="720" w:hanging="360"/>
      </w:pPr>
      <w:r w:rsidDel="00000000" w:rsidR="00000000" w:rsidRPr="00000000">
        <w:rPr>
          <w:b w:val="1"/>
          <w:bCs w:val="1"/>
          <w:rtl w:val="0"/>
        </w:rPr>
        <w:t xml:space="preserve">P. 5</w:t>
      </w:r>
      <w:r w:rsidDel="00000000" w:rsidR="00000000" w:rsidRPr="00000000">
        <w:rPr>
          <w:rtl w:val="0"/>
        </w:rPr>
        <w:t xml:space="preserve"> : retour des deux questionnaires (« questionnaire relatif à l'environnement informatique » et « questionnaire sur les conditions d'exploitation ») dès le 10 mars 2026.</w:t>
      </w:r>
    </w:p>
    <w:p w:rsidR="00000000" w:rsidDel="00000000" w:rsidP="00000000" w:rsidRDefault="00000000" w:rsidRPr="00000000" w14:paraId="0000007C">
      <w:pPr>
        <w:numPr>
          <w:ilvl w:val="0"/>
          <w:numId w:val="2"/>
        </w:numPr>
        <w:spacing w:after="0" w:afterAutospacing="0" w:lineRule="auto"/>
        <w:ind w:left="720" w:hanging="360"/>
      </w:pPr>
      <w:r w:rsidDel="00000000" w:rsidR="00000000" w:rsidRPr="00000000">
        <w:rPr>
          <w:b w:val="1"/>
          <w:bCs w:val="1"/>
          <w:rtl w:val="0"/>
        </w:rPr>
        <w:t xml:space="preserve">P. 5-6</w:t>
      </w:r>
      <w:r w:rsidDel="00000000" w:rsidR="00000000" w:rsidRPr="00000000">
        <w:rPr>
          <w:rtl w:val="0"/>
        </w:rPr>
        <w:t xml:space="preserve"> : choix exprimé par écrit de l'option </w:t>
      </w:r>
      <w:r w:rsidDel="00000000" w:rsidR="00000000" w:rsidRPr="00000000">
        <w:rPr>
          <w:b w:val="1"/>
          <w:bCs w:val="1"/>
          <w:rtl w:val="0"/>
        </w:rPr>
        <w:t xml:space="preserve">c</w:t>
      </w:r>
      <w:r w:rsidDel="00000000" w:rsidR="00000000" w:rsidRPr="00000000">
        <w:rPr>
          <w:rtl w:val="0"/>
        </w:rPr>
        <w:t xml:space="preserve"> de la procédure L. 47 A II, et transmission des cinq fichiers de caisse sur clé USB KeyOuest dès le 13 mars 2026 — soit 7 jours après la remise en main propre de la demande de traitement, dans le délai indicatif de huit jours.</w:t>
      </w:r>
    </w:p>
    <w:p w:rsidR="00000000" w:rsidDel="00000000" w:rsidP="00000000" w:rsidRDefault="00000000" w:rsidRPr="00000000" w14:paraId="0000007D">
      <w:pPr>
        <w:numPr>
          <w:ilvl w:val="0"/>
          <w:numId w:val="2"/>
        </w:numPr>
        <w:spacing w:after="0" w:afterAutospacing="0" w:lineRule="auto"/>
        <w:ind w:left="720" w:hanging="360"/>
      </w:pPr>
      <w:r w:rsidDel="00000000" w:rsidR="00000000" w:rsidRPr="00000000">
        <w:rPr>
          <w:b w:val="1"/>
          <w:bCs w:val="1"/>
          <w:rtl w:val="0"/>
        </w:rPr>
        <w:t xml:space="preserve">P. 19</w:t>
      </w:r>
      <w:r w:rsidDel="00000000" w:rsidR="00000000" w:rsidRPr="00000000">
        <w:rPr>
          <w:rtl w:val="0"/>
        </w:rPr>
        <w:t xml:space="preserve"> : ajout volontaire par Mme PASTEUR-BEHEM, dans sa réponse au compte rendu du 6 mars 2026, de précisions sur le fonctionnement de la caisse (« Cette modalité de fonctionnement [...] permet également de sortir ou de rentrer des tables du restaurant selon la météo. 3ème étape : Les serveurs peuvent également encaisser les règlements. 4ème étape potentielle : Ce n'est pas obligatoirement une table virtuelle qui est utilisée mais une table libre »). Volonté de transparence sur le fonctionnement opérationnel.</w:t>
      </w:r>
    </w:p>
    <w:p w:rsidR="00000000" w:rsidDel="00000000" w:rsidP="00000000" w:rsidRDefault="00000000" w:rsidRPr="00000000" w14:paraId="0000007E">
      <w:pPr>
        <w:numPr>
          <w:ilvl w:val="0"/>
          <w:numId w:val="2"/>
        </w:numPr>
        <w:spacing w:after="0" w:afterAutospacing="0" w:lineRule="auto"/>
        <w:ind w:left="720" w:hanging="360"/>
      </w:pPr>
      <w:r w:rsidDel="00000000" w:rsidR="00000000" w:rsidRPr="00000000">
        <w:rPr>
          <w:b w:val="1"/>
          <w:bCs w:val="1"/>
          <w:rtl w:val="0"/>
        </w:rPr>
        <w:t xml:space="preserve">P. 20</w:t>
      </w:r>
      <w:r w:rsidDel="00000000" w:rsidR="00000000" w:rsidRPr="00000000">
        <w:rPr>
          <w:rtl w:val="0"/>
        </w:rPr>
        <w:t xml:space="preserve"> : communication par Mme PASTEUR-BEHEM, en réponse au compte rendu du 6 mars 2026, des règles de politique tarifaire de l'entreprise (modulation des prix selon la composition des plats, partage des prix entre clients).</w:t>
      </w:r>
    </w:p>
    <w:p w:rsidR="00000000" w:rsidDel="00000000" w:rsidP="00000000" w:rsidRDefault="00000000" w:rsidRPr="00000000" w14:paraId="0000007F">
      <w:pPr>
        <w:numPr>
          <w:ilvl w:val="0"/>
          <w:numId w:val="2"/>
        </w:numPr>
        <w:spacing w:after="0" w:afterAutospacing="0" w:lineRule="auto"/>
        <w:ind w:left="720" w:hanging="360"/>
      </w:pPr>
      <w:r w:rsidDel="00000000" w:rsidR="00000000" w:rsidRPr="00000000">
        <w:rPr>
          <w:b w:val="1"/>
          <w:bCs w:val="1"/>
          <w:rtl w:val="0"/>
        </w:rPr>
        <w:t xml:space="preserve">P. 37</w:t>
      </w:r>
      <w:r w:rsidDel="00000000" w:rsidR="00000000" w:rsidRPr="00000000">
        <w:rPr>
          <w:rtl w:val="0"/>
        </w:rPr>
        <w:t xml:space="preserve"> : réponse écrite des dirigeants au tableau transmis par le vérificateur sur les dosages d'alcools utilisés dans les desserts, plats et fondues. Communication active et détaillée (« 8 cl/Litre pour 7 pers. = 1.14 cl d'Absinthe/Pers. », etc.).</w:t>
      </w:r>
    </w:p>
    <w:p w:rsidR="00000000" w:rsidDel="00000000" w:rsidP="00000000" w:rsidRDefault="00000000" w:rsidRPr="00000000" w14:paraId="00000080">
      <w:pPr>
        <w:numPr>
          <w:ilvl w:val="0"/>
          <w:numId w:val="2"/>
        </w:numPr>
        <w:spacing w:after="240" w:lineRule="auto"/>
        <w:ind w:left="720" w:hanging="360"/>
      </w:pPr>
      <w:r w:rsidDel="00000000" w:rsidR="00000000" w:rsidRPr="00000000">
        <w:rPr>
          <w:b w:val="1"/>
          <w:bCs w:val="1"/>
          <w:rtl w:val="0"/>
        </w:rPr>
        <w:t xml:space="preserve">P. 51</w:t>
      </w:r>
      <w:r w:rsidDel="00000000" w:rsidR="00000000" w:rsidRPr="00000000">
        <w:rPr>
          <w:rtl w:val="0"/>
        </w:rPr>
        <w:t xml:space="preserve"> : remarques de Madame Estelle QUANEAUX et des dirigeants à la dernière entrevue, signalant proactivement des erreurs dans la méthode de reconstitution (« Une erreur de calcul de proportion dans la famille des VINS – ARTICLES AVEC PROPORTIONS » et « la conception des whisky-coca nécessite une cannette de coca-cola »). Le vérificateur lui-même indique p. 52 avoir « amendé la méthode de reconstitution » en réponse à ces signalements.</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y5kljj3ggv2" w:id="16"/>
      <w:bookmarkEnd w:id="16"/>
      <w:r w:rsidDel="00000000" w:rsidR="00000000" w:rsidRPr="00000000">
        <w:rPr>
          <w:b w:val="1"/>
          <w:bCs w:val="1"/>
          <w:color w:val="000000"/>
          <w:sz w:val="26"/>
          <w:szCs w:val="26"/>
          <w:rtl w:val="0"/>
        </w:rPr>
        <w:t xml:space="preserve">Analyse</w:t>
      </w:r>
    </w:p>
    <w:p w:rsidR="00000000" w:rsidDel="00000000" w:rsidP="00000000" w:rsidRDefault="00000000" w:rsidRPr="00000000" w14:paraId="00000082">
      <w:pPr>
        <w:spacing w:after="240" w:lineRule="auto"/>
        <w:rPr/>
      </w:pPr>
      <w:r w:rsidDel="00000000" w:rsidR="00000000" w:rsidRPr="00000000">
        <w:rPr>
          <w:rtl w:val="0"/>
        </w:rPr>
        <w:t xml:space="preserve">Une attitude de coopération active, documentée sur les quatre mois du contrôle, et matérialisée par des transmissions volontaires d'éléments susceptibles de compromettre la position du contribuable (précisions sur les suppressions de tables, dosages d'alcools, politique tarifaire), est difficilement compatible avec une volonté délibérée et caractérisée d'éluder l'impôt au sens du standard exigé par CE 11/02/2021 n° 432960.</w:t>
      </w:r>
    </w:p>
    <w:p w:rsidR="00000000" w:rsidDel="00000000" w:rsidP="00000000" w:rsidRDefault="00000000" w:rsidRPr="00000000" w14:paraId="00000083">
      <w:pPr>
        <w:spacing w:after="240" w:lineRule="auto"/>
        <w:rPr/>
      </w:pPr>
      <w:r w:rsidDel="00000000" w:rsidR="00000000" w:rsidRPr="00000000">
        <w:rPr>
          <w:rtl w:val="0"/>
        </w:rPr>
        <w:t xml:space="preserve">Un contribuable qui fraude délibérément ne signale pas spontanément les erreurs de calcul du vérificateur. Un contribuable qui occulte des recettes ne facilite pas l'investigation par la communication active des règles internes de fonctionnement de sa caisse. La cohérence comportementale n'est pas, à elle seule, un argument décisif, mais elle constitue, dans l'appréciation globale du juge, un élément contraire à l'inférence d'intention que la proposition cherche à établir.</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nosaqlegbrhy" w:id="17"/>
      <w:bookmarkEnd w:id="17"/>
      <w:r w:rsidDel="00000000" w:rsidR="00000000" w:rsidRPr="00000000">
        <w:rPr>
          <w:b w:val="1"/>
          <w:bCs w:val="1"/>
          <w:sz w:val="34"/>
          <w:szCs w:val="34"/>
          <w:rtl w:val="0"/>
        </w:rPr>
        <w:t xml:space="preserve">4.6 Quatrième faiblesse : l'argument arithmétique majeur (modes de paiement à 92-94 % en CB)</w:t>
      </w:r>
    </w:p>
    <w:p w:rsidR="00000000" w:rsidDel="00000000" w:rsidP="00000000" w:rsidRDefault="00000000" w:rsidRPr="00000000" w14:paraId="00000086">
      <w:pPr>
        <w:spacing w:after="240" w:lineRule="auto"/>
        <w:rPr/>
      </w:pPr>
      <w:r w:rsidDel="00000000" w:rsidR="00000000" w:rsidRPr="00000000">
        <w:rPr>
          <w:rtl w:val="0"/>
        </w:rPr>
        <w:t xml:space="preserve">L'annexe F-1 à F-3 (p. 24 de la proposition) établit que les espèces représentent 0,9 %, 1,9 % et 1,2 % du total caisse selon l'exercice. Cet élément a été développé au Module 2 (point 2.5) et au Module 3 (point 3.10). Sa portée pour la pénalité 1729 mérite d'être explicitée :</w:t>
      </w:r>
    </w:p>
    <w:p w:rsidR="00000000" w:rsidDel="00000000" w:rsidP="00000000" w:rsidRDefault="00000000" w:rsidRPr="00000000" w14:paraId="00000087">
      <w:pPr>
        <w:spacing w:after="240" w:lineRule="auto"/>
        <w:rPr/>
      </w:pPr>
      <w:r w:rsidDel="00000000" w:rsidR="00000000" w:rsidRPr="00000000">
        <w:rPr>
          <w:rtl w:val="0"/>
        </w:rPr>
        <w:t xml:space="preserve">Pour qu'un contribuable ait délibérément éludé l'impôt sur 193 234 € en 2023, il faudrait que cette somme :</w:t>
      </w:r>
    </w:p>
    <w:p w:rsidR="00000000" w:rsidDel="00000000" w:rsidP="00000000" w:rsidRDefault="00000000" w:rsidRPr="00000000" w14:paraId="00000088">
      <w:pPr>
        <w:numPr>
          <w:ilvl w:val="0"/>
          <w:numId w:val="3"/>
        </w:numPr>
        <w:spacing w:after="0" w:afterAutospacing="0" w:lineRule="auto"/>
        <w:ind w:left="720" w:hanging="360"/>
      </w:pPr>
      <w:r w:rsidDel="00000000" w:rsidR="00000000" w:rsidRPr="00000000">
        <w:rPr>
          <w:rtl w:val="0"/>
        </w:rPr>
        <w:t xml:space="preserve">soit ait été encaissée et non déclarée (occultation simple) ;</w:t>
      </w:r>
    </w:p>
    <w:p w:rsidR="00000000" w:rsidDel="00000000" w:rsidP="00000000" w:rsidRDefault="00000000" w:rsidRPr="00000000" w14:paraId="00000089">
      <w:pPr>
        <w:numPr>
          <w:ilvl w:val="0"/>
          <w:numId w:val="3"/>
        </w:numPr>
        <w:spacing w:after="240" w:lineRule="auto"/>
        <w:ind w:left="720" w:hanging="360"/>
      </w:pPr>
      <w:r w:rsidDel="00000000" w:rsidR="00000000" w:rsidRPr="00000000">
        <w:rPr>
          <w:rtl w:val="0"/>
        </w:rPr>
        <w:t xml:space="preserve">soit ait fait l'objet d'une compensation entre des recettes existantes et des dépenses fictives ou personnelles déguisées en charges déductibles.</w:t>
      </w:r>
    </w:p>
    <w:p w:rsidR="00000000" w:rsidDel="00000000" w:rsidP="00000000" w:rsidRDefault="00000000" w:rsidRPr="00000000" w14:paraId="0000008A">
      <w:pPr>
        <w:spacing w:after="240" w:lineRule="auto"/>
        <w:rPr/>
      </w:pPr>
      <w:r w:rsidDel="00000000" w:rsidR="00000000" w:rsidRPr="00000000">
        <w:rPr>
          <w:rtl w:val="0"/>
        </w:rPr>
        <w:t xml:space="preserve">Aucune de ces deux hypothèses n'est documentée dans la proposition. Pour la première, les encaissements en espèces de l'exercice 2023 ne représentent que 3 798 € — montant arithmétiquement incompatible avec une occultation de 193 234 €. Pour la seconde, la proposition ne fait état d'aucune charge fictive, d'aucun virement suspect, d'aucun chèque émis au profit personnel des dirigeants, d'aucun signe extérieur de richesse non justifié.</w:t>
      </w:r>
    </w:p>
    <w:p w:rsidR="00000000" w:rsidDel="00000000" w:rsidP="00000000" w:rsidRDefault="00000000" w:rsidRPr="00000000" w14:paraId="0000008B">
      <w:pPr>
        <w:spacing w:after="240" w:lineRule="auto"/>
        <w:rPr/>
      </w:pPr>
      <w:r w:rsidDel="00000000" w:rsidR="00000000" w:rsidRPr="00000000">
        <w:rPr>
          <w:rtl w:val="0"/>
        </w:rPr>
        <w:t xml:space="preserve">L'absence d'élément factuel positif tendant à démontrer que les sommes prétendument occultées sont effectivement allées dans les poches des dirigeants prive la motivation d'un fondement décisif pour caractériser l'intention frauduleuse.</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mz5kminscbap" w:id="18"/>
      <w:bookmarkEnd w:id="18"/>
      <w:r w:rsidDel="00000000" w:rsidR="00000000" w:rsidRPr="00000000">
        <w:rPr>
          <w:b w:val="1"/>
          <w:bCs w:val="1"/>
          <w:sz w:val="34"/>
          <w:szCs w:val="34"/>
          <w:rtl w:val="0"/>
        </w:rPr>
        <w:t xml:space="preserve">4.7 Cinquième faiblesse : le logiciel SERVILOG est certifié</w:t>
      </w:r>
    </w:p>
    <w:p w:rsidR="00000000" w:rsidDel="00000000" w:rsidP="00000000" w:rsidRDefault="00000000" w:rsidRPr="00000000" w14:paraId="0000008E">
      <w:pPr>
        <w:spacing w:after="240" w:lineRule="auto"/>
        <w:rPr/>
      </w:pPr>
      <w:r w:rsidDel="00000000" w:rsidR="00000000" w:rsidRPr="00000000">
        <w:rPr>
          <w:rtl w:val="0"/>
        </w:rPr>
        <w:t xml:space="preserve">La p. 3 mentionne expressément que le cabinet AGC a transmis le 13 janvier 2026 le certificat de conformité de la caisse informatique, daté du 01/12/2018. Cette certification fait référence à l'article 286 I 3° bis du CGI qui impose, pour les commerçants utilisant un logiciel de caisse, soit une certification par un organisme accrédité, soit, pour la période contrôlée (1ᵉʳ avril 2022 — 31 mars 2025), une attestation individuelle de l'éditeur.</w:t>
      </w:r>
    </w:p>
    <w:p w:rsidR="00000000" w:rsidDel="00000000" w:rsidP="00000000" w:rsidRDefault="00000000" w:rsidRPr="00000000" w14:paraId="0000008F">
      <w:pPr>
        <w:spacing w:after="240" w:lineRule="auto"/>
        <w:rPr/>
      </w:pPr>
      <w:r w:rsidDel="00000000" w:rsidR="00000000" w:rsidRPr="00000000">
        <w:rPr>
          <w:rtl w:val="0"/>
        </w:rPr>
        <w:t xml:space="preserve">La loi de finances pour 2025 (article 43) a réformé ce dispositif en supprimant l'auto-certification éditeur à compter du </w:t>
      </w:r>
      <w:r w:rsidDel="00000000" w:rsidR="00000000" w:rsidRPr="00000000">
        <w:rPr>
          <w:b w:val="1"/>
          <w:bCs w:val="1"/>
          <w:rtl w:val="0"/>
        </w:rPr>
        <w:t xml:space="preserve">1ᵉʳ septembre 2025</w:t>
      </w:r>
      <w:r w:rsidDel="00000000" w:rsidR="00000000" w:rsidRPr="00000000">
        <w:rPr>
          <w:rtl w:val="0"/>
        </w:rPr>
        <w:t xml:space="preserve">. La période contrôlée s'arrête au 31 mars 2025, soit cinq mois </w:t>
      </w:r>
      <w:r w:rsidDel="00000000" w:rsidR="00000000" w:rsidRPr="00000000">
        <w:rPr>
          <w:b w:val="1"/>
          <w:bCs w:val="1"/>
          <w:rtl w:val="0"/>
        </w:rPr>
        <w:t xml:space="preserve">avant</w:t>
      </w:r>
      <w:r w:rsidDel="00000000" w:rsidR="00000000" w:rsidRPr="00000000">
        <w:rPr>
          <w:rtl w:val="0"/>
        </w:rPr>
        <w:t xml:space="preserve"> cette réforme. Le contribuable était donc en conformité avec le régime juridique applicable à la période contrôlée.</w:t>
      </w:r>
    </w:p>
    <w:p w:rsidR="00000000" w:rsidDel="00000000" w:rsidP="00000000" w:rsidRDefault="00000000" w:rsidRPr="00000000" w14:paraId="00000090">
      <w:pPr>
        <w:spacing w:after="240" w:lineRule="auto"/>
        <w:rPr/>
      </w:pPr>
      <w:r w:rsidDel="00000000" w:rsidR="00000000" w:rsidRPr="00000000">
        <w:rPr>
          <w:rtl w:val="0"/>
        </w:rPr>
        <w:t xml:space="preserve">Conséquences pour la pénalité 1729 :</w:t>
      </w:r>
    </w:p>
    <w:p w:rsidR="00000000" w:rsidDel="00000000" w:rsidP="00000000" w:rsidRDefault="00000000" w:rsidRPr="00000000" w14:paraId="00000091">
      <w:pPr>
        <w:numPr>
          <w:ilvl w:val="0"/>
          <w:numId w:val="5"/>
        </w:numPr>
        <w:spacing w:after="0" w:afterAutospacing="0" w:lineRule="auto"/>
        <w:ind w:left="720" w:hanging="360"/>
      </w:pPr>
      <w:r w:rsidDel="00000000" w:rsidR="00000000" w:rsidRPr="00000000">
        <w:rPr>
          <w:rtl w:val="0"/>
        </w:rPr>
        <w:t xml:space="preserve">Le contribuable a choisi un logiciel certifié, ce qui démontre une volonté positive de se conformer à la réglementation fiscale dématérialisée. Cette démarche est antinomique avec une intention frauduleuse caractérisée.</w:t>
      </w:r>
    </w:p>
    <w:p w:rsidR="00000000" w:rsidDel="00000000" w:rsidP="00000000" w:rsidRDefault="00000000" w:rsidRPr="00000000" w14:paraId="00000092">
      <w:pPr>
        <w:numPr>
          <w:ilvl w:val="0"/>
          <w:numId w:val="5"/>
        </w:numPr>
        <w:spacing w:after="240" w:lineRule="auto"/>
        <w:ind w:left="720" w:hanging="360"/>
      </w:pPr>
      <w:r w:rsidDel="00000000" w:rsidR="00000000" w:rsidRPr="00000000">
        <w:rPr>
          <w:rtl w:val="0"/>
        </w:rPr>
        <w:t xml:space="preserve">Les fonctionnalités du logiciel (suppression de tables, gestion des multi-règlements via tables virtuelles) sont des fonctionnalités natives du logiciel certifié, dont l'usage normal ne peut, à lui seul, être qualifié de manœuvre frauduleuse.</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5ipq1pybxnui" w:id="19"/>
      <w:bookmarkEnd w:id="19"/>
      <w:r w:rsidDel="00000000" w:rsidR="00000000" w:rsidRPr="00000000">
        <w:rPr>
          <w:b w:val="1"/>
          <w:bCs w:val="1"/>
          <w:sz w:val="34"/>
          <w:szCs w:val="34"/>
          <w:rtl w:val="0"/>
        </w:rPr>
        <w:t xml:space="preserve">4.8 Cote d'attaquabilité de la majoration 1729</w:t>
      </w:r>
    </w:p>
    <w:p w:rsidR="00000000" w:rsidDel="00000000" w:rsidP="00000000" w:rsidRDefault="00000000" w:rsidRPr="00000000" w14:paraId="00000095">
      <w:pPr>
        <w:spacing w:after="240" w:lineRule="auto"/>
        <w:rPr/>
      </w:pPr>
      <w:r w:rsidDel="00000000" w:rsidR="00000000" w:rsidRPr="00000000">
        <w:rPr>
          <w:rtl w:val="0"/>
        </w:rPr>
        <w:t xml:space="preserve">Combinaison des cinq faiblesses identifiées :</w:t>
      </w:r>
    </w:p>
    <w:tbl>
      <w:tblPr>
        <w:tblStyle w:val="Table3"/>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5"/>
        <w:gridCol w:w="1925"/>
        <w:gridCol w:w="4085"/>
        <w:tblGridChange w:id="0">
          <w:tblGrid>
            <w:gridCol w:w="3395"/>
            <w:gridCol w:w="1925"/>
            <w:gridCol w:w="4085"/>
          </w:tblGrid>
        </w:tblGridChange>
      </w:tblGrid>
      <w:tr>
        <w:trPr>
          <w:cantSplit w:val="0"/>
          <w:trHeight w:val="117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b w:val="1"/>
                <w:bCs w:val="1"/>
                <w:rtl w:val="0"/>
              </w:rPr>
              <w:t xml:space="preserve">Faiblesse</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b w:val="1"/>
                <w:bCs w:val="1"/>
                <w:rtl w:val="0"/>
              </w:rPr>
              <w:t xml:space="preserve">Référence dans la proposition</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b w:val="1"/>
                <w:bCs w:val="1"/>
                <w:rtl w:val="0"/>
              </w:rPr>
              <w:t xml:space="preserve">Force du moyen</w:t>
            </w:r>
            <w:r w:rsidDel="00000000" w:rsidR="00000000" w:rsidRPr="00000000">
              <w:rPr>
                <w:rtl w:val="0"/>
              </w:rPr>
            </w:r>
          </w:p>
        </w:tc>
      </w:tr>
      <w:tr>
        <w:trPr>
          <w:cantSplit w:val="0"/>
          <w:trHeight w:val="117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Erreur matérielle d'intitulé (mention de l'exercice 2022 hors période)</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p. 57</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Faible à modérée (peut être assimilée à une erreur de plume mais affecte la rigueur attendue)</w:t>
            </w:r>
          </w:p>
        </w:tc>
      </w:tr>
      <w:tr>
        <w:trPr>
          <w:cantSplit w:val="0"/>
          <w:trHeight w:val="117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Motivation reproduisant les motifs du rejet sans démontrer l'intention propre</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p. 57-58</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Forte (CE 11/02/2021 n° 432960 ; TA Nice 20/03/2025)</w:t>
            </w:r>
          </w:p>
        </w:tc>
      </w:tr>
      <w:tr>
        <w:trPr>
          <w:cantSplit w:val="0"/>
          <w:trHeight w:val="117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Coopération constante des dirigeants pendant 4 mois</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p. 2 à 7, p. 19, p. 20, p. 37, p. 51-52</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Forte (cohérence comportementale incompatible avec intention frauduleuse caractérisée)</w:t>
            </w:r>
          </w:p>
        </w:tc>
      </w:tr>
      <w:tr>
        <w:trPr>
          <w:cantSplit w:val="0"/>
          <w:trHeight w:val="93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Impossibilité arithmétique d'occulter en espèces</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annexe F p. 24</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Très forte (impossibilité matérielle non contestée par la proposition)</w:t>
            </w:r>
          </w:p>
        </w:tc>
      </w:tr>
      <w:tr>
        <w:trPr>
          <w:cantSplit w:val="0"/>
          <w:trHeight w:val="93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Logiciel certifié 286 I 3° bis valide sur toute la période</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p. 3</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Modérée à forte (démarche positive de conformité)</w:t>
            </w:r>
          </w:p>
        </w:tc>
      </w:tr>
    </w:tbl>
    <w:p w:rsidR="00000000" w:rsidDel="00000000" w:rsidP="00000000" w:rsidRDefault="00000000" w:rsidRPr="00000000" w14:paraId="000000A8">
      <w:pPr>
        <w:spacing w:after="240" w:lineRule="auto"/>
        <w:rPr/>
      </w:pPr>
      <w:r w:rsidDel="00000000" w:rsidR="00000000" w:rsidRPr="00000000">
        <w:rPr>
          <w:rtl w:val="0"/>
        </w:rPr>
        <w:t xml:space="preserve">L'ensemble de ces moyens, pris cumulativement, oriente l'analyse vers une </w:t>
      </w:r>
      <w:r w:rsidDel="00000000" w:rsidR="00000000" w:rsidRPr="00000000">
        <w:rPr>
          <w:b w:val="1"/>
          <w:bCs w:val="1"/>
          <w:rtl w:val="0"/>
        </w:rPr>
        <w:t xml:space="preserve">décharge probable de la majoration 1729</w:t>
      </w:r>
      <w:r w:rsidDel="00000000" w:rsidR="00000000" w:rsidRPr="00000000">
        <w:rPr>
          <w:rtl w:val="0"/>
        </w:rPr>
        <w:t xml:space="preserve">, même dans l'hypothèse où le rejet de comptabilité et la reconstitution seraient maintenus pour partie. La majoration de 40 % requiert un degré de preuve supérieur à celui qui suffit à fonder le rehaussement lui-même.</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otwifiisretm" w:id="20"/>
      <w:bookmarkEnd w:id="20"/>
      <w:r w:rsidDel="00000000" w:rsidR="00000000" w:rsidRPr="00000000">
        <w:rPr>
          <w:b w:val="1"/>
          <w:bCs w:val="1"/>
          <w:sz w:val="34"/>
          <w:szCs w:val="34"/>
          <w:rtl w:val="0"/>
        </w:rPr>
        <w:t xml:space="preserve">4.9 La pénalité 1759 (article 117 CGI)</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u3dv4hzdznr8" w:id="21"/>
      <w:bookmarkEnd w:id="21"/>
      <w:r w:rsidDel="00000000" w:rsidR="00000000" w:rsidRPr="00000000">
        <w:rPr>
          <w:b w:val="1"/>
          <w:bCs w:val="1"/>
          <w:color w:val="000000"/>
          <w:sz w:val="26"/>
          <w:szCs w:val="26"/>
          <w:rtl w:val="0"/>
        </w:rPr>
        <w:t xml:space="preserve">Mécanisme légal</w:t>
      </w:r>
    </w:p>
    <w:p w:rsidR="00000000" w:rsidDel="00000000" w:rsidP="00000000" w:rsidRDefault="00000000" w:rsidRPr="00000000" w14:paraId="000000AC">
      <w:pPr>
        <w:spacing w:after="240" w:lineRule="auto"/>
        <w:rPr/>
      </w:pPr>
      <w:r w:rsidDel="00000000" w:rsidR="00000000" w:rsidRPr="00000000">
        <w:rPr>
          <w:rtl w:val="0"/>
        </w:rPr>
        <w:t xml:space="preserve">L'article 117 du CGI dispose que lorsque la masse des revenus distribués excède le montant total des distributions tel qu'il résulte des déclarations de la personne morale, celle-ci est invitée à fournir à l'administration, dans un délai de </w:t>
      </w:r>
      <w:r w:rsidDel="00000000" w:rsidR="00000000" w:rsidRPr="00000000">
        <w:rPr>
          <w:b w:val="1"/>
          <w:bCs w:val="1"/>
          <w:rtl w:val="0"/>
        </w:rPr>
        <w:t xml:space="preserve">trente jours</w:t>
      </w:r>
      <w:r w:rsidDel="00000000" w:rsidR="00000000" w:rsidRPr="00000000">
        <w:rPr>
          <w:rtl w:val="0"/>
        </w:rPr>
        <w:t xml:space="preserve">, toutes indications complémentaires sur les bénéficiaires de l'excédent de distribution. L'article 1759 du CGI prévoit, en cas de refus ou de défaut de réponse dans ce délai, une pénalité de </w:t>
      </w:r>
      <w:r w:rsidDel="00000000" w:rsidR="00000000" w:rsidRPr="00000000">
        <w:rPr>
          <w:b w:val="1"/>
          <w:bCs w:val="1"/>
          <w:rtl w:val="0"/>
        </w:rPr>
        <w:t xml:space="preserve">100 %</w:t>
      </w:r>
      <w:r w:rsidDel="00000000" w:rsidR="00000000" w:rsidRPr="00000000">
        <w:rPr>
          <w:rtl w:val="0"/>
        </w:rPr>
        <w:t xml:space="preserve"> des sommes versées ou distribuées.</w:t>
      </w:r>
    </w:p>
    <w:p w:rsidR="00000000" w:rsidDel="00000000" w:rsidP="00000000" w:rsidRDefault="00000000" w:rsidRPr="00000000" w14:paraId="000000AD">
      <w:pPr>
        <w:spacing w:after="240" w:lineRule="auto"/>
        <w:rPr/>
      </w:pPr>
      <w:r w:rsidDel="00000000" w:rsidR="00000000" w:rsidRPr="00000000">
        <w:rPr>
          <w:rtl w:val="0"/>
        </w:rPr>
        <w:t xml:space="preserve">Le mécanisme s'articule avec l'</w:t>
      </w:r>
      <w:r w:rsidDel="00000000" w:rsidR="00000000" w:rsidRPr="00000000">
        <w:rPr>
          <w:b w:val="1"/>
          <w:bCs w:val="1"/>
          <w:rtl w:val="0"/>
        </w:rPr>
        <w:t xml:space="preserve">article 109 1° 1° du CGI</w:t>
      </w:r>
      <w:r w:rsidDel="00000000" w:rsidR="00000000" w:rsidRPr="00000000">
        <w:rPr>
          <w:rtl w:val="0"/>
        </w:rPr>
        <w:t xml:space="preserve">, qui présume distribués les bénéfices ou produits qui ne sont pas mis en réserve ou incorporés au capital.</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s7i2ip710r00" w:id="22"/>
      <w:bookmarkEnd w:id="22"/>
      <w:r w:rsidDel="00000000" w:rsidR="00000000" w:rsidRPr="00000000">
        <w:rPr>
          <w:b w:val="1"/>
          <w:bCs w:val="1"/>
          <w:color w:val="000000"/>
          <w:sz w:val="26"/>
          <w:szCs w:val="26"/>
          <w:rtl w:val="0"/>
        </w:rPr>
        <w:t xml:space="preserve">Position de l'administration</w:t>
      </w:r>
    </w:p>
    <w:p w:rsidR="00000000" w:rsidDel="00000000" w:rsidP="00000000" w:rsidRDefault="00000000" w:rsidRPr="00000000" w14:paraId="000000AF">
      <w:pPr>
        <w:spacing w:after="240" w:lineRule="auto"/>
        <w:rPr/>
      </w:pPr>
      <w:r w:rsidDel="00000000" w:rsidR="00000000" w:rsidRPr="00000000">
        <w:rPr>
          <w:rtl w:val="0"/>
        </w:rPr>
        <w:t xml:space="preserve">P. 58 :</w:t>
      </w:r>
    </w:p>
    <w:p w:rsidR="00000000" w:rsidDel="00000000" w:rsidP="00000000" w:rsidRDefault="00000000" w:rsidRPr="00000000" w14:paraId="000000B0">
      <w:pPr>
        <w:spacing w:after="240" w:lineRule="auto"/>
        <w:rPr/>
      </w:pPr>
      <w:r w:rsidDel="00000000" w:rsidR="00000000" w:rsidRPr="00000000">
        <w:rPr>
          <w:rtl w:val="0"/>
        </w:rPr>
        <w:t xml:space="preserve">« Bien que Madame Ghislaine PASTEUR-BEHEM et Monsieur Thierry Pasteur soient les uniques associés dans le capital de la société, en application de l'article 117 du Code Général des Impôts ( C-G-I ), dans le cas où la masse des revenus distribués excède le montant total des distributions tel qu'il résulte des déclarations de la personne morale visées à l'article 116 du C-G-I, celle-ci est invitée à fournir à l'administration, dans un délai de trente jours, toutes indications complémentaires sur les bénéficiaires de l'excédent de distribution.</w:t>
        <w:br w:type="textWrapping"/>
        <w:t xml:space="preserve"> En cas de refus ou à défaut de réponse dans ce délai, les sommes correspondantes donnent lieu à l'application de la pénalité prévue à l'article 1759 du C-G-I et dont le montant est fixé à 100 % des sommes versées ou distribuées, soit :</w:t>
        <w:br w:type="textWrapping"/>
        <w:t xml:space="preserve"> — 193 234,55 € sur l'exercice clos au 31 mars 2023</w:t>
        <w:br w:type="textWrapping"/>
        <w:t xml:space="preserve"> — 138 863,57 € sur l'exercice clos au 31 mars 2024</w:t>
        <w:br w:type="textWrapping"/>
        <w:t xml:space="preserve"> — 139 727,76 € sur l'exercice clos au 31 mars 2025 »</w:t>
      </w:r>
    </w:p>
    <w:p w:rsidR="00000000" w:rsidDel="00000000" w:rsidP="00000000" w:rsidRDefault="00000000" w:rsidRPr="00000000" w14:paraId="000000B1">
      <w:pPr>
        <w:spacing w:after="240" w:lineRule="auto"/>
        <w:rPr/>
      </w:pPr>
      <w:r w:rsidDel="00000000" w:rsidR="00000000" w:rsidRPr="00000000">
        <w:rPr>
          <w:rtl w:val="0"/>
        </w:rPr>
        <w:t xml:space="preserve">Le total cumulé de la pénalité atteint donc </w:t>
      </w:r>
      <w:r w:rsidDel="00000000" w:rsidR="00000000" w:rsidRPr="00000000">
        <w:rPr>
          <w:b w:val="1"/>
          <w:bCs w:val="1"/>
          <w:rtl w:val="0"/>
        </w:rPr>
        <w:t xml:space="preserve">471 825,88 €</w:t>
      </w:r>
      <w:r w:rsidDel="00000000" w:rsidR="00000000" w:rsidRPr="00000000">
        <w:rPr>
          <w:rtl w:val="0"/>
        </w:rPr>
        <w:t xml:space="preserve"> en l'absence de désignation. Il s'agit, à elle seule, du poste le plus lourd de l'ensemble des sanctions (69 % du total).</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hzbqg0qspes0" w:id="23"/>
      <w:bookmarkEnd w:id="23"/>
      <w:r w:rsidDel="00000000" w:rsidR="00000000" w:rsidRPr="00000000">
        <w:rPr>
          <w:b w:val="1"/>
          <w:bCs w:val="1"/>
          <w:color w:val="000000"/>
          <w:sz w:val="26"/>
          <w:szCs w:val="26"/>
          <w:rtl w:val="0"/>
        </w:rPr>
        <w:t xml:space="preserve">Caractéristiques juridiques essentielles</w:t>
      </w:r>
    </w:p>
    <w:p w:rsidR="00000000" w:rsidDel="00000000" w:rsidP="00000000" w:rsidRDefault="00000000" w:rsidRPr="00000000" w14:paraId="000000B3">
      <w:pPr>
        <w:numPr>
          <w:ilvl w:val="0"/>
          <w:numId w:val="11"/>
        </w:numPr>
        <w:spacing w:after="0" w:afterAutospacing="0" w:lineRule="auto"/>
        <w:ind w:left="720" w:hanging="360"/>
      </w:pPr>
      <w:r w:rsidDel="00000000" w:rsidR="00000000" w:rsidRPr="00000000">
        <w:rPr>
          <w:b w:val="1"/>
          <w:bCs w:val="1"/>
          <w:rtl w:val="0"/>
        </w:rPr>
        <w:t xml:space="preserve">Délai non prorogeable</w:t>
      </w:r>
      <w:r w:rsidDel="00000000" w:rsidR="00000000" w:rsidRPr="00000000">
        <w:rPr>
          <w:rtl w:val="0"/>
        </w:rPr>
        <w:t xml:space="preserve"> : à la différence du délai d'observations à la proposition de rectification (L. 57 al. 2 LPF prorogeable de 30 jours), le délai de l'article 117 du CGI est strict.</w:t>
      </w:r>
    </w:p>
    <w:p w:rsidR="00000000" w:rsidDel="00000000" w:rsidP="00000000" w:rsidRDefault="00000000" w:rsidRPr="00000000" w14:paraId="000000B4">
      <w:pPr>
        <w:numPr>
          <w:ilvl w:val="0"/>
          <w:numId w:val="11"/>
        </w:numPr>
        <w:spacing w:after="0" w:afterAutospacing="0" w:lineRule="auto"/>
        <w:ind w:left="720" w:hanging="360"/>
      </w:pPr>
      <w:r w:rsidDel="00000000" w:rsidR="00000000" w:rsidRPr="00000000">
        <w:rPr>
          <w:b w:val="1"/>
          <w:bCs w:val="1"/>
          <w:rtl w:val="0"/>
        </w:rPr>
        <w:t xml:space="preserve">Application mécanique</w:t>
      </w:r>
      <w:r w:rsidDel="00000000" w:rsidR="00000000" w:rsidRPr="00000000">
        <w:rPr>
          <w:rtl w:val="0"/>
        </w:rPr>
        <w:t xml:space="preserve"> : à défaut de réponse dans le délai, la pénalité est appliquée sans appréciation discrétionnaire de l'administration.</w:t>
      </w:r>
    </w:p>
    <w:p w:rsidR="00000000" w:rsidDel="00000000" w:rsidP="00000000" w:rsidRDefault="00000000" w:rsidRPr="00000000" w14:paraId="000000B5">
      <w:pPr>
        <w:numPr>
          <w:ilvl w:val="0"/>
          <w:numId w:val="11"/>
        </w:numPr>
        <w:spacing w:after="240" w:lineRule="auto"/>
        <w:ind w:left="720" w:hanging="360"/>
      </w:pPr>
      <w:r w:rsidDel="00000000" w:rsidR="00000000" w:rsidRPr="00000000">
        <w:rPr>
          <w:b w:val="1"/>
          <w:bCs w:val="1"/>
          <w:rtl w:val="0"/>
        </w:rPr>
        <w:t xml:space="preserve">Indépendance du contentieux au fond</w:t>
      </w:r>
      <w:r w:rsidDel="00000000" w:rsidR="00000000" w:rsidRPr="00000000">
        <w:rPr>
          <w:rtl w:val="0"/>
        </w:rPr>
        <w:t xml:space="preserve"> : la pénalité 1759 peut être déchargée si le rehaussement au fond (le bénéfice reconstitué qui sert d'assiette à la distribution présumée) est lui-même déchargé. Mais cette décharge n'intervient qu'à terme.</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gjb6vwi9zgb9" w:id="24"/>
      <w:bookmarkEnd w:id="24"/>
      <w:r w:rsidDel="00000000" w:rsidR="00000000" w:rsidRPr="00000000">
        <w:rPr>
          <w:b w:val="1"/>
          <w:bCs w:val="1"/>
          <w:color w:val="000000"/>
          <w:sz w:val="26"/>
          <w:szCs w:val="26"/>
          <w:rtl w:val="0"/>
        </w:rPr>
        <w:t xml:space="preserve">Jurisprudence</w:t>
      </w:r>
    </w:p>
    <w:p w:rsidR="00000000" w:rsidDel="00000000" w:rsidP="00000000" w:rsidRDefault="00000000" w:rsidRPr="00000000" w14:paraId="000000B7">
      <w:pPr>
        <w:numPr>
          <w:ilvl w:val="0"/>
          <w:numId w:val="15"/>
        </w:numPr>
        <w:spacing w:after="0" w:afterAutospacing="0" w:lineRule="auto"/>
        <w:ind w:left="720" w:hanging="360"/>
      </w:pPr>
      <w:r w:rsidDel="00000000" w:rsidR="00000000" w:rsidRPr="00000000">
        <w:rPr>
          <w:b w:val="1"/>
          <w:bCs w:val="1"/>
          <w:rtl w:val="0"/>
        </w:rPr>
        <w:t xml:space="preserve">CE, 9 avril 2014, n° 358279</w:t>
      </w:r>
      <w:r w:rsidDel="00000000" w:rsidR="00000000" w:rsidRPr="00000000">
        <w:rPr>
          <w:rtl w:val="0"/>
        </w:rPr>
        <w:t xml:space="preserve"> : le défaut de désignation d'identité </w:t>
      </w:r>
      <w:r w:rsidDel="00000000" w:rsidR="00000000" w:rsidRPr="00000000">
        <w:rPr>
          <w:b w:val="1"/>
          <w:bCs w:val="1"/>
          <w:rtl w:val="0"/>
        </w:rPr>
        <w:t xml:space="preserve">et</w:t>
      </w:r>
      <w:r w:rsidDel="00000000" w:rsidR="00000000" w:rsidRPr="00000000">
        <w:rPr>
          <w:rtl w:val="0"/>
        </w:rPr>
        <w:t xml:space="preserve"> d'adresse des bénéficiaires déclenche la pénalité 1759. Les autres demandes complémentaires éventuellement formulées par l'administration n'entraînent pas, par elles-mêmes, l'application de la pénalité.</w:t>
      </w:r>
    </w:p>
    <w:p w:rsidR="00000000" w:rsidDel="00000000" w:rsidP="00000000" w:rsidRDefault="00000000" w:rsidRPr="00000000" w14:paraId="000000B8">
      <w:pPr>
        <w:numPr>
          <w:ilvl w:val="0"/>
          <w:numId w:val="15"/>
        </w:numPr>
        <w:spacing w:after="240" w:lineRule="auto"/>
        <w:ind w:left="720" w:hanging="360"/>
      </w:pPr>
      <w:r w:rsidDel="00000000" w:rsidR="00000000" w:rsidRPr="00000000">
        <w:rPr>
          <w:b w:val="1"/>
          <w:bCs w:val="1"/>
          <w:rtl w:val="0"/>
        </w:rPr>
        <w:t xml:space="preserve">CE, 13 avril 2018, n° 401923</w:t>
      </w:r>
      <w:r w:rsidDel="00000000" w:rsidR="00000000" w:rsidRPr="00000000">
        <w:rPr>
          <w:rtl w:val="0"/>
        </w:rPr>
        <w:t xml:space="preserve"> : la pénalité s'applique également lorsque le représentant qui désigne ne dispose pas d'un mandat régulier ; il importe donc que la désignation soit faite par la gérante en titre ou un mandataire dûment habilité.</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h7ou7hiv2ps5" w:id="25"/>
      <w:bookmarkEnd w:id="25"/>
      <w:r w:rsidDel="00000000" w:rsidR="00000000" w:rsidRPr="00000000">
        <w:rPr>
          <w:b w:val="1"/>
          <w:bCs w:val="1"/>
          <w:color w:val="000000"/>
          <w:sz w:val="26"/>
          <w:szCs w:val="26"/>
          <w:rtl w:val="0"/>
        </w:rPr>
        <w:t xml:space="preserve">Désignation « sous toutes réserves » : régime jurisprudentiel</w:t>
      </w:r>
    </w:p>
    <w:p w:rsidR="00000000" w:rsidDel="00000000" w:rsidP="00000000" w:rsidRDefault="00000000" w:rsidRPr="00000000" w14:paraId="000000BA">
      <w:pPr>
        <w:spacing w:after="240" w:lineRule="auto"/>
        <w:rPr/>
      </w:pPr>
      <w:r w:rsidDel="00000000" w:rsidR="00000000" w:rsidRPr="00000000">
        <w:rPr>
          <w:rtl w:val="0"/>
        </w:rPr>
        <w:t xml:space="preserve">La désignation des bénéficiaires en application de l'article 117 CGI peut être formulée </w:t>
      </w:r>
      <w:r w:rsidDel="00000000" w:rsidR="00000000" w:rsidRPr="00000000">
        <w:rPr>
          <w:b w:val="1"/>
          <w:bCs w:val="1"/>
          <w:rtl w:val="0"/>
        </w:rPr>
        <w:t xml:space="preserve">« sous toutes réserves »</w:t>
      </w:r>
      <w:r w:rsidDel="00000000" w:rsidR="00000000" w:rsidRPr="00000000">
        <w:rPr>
          <w:rtl w:val="0"/>
        </w:rPr>
        <w:t xml:space="preserve"> s'agissant du bien-fondé du redressement. Cette pratique est admise par la jurisprudence et par la doctrine. La désignation, même sous réserves, satisfait l'obligation procédurale de l'article 117 et évite l'application de la pénalité 1759.</w:t>
      </w:r>
    </w:p>
    <w:p w:rsidR="00000000" w:rsidDel="00000000" w:rsidP="00000000" w:rsidRDefault="00000000" w:rsidRPr="00000000" w14:paraId="000000BB">
      <w:pPr>
        <w:spacing w:after="240" w:lineRule="auto"/>
        <w:rPr/>
      </w:pPr>
      <w:r w:rsidDel="00000000" w:rsidR="00000000" w:rsidRPr="00000000">
        <w:rPr>
          <w:rtl w:val="0"/>
        </w:rPr>
        <w:t xml:space="preserve">La désignation « sous toutes réserves » présente l'avantage de :</w:t>
      </w:r>
    </w:p>
    <w:p w:rsidR="00000000" w:rsidDel="00000000" w:rsidP="00000000" w:rsidRDefault="00000000" w:rsidRPr="00000000" w14:paraId="000000BC">
      <w:pPr>
        <w:numPr>
          <w:ilvl w:val="0"/>
          <w:numId w:val="8"/>
        </w:numPr>
        <w:spacing w:after="0" w:afterAutospacing="0" w:lineRule="auto"/>
        <w:ind w:left="720" w:hanging="360"/>
      </w:pPr>
      <w:r w:rsidDel="00000000" w:rsidR="00000000" w:rsidRPr="00000000">
        <w:rPr>
          <w:rtl w:val="0"/>
        </w:rPr>
        <w:t xml:space="preserve">éteindre le risque mécanique de la pénalité 1759 (100 % des distributions présumées) ;</w:t>
      </w:r>
    </w:p>
    <w:p w:rsidR="00000000" w:rsidDel="00000000" w:rsidP="00000000" w:rsidRDefault="00000000" w:rsidRPr="00000000" w14:paraId="000000BD">
      <w:pPr>
        <w:numPr>
          <w:ilvl w:val="0"/>
          <w:numId w:val="8"/>
        </w:numPr>
        <w:spacing w:after="0" w:afterAutospacing="0" w:lineRule="auto"/>
        <w:ind w:left="720" w:hanging="360"/>
      </w:pPr>
      <w:r w:rsidDel="00000000" w:rsidR="00000000" w:rsidRPr="00000000">
        <w:rPr>
          <w:rtl w:val="0"/>
        </w:rPr>
        <w:t xml:space="preserve">préserver l'intégralité des moyens de défense au fond contre le rehaussement IS, TVA et les distributions présumées ;</w:t>
      </w:r>
    </w:p>
    <w:p w:rsidR="00000000" w:rsidDel="00000000" w:rsidP="00000000" w:rsidRDefault="00000000" w:rsidRPr="00000000" w14:paraId="000000BE">
      <w:pPr>
        <w:numPr>
          <w:ilvl w:val="0"/>
          <w:numId w:val="8"/>
        </w:numPr>
        <w:spacing w:after="240" w:lineRule="auto"/>
        <w:ind w:left="720" w:hanging="360"/>
      </w:pPr>
      <w:r w:rsidDel="00000000" w:rsidR="00000000" w:rsidRPr="00000000">
        <w:rPr>
          <w:rtl w:val="0"/>
        </w:rPr>
        <w:t xml:space="preserve">ne pas valoir reconnaissance du caractère distribué des sommes en cause.</w:t>
      </w:r>
    </w:p>
    <w:p w:rsidR="00000000" w:rsidDel="00000000" w:rsidP="00000000" w:rsidRDefault="00000000" w:rsidRPr="00000000" w14:paraId="000000BF">
      <w:pPr>
        <w:spacing w:after="240" w:lineRule="auto"/>
        <w:rPr/>
      </w:pPr>
      <w:r w:rsidDel="00000000" w:rsidR="00000000" w:rsidRPr="00000000">
        <w:rPr>
          <w:rtl w:val="0"/>
        </w:rPr>
        <w:t xml:space="preserve">Cette approche est, dans le contexte du dossier, le seul moyen de sécuriser, dès le départ, 471 825,88 € de pénalité potentielle, sans aucune contrepartie au fond.</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3g74iq5pw3zf" w:id="26"/>
      <w:bookmarkEnd w:id="26"/>
      <w:r w:rsidDel="00000000" w:rsidR="00000000" w:rsidRPr="00000000">
        <w:rPr>
          <w:b w:val="1"/>
          <w:bCs w:val="1"/>
          <w:color w:val="000000"/>
          <w:sz w:val="26"/>
          <w:szCs w:val="26"/>
          <w:rtl w:val="0"/>
        </w:rPr>
        <w:t xml:space="preserve">Conséquences fiscales pour les associés désignés</w:t>
      </w:r>
    </w:p>
    <w:p w:rsidR="00000000" w:rsidDel="00000000" w:rsidP="00000000" w:rsidRDefault="00000000" w:rsidRPr="00000000" w14:paraId="000000C1">
      <w:pPr>
        <w:spacing w:after="240" w:lineRule="auto"/>
        <w:rPr/>
      </w:pPr>
      <w:r w:rsidDel="00000000" w:rsidR="00000000" w:rsidRPr="00000000">
        <w:rPr>
          <w:rtl w:val="0"/>
        </w:rPr>
        <w:t xml:space="preserve">Si la société désigne ses associés comme bénéficiaires des sommes regardées comme distribuées :</w:t>
      </w:r>
    </w:p>
    <w:p w:rsidR="00000000" w:rsidDel="00000000" w:rsidP="00000000" w:rsidRDefault="00000000" w:rsidRPr="00000000" w14:paraId="000000C2">
      <w:pPr>
        <w:numPr>
          <w:ilvl w:val="0"/>
          <w:numId w:val="9"/>
        </w:numPr>
        <w:spacing w:after="0" w:afterAutospacing="0" w:lineRule="auto"/>
        <w:ind w:left="720" w:hanging="360"/>
      </w:pPr>
      <w:r w:rsidDel="00000000" w:rsidR="00000000" w:rsidRPr="00000000">
        <w:rPr>
          <w:rtl w:val="0"/>
        </w:rPr>
        <w:t xml:space="preserve">Les sommes sont imposables chez les bénéficiaires dans la catégorie des </w:t>
      </w:r>
      <w:r w:rsidDel="00000000" w:rsidR="00000000" w:rsidRPr="00000000">
        <w:rPr>
          <w:b w:val="1"/>
          <w:bCs w:val="1"/>
          <w:rtl w:val="0"/>
        </w:rPr>
        <w:t xml:space="preserve">revenus de capitaux mobiliers</w:t>
      </w:r>
      <w:r w:rsidDel="00000000" w:rsidR="00000000" w:rsidRPr="00000000">
        <w:rPr>
          <w:rtl w:val="0"/>
        </w:rPr>
        <w:t xml:space="preserve"> (article 109 1° 1° du CGI).</w:t>
      </w:r>
    </w:p>
    <w:p w:rsidR="00000000" w:rsidDel="00000000" w:rsidP="00000000" w:rsidRDefault="00000000" w:rsidRPr="00000000" w14:paraId="000000C3">
      <w:pPr>
        <w:numPr>
          <w:ilvl w:val="0"/>
          <w:numId w:val="9"/>
        </w:numPr>
        <w:spacing w:after="0" w:afterAutospacing="0" w:lineRule="auto"/>
        <w:ind w:left="720" w:hanging="360"/>
      </w:pPr>
      <w:r w:rsidDel="00000000" w:rsidR="00000000" w:rsidRPr="00000000">
        <w:rPr>
          <w:rtl w:val="0"/>
        </w:rPr>
        <w:t xml:space="preserve">L'imposition par défaut est le </w:t>
      </w:r>
      <w:r w:rsidDel="00000000" w:rsidR="00000000" w:rsidRPr="00000000">
        <w:rPr>
          <w:b w:val="1"/>
          <w:bCs w:val="1"/>
          <w:rtl w:val="0"/>
        </w:rPr>
        <w:t xml:space="preserve">prélèvement forfaitaire unique</w:t>
      </w:r>
      <w:r w:rsidDel="00000000" w:rsidR="00000000" w:rsidRPr="00000000">
        <w:rPr>
          <w:rtl w:val="0"/>
        </w:rPr>
        <w:t xml:space="preserve"> de 30 % (12,8 % d'impôt sur le revenu + 17,2 % de prélèvements sociaux), prévu à l'article 200 A du CGI.</w:t>
      </w:r>
    </w:p>
    <w:p w:rsidR="00000000" w:rsidDel="00000000" w:rsidP="00000000" w:rsidRDefault="00000000" w:rsidRPr="00000000" w14:paraId="000000C4">
      <w:pPr>
        <w:numPr>
          <w:ilvl w:val="0"/>
          <w:numId w:val="9"/>
        </w:numPr>
        <w:spacing w:after="240" w:lineRule="auto"/>
        <w:ind w:left="720" w:hanging="360"/>
      </w:pPr>
      <w:r w:rsidDel="00000000" w:rsidR="00000000" w:rsidRPr="00000000">
        <w:rPr>
          <w:rtl w:val="0"/>
        </w:rPr>
        <w:t xml:space="preserve">L'option pour l'imposition au barème progressif est possible, avec abattement de 40 % sur la base imposable à l'IR (article 158-3-2° du CGI), mais sans abattement sur les prélèvements sociaux.</w:t>
      </w:r>
    </w:p>
    <w:p w:rsidR="00000000" w:rsidDel="00000000" w:rsidP="00000000" w:rsidRDefault="00000000" w:rsidRPr="00000000" w14:paraId="000000C5">
      <w:pPr>
        <w:spacing w:after="240" w:lineRule="auto"/>
        <w:rPr/>
      </w:pPr>
      <w:r w:rsidDel="00000000" w:rsidR="00000000" w:rsidRPr="00000000">
        <w:rPr>
          <w:rtl w:val="0"/>
        </w:rPr>
        <w:t xml:space="preserve">Ces conséquences fiscales pèsent </w:t>
      </w:r>
      <w:r w:rsidDel="00000000" w:rsidR="00000000" w:rsidRPr="00000000">
        <w:rPr>
          <w:b w:val="1"/>
          <w:bCs w:val="1"/>
          <w:rtl w:val="0"/>
        </w:rPr>
        <w:t xml:space="preserve">uniquement</w:t>
      </w:r>
      <w:r w:rsidDel="00000000" w:rsidR="00000000" w:rsidRPr="00000000">
        <w:rPr>
          <w:rtl w:val="0"/>
        </w:rPr>
        <w:t xml:space="preserve"> sur les associés et </w:t>
      </w:r>
      <w:r w:rsidDel="00000000" w:rsidR="00000000" w:rsidRPr="00000000">
        <w:rPr>
          <w:b w:val="1"/>
          <w:bCs w:val="1"/>
          <w:rtl w:val="0"/>
        </w:rPr>
        <w:t xml:space="preserve">uniquement si le rehaussement IS lui-même est maintenu</w:t>
      </w:r>
      <w:r w:rsidDel="00000000" w:rsidR="00000000" w:rsidRPr="00000000">
        <w:rPr>
          <w:rtl w:val="0"/>
        </w:rPr>
        <w:t xml:space="preserve">. Si la défense aboutit à la décharge du rehaussement IS au fond (scénarios A ou B du chiffrage prévisionnel), il n'y a plus de distribution et donc plus d'imposition IR/PS à la charge des associés.</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xgv3cjenk5tb" w:id="27"/>
      <w:bookmarkEnd w:id="27"/>
      <w:r w:rsidDel="00000000" w:rsidR="00000000" w:rsidRPr="00000000">
        <w:rPr>
          <w:b w:val="1"/>
          <w:bCs w:val="1"/>
          <w:color w:val="000000"/>
          <w:sz w:val="26"/>
          <w:szCs w:val="26"/>
          <w:rtl w:val="0"/>
        </w:rPr>
        <w:t xml:space="preserve">Comparaison chiffrée</w:t>
      </w:r>
    </w:p>
    <w:tbl>
      <w:tblPr>
        <w:tblStyle w:val="Table4"/>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5"/>
        <w:gridCol w:w="1850"/>
        <w:gridCol w:w="3005"/>
        <w:tblGridChange w:id="0">
          <w:tblGrid>
            <w:gridCol w:w="4565"/>
            <w:gridCol w:w="1850"/>
            <w:gridCol w:w="3005"/>
          </w:tblGrid>
        </w:tblGridChange>
      </w:tblGrid>
      <w:tr>
        <w:trPr>
          <w:cantSplit w:val="0"/>
          <w:trHeight w:val="93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C7">
            <w:pPr>
              <w:jc w:val="center"/>
              <w:rPr/>
            </w:pP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C8">
            <w:pPr>
              <w:jc w:val="center"/>
              <w:rPr/>
            </w:pPr>
            <w:r w:rsidDel="00000000" w:rsidR="00000000" w:rsidRPr="00000000">
              <w:rPr>
                <w:b w:val="1"/>
                <w:bCs w:val="1"/>
                <w:rtl w:val="0"/>
              </w:rPr>
              <w:t xml:space="preserve">Sans désignation</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C9">
            <w:pPr>
              <w:jc w:val="center"/>
              <w:rPr/>
            </w:pPr>
            <w:r w:rsidDel="00000000" w:rsidR="00000000" w:rsidRPr="00000000">
              <w:rPr>
                <w:b w:val="1"/>
                <w:bCs w:val="1"/>
                <w:rtl w:val="0"/>
              </w:rPr>
              <w:t xml:space="preserve">Avec désignation (PFU 30 %)</w:t>
            </w:r>
            <w:r w:rsidDel="00000000" w:rsidR="00000000" w:rsidRPr="00000000">
              <w:rPr>
                <w:rtl w:val="0"/>
              </w:rPr>
            </w:r>
          </w:p>
        </w:tc>
      </w:tr>
      <w:tr>
        <w:trPr>
          <w:cantSplit w:val="0"/>
          <w:trHeight w:val="69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Pénalité 1759 (société)</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471 826 €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0 €</w:t>
            </w:r>
          </w:p>
        </w:tc>
      </w:tr>
      <w:tr>
        <w:trPr>
          <w:cantSplit w:val="0"/>
          <w:trHeight w:val="93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IR + PS associés (PFU 30 %), si rehaussement maintenu</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0 €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141 548 € (pour les deux associés)</w:t>
            </w:r>
          </w:p>
        </w:tc>
      </w:tr>
      <w:tr>
        <w:trPr>
          <w:cantSplit w:val="0"/>
          <w:trHeight w:val="69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b w:val="1"/>
                <w:bCs w:val="1"/>
                <w:rtl w:val="0"/>
              </w:rPr>
              <w:t xml:space="preserve">Total pire scénario</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b w:val="1"/>
                <w:bCs w:val="1"/>
                <w:rtl w:val="0"/>
              </w:rPr>
              <w:t xml:space="preserve">471 826 €</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b w:val="1"/>
                <w:bCs w:val="1"/>
                <w:rtl w:val="0"/>
              </w:rPr>
              <w:t xml:space="preserve">141 548 €</w:t>
            </w:r>
            <w:r w:rsidDel="00000000" w:rsidR="00000000" w:rsidRPr="00000000">
              <w:rPr>
                <w:rtl w:val="0"/>
              </w:rPr>
            </w:r>
          </w:p>
        </w:tc>
      </w:tr>
      <w:tr>
        <w:trPr>
          <w:cantSplit w:val="0"/>
          <w:trHeight w:val="93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b w:val="1"/>
                <w:bCs w:val="1"/>
                <w:rtl w:val="0"/>
              </w:rPr>
              <w:t xml:space="preserve">Gain net minimum garanti par la désignation</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b w:val="1"/>
                <w:bCs w:val="1"/>
                <w:rtl w:val="0"/>
              </w:rPr>
              <w:t xml:space="preserve">330 278 €</w:t>
            </w:r>
            <w:r w:rsidDel="00000000" w:rsidR="00000000" w:rsidRPr="00000000">
              <w:rPr>
                <w:rtl w:val="0"/>
              </w:rPr>
            </w:r>
          </w:p>
        </w:tc>
      </w:tr>
    </w:tbl>
    <w:p w:rsidR="00000000" w:rsidDel="00000000" w:rsidP="00000000" w:rsidRDefault="00000000" w:rsidRPr="00000000" w14:paraId="000000D6">
      <w:pPr>
        <w:spacing w:after="240" w:lineRule="auto"/>
        <w:rPr/>
      </w:pPr>
      <w:r w:rsidDel="00000000" w:rsidR="00000000" w:rsidRPr="00000000">
        <w:rPr>
          <w:rtl w:val="0"/>
        </w:rPr>
        <w:t xml:space="preserve">Et si la défense gagne au fond (probabilité estimée à 60 % entre les scénarios A et B du chiffrage prévisionnel), il n'y a rien à payer aux deux niveaux.</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7xypq1btozjr" w:id="28"/>
      <w:bookmarkEnd w:id="28"/>
      <w:r w:rsidDel="00000000" w:rsidR="00000000" w:rsidRPr="00000000">
        <w:rPr>
          <w:b w:val="1"/>
          <w:bCs w:val="1"/>
          <w:color w:val="000000"/>
          <w:sz w:val="26"/>
          <w:szCs w:val="26"/>
          <w:rtl w:val="0"/>
        </w:rPr>
        <w:t xml:space="preserve">Conclusion sur la pénalité 1759</w:t>
      </w:r>
    </w:p>
    <w:p w:rsidR="00000000" w:rsidDel="00000000" w:rsidP="00000000" w:rsidRDefault="00000000" w:rsidRPr="00000000" w14:paraId="000000D8">
      <w:pPr>
        <w:spacing w:after="240" w:lineRule="auto"/>
        <w:rPr/>
      </w:pPr>
      <w:r w:rsidDel="00000000" w:rsidR="00000000" w:rsidRPr="00000000">
        <w:rPr>
          <w:rtl w:val="0"/>
        </w:rPr>
        <w:t xml:space="preserve">La désignation conservatoire « sous toutes réserves » des bénéficiaires, dans le délai de 30 jours suivant la réception de la proposition de rectification, est la mesure la plus rentable de l'ensemble du dossier : elle sécurise mécaniquement 330 278 € à 471 826 € de pénalité, sans coût correspondant et sans contrepartie sur la défense au fond.</w:t>
      </w:r>
    </w:p>
    <w:p w:rsidR="00000000" w:rsidDel="00000000" w:rsidP="00000000" w:rsidRDefault="00000000" w:rsidRPr="00000000" w14:paraId="000000D9">
      <w:pPr>
        <w:spacing w:after="240" w:lineRule="auto"/>
        <w:rPr/>
      </w:pPr>
      <w:r w:rsidDel="00000000" w:rsidR="00000000" w:rsidRPr="00000000">
        <w:rPr>
          <w:rtl w:val="0"/>
        </w:rPr>
        <w:t xml:space="preserve">L'action à entreprendre est :</w:t>
      </w:r>
    </w:p>
    <w:p w:rsidR="00000000" w:rsidDel="00000000" w:rsidP="00000000" w:rsidRDefault="00000000" w:rsidRPr="00000000" w14:paraId="000000DA">
      <w:pPr>
        <w:numPr>
          <w:ilvl w:val="0"/>
          <w:numId w:val="12"/>
        </w:numPr>
        <w:spacing w:after="0" w:afterAutospacing="0" w:lineRule="auto"/>
        <w:ind w:left="720" w:hanging="360"/>
      </w:pPr>
      <w:r w:rsidDel="00000000" w:rsidR="00000000" w:rsidRPr="00000000">
        <w:rPr>
          <w:rtl w:val="0"/>
        </w:rPr>
        <w:t xml:space="preserve">une lettre recommandée avec accusé de réception adressée au vérificateur (Pierre DROUARD à la DDFiP Jura) ;</w:t>
      </w:r>
    </w:p>
    <w:p w:rsidR="00000000" w:rsidDel="00000000" w:rsidP="00000000" w:rsidRDefault="00000000" w:rsidRPr="00000000" w14:paraId="000000DB">
      <w:pPr>
        <w:numPr>
          <w:ilvl w:val="0"/>
          <w:numId w:val="12"/>
        </w:numPr>
        <w:spacing w:after="0" w:afterAutospacing="0" w:lineRule="auto"/>
        <w:ind w:left="720" w:hanging="360"/>
      </w:pPr>
      <w:r w:rsidDel="00000000" w:rsidR="00000000" w:rsidRPr="00000000">
        <w:rPr>
          <w:rtl w:val="0"/>
        </w:rPr>
        <w:t xml:space="preserve">envoyée dans les 30 jours non prorogeables suivant la réception de la proposition ;</w:t>
      </w:r>
    </w:p>
    <w:p w:rsidR="00000000" w:rsidDel="00000000" w:rsidP="00000000" w:rsidRDefault="00000000" w:rsidRPr="00000000" w14:paraId="000000DC">
      <w:pPr>
        <w:numPr>
          <w:ilvl w:val="0"/>
          <w:numId w:val="12"/>
        </w:numPr>
        <w:spacing w:after="0" w:afterAutospacing="0" w:lineRule="auto"/>
        <w:ind w:left="720" w:hanging="360"/>
      </w:pPr>
      <w:r w:rsidDel="00000000" w:rsidR="00000000" w:rsidRPr="00000000">
        <w:rPr>
          <w:rtl w:val="0"/>
        </w:rPr>
        <w:t xml:space="preserve">signée par la gérante en titre (Mme PASTEUR-BEHEM) ;</w:t>
      </w:r>
    </w:p>
    <w:p w:rsidR="00000000" w:rsidDel="00000000" w:rsidP="00000000" w:rsidRDefault="00000000" w:rsidRPr="00000000" w14:paraId="000000DD">
      <w:pPr>
        <w:numPr>
          <w:ilvl w:val="0"/>
          <w:numId w:val="12"/>
        </w:numPr>
        <w:spacing w:after="0" w:afterAutospacing="0" w:lineRule="auto"/>
        <w:ind w:left="720" w:hanging="360"/>
      </w:pPr>
      <w:r w:rsidDel="00000000" w:rsidR="00000000" w:rsidRPr="00000000">
        <w:rPr>
          <w:rtl w:val="0"/>
        </w:rPr>
        <w:t xml:space="preserve">désignant les deux associés comme bénéficiaires selon leur quote-part exacte dans le capital ;</w:t>
      </w:r>
    </w:p>
    <w:p w:rsidR="00000000" w:rsidDel="00000000" w:rsidP="00000000" w:rsidRDefault="00000000" w:rsidRPr="00000000" w14:paraId="000000DE">
      <w:pPr>
        <w:numPr>
          <w:ilvl w:val="0"/>
          <w:numId w:val="12"/>
        </w:numPr>
        <w:spacing w:after="240" w:lineRule="auto"/>
        <w:ind w:left="720" w:hanging="360"/>
      </w:pPr>
      <w:r w:rsidDel="00000000" w:rsidR="00000000" w:rsidRPr="00000000">
        <w:rPr>
          <w:rtl w:val="0"/>
        </w:rPr>
        <w:t xml:space="preserve">mentionnant expressément que la désignation est faite « sous toutes réserves » quant au bien-fondé du redressement, et ne vaut pas reconnaissance.</w:t>
      </w:r>
    </w:p>
    <w:p w:rsidR="00000000" w:rsidDel="00000000" w:rsidP="00000000" w:rsidRDefault="00000000" w:rsidRPr="00000000" w14:paraId="000000DF">
      <w:pPr>
        <w:spacing w:after="240" w:lineRule="auto"/>
        <w:rPr/>
      </w:pPr>
      <w:r w:rsidDel="00000000" w:rsidR="00000000" w:rsidRPr="00000000">
        <w:rPr>
          <w:rtl w:val="0"/>
        </w:rPr>
        <w:t xml:space="preserve">Cette lettre peut utilement être groupée avec la demande de prorogation du délai de réponse à la proposition (L. 57 al. 2 LPF). Un courrier unique en cours est rédigé sous cette forme (variante 2 du document « Courrier RAR prorogation L. 57 et désignation 117 sous réserves »).</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bpndrg4yd6r8" w:id="29"/>
      <w:bookmarkEnd w:id="29"/>
      <w:r w:rsidDel="00000000" w:rsidR="00000000" w:rsidRPr="00000000">
        <w:rPr>
          <w:b w:val="1"/>
          <w:bCs w:val="1"/>
          <w:sz w:val="34"/>
          <w:szCs w:val="34"/>
          <w:rtl w:val="0"/>
        </w:rPr>
        <w:t xml:space="preserve">4.10 Intérêts de retard (article 1727 CGI)</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w4w0p22rlnxy" w:id="30"/>
      <w:bookmarkEnd w:id="30"/>
      <w:r w:rsidDel="00000000" w:rsidR="00000000" w:rsidRPr="00000000">
        <w:rPr>
          <w:b w:val="1"/>
          <w:bCs w:val="1"/>
          <w:color w:val="000000"/>
          <w:sz w:val="26"/>
          <w:szCs w:val="26"/>
          <w:rtl w:val="0"/>
        </w:rPr>
        <w:t xml:space="preserve">Nature juridique</w:t>
      </w:r>
    </w:p>
    <w:p w:rsidR="00000000" w:rsidDel="00000000" w:rsidP="00000000" w:rsidRDefault="00000000" w:rsidRPr="00000000" w14:paraId="000000E3">
      <w:pPr>
        <w:spacing w:after="240" w:lineRule="auto"/>
        <w:rPr/>
      </w:pPr>
      <w:r w:rsidDel="00000000" w:rsidR="00000000" w:rsidRPr="00000000">
        <w:rPr>
          <w:rtl w:val="0"/>
        </w:rPr>
        <w:t xml:space="preserve">P. 57 :</w:t>
      </w:r>
    </w:p>
    <w:p w:rsidR="00000000" w:rsidDel="00000000" w:rsidP="00000000" w:rsidRDefault="00000000" w:rsidRPr="00000000" w14:paraId="000000E4">
      <w:pPr>
        <w:spacing w:after="240" w:lineRule="auto"/>
        <w:rPr/>
      </w:pPr>
      <w:r w:rsidDel="00000000" w:rsidR="00000000" w:rsidRPr="00000000">
        <w:rPr>
          <w:rtl w:val="0"/>
        </w:rPr>
        <w:t xml:space="preserve">« L'intérêt de retard n'a pas le caractère d'une sanction et vise seulement à réparer le préjudice subi par le trésor du fait de la perception tardive de sa créance. »</w:t>
      </w:r>
    </w:p>
    <w:p w:rsidR="00000000" w:rsidDel="00000000" w:rsidP="00000000" w:rsidRDefault="00000000" w:rsidRPr="00000000" w14:paraId="000000E5">
      <w:pPr>
        <w:spacing w:after="240" w:lineRule="auto"/>
        <w:rPr/>
      </w:pPr>
      <w:r w:rsidDel="00000000" w:rsidR="00000000" w:rsidRPr="00000000">
        <w:rPr>
          <w:rtl w:val="0"/>
        </w:rPr>
        <w:t xml:space="preserve">Cette qualification est conforme à la doctrine (BOI-CF-INF-10-10) et au Conseil constitutionnel (décision n° 2014-457 QPC du 20 mars 2015), qui ont jugé que les intérêts de retard, n'étant pas une sanction, n'obéissent pas au principe de personnalité des peines et ne sont pas subordonnés à la démonstration d'un manquement délibéré.</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jbz38chh0tct" w:id="31"/>
      <w:bookmarkEnd w:id="31"/>
      <w:r w:rsidDel="00000000" w:rsidR="00000000" w:rsidRPr="00000000">
        <w:rPr>
          <w:b w:val="1"/>
          <w:bCs w:val="1"/>
          <w:color w:val="000000"/>
          <w:sz w:val="26"/>
          <w:szCs w:val="26"/>
          <w:rtl w:val="0"/>
        </w:rPr>
        <w:t xml:space="preserve">Conséquence pour la défense</w:t>
      </w:r>
    </w:p>
    <w:p w:rsidR="00000000" w:rsidDel="00000000" w:rsidP="00000000" w:rsidRDefault="00000000" w:rsidRPr="00000000" w14:paraId="000000E7">
      <w:pPr>
        <w:spacing w:after="240" w:lineRule="auto"/>
        <w:rPr/>
      </w:pPr>
      <w:r w:rsidDel="00000000" w:rsidR="00000000" w:rsidRPr="00000000">
        <w:rPr>
          <w:rtl w:val="0"/>
        </w:rPr>
        <w:t xml:space="preserve">Les intérêts de retard suivent le sort du principal :</w:t>
      </w:r>
    </w:p>
    <w:p w:rsidR="00000000" w:rsidDel="00000000" w:rsidP="00000000" w:rsidRDefault="00000000" w:rsidRPr="00000000" w14:paraId="000000E8">
      <w:pPr>
        <w:numPr>
          <w:ilvl w:val="0"/>
          <w:numId w:val="1"/>
        </w:numPr>
        <w:spacing w:after="0" w:afterAutospacing="0" w:lineRule="auto"/>
        <w:ind w:left="720" w:hanging="360"/>
      </w:pPr>
      <w:r w:rsidDel="00000000" w:rsidR="00000000" w:rsidRPr="00000000">
        <w:rPr>
          <w:rtl w:val="0"/>
        </w:rPr>
        <w:t xml:space="preserve">Si le principal IS et TVA est déchargé en totalité (scénarios A ou B), les intérêts sont automatiquement annulés (7 268 €).</w:t>
      </w:r>
    </w:p>
    <w:p w:rsidR="00000000" w:rsidDel="00000000" w:rsidP="00000000" w:rsidRDefault="00000000" w:rsidRPr="00000000" w14:paraId="000000E9">
      <w:pPr>
        <w:numPr>
          <w:ilvl w:val="0"/>
          <w:numId w:val="1"/>
        </w:numPr>
        <w:spacing w:after="0" w:afterAutospacing="0" w:lineRule="auto"/>
        <w:ind w:left="720" w:hanging="360"/>
      </w:pPr>
      <w:r w:rsidDel="00000000" w:rsidR="00000000" w:rsidRPr="00000000">
        <w:rPr>
          <w:rtl w:val="0"/>
        </w:rPr>
        <w:t xml:space="preserve">Si le principal est réduit, les intérêts sont réduits proportionnellement.</w:t>
      </w:r>
    </w:p>
    <w:p w:rsidR="00000000" w:rsidDel="00000000" w:rsidP="00000000" w:rsidRDefault="00000000" w:rsidRPr="00000000" w14:paraId="000000EA">
      <w:pPr>
        <w:numPr>
          <w:ilvl w:val="0"/>
          <w:numId w:val="1"/>
        </w:numPr>
        <w:spacing w:after="240" w:lineRule="auto"/>
        <w:ind w:left="720" w:hanging="360"/>
      </w:pPr>
      <w:r w:rsidDel="00000000" w:rsidR="00000000" w:rsidRPr="00000000">
        <w:rPr>
          <w:rtl w:val="0"/>
        </w:rPr>
        <w:t xml:space="preserve">Si le principal est maintenu, les intérêts sont dus.</w:t>
      </w:r>
    </w:p>
    <w:p w:rsidR="00000000" w:rsidDel="00000000" w:rsidP="00000000" w:rsidRDefault="00000000" w:rsidRPr="00000000" w14:paraId="000000EB">
      <w:pPr>
        <w:spacing w:after="240" w:lineRule="auto"/>
        <w:rPr/>
      </w:pPr>
      <w:r w:rsidDel="00000000" w:rsidR="00000000" w:rsidRPr="00000000">
        <w:rPr>
          <w:rtl w:val="0"/>
        </w:rPr>
        <w:t xml:space="preserve">Les intérêts de retard ne constituent pas, en eux-mêmes, un terrain de contestation autonome. Aucun moyen propre n'est susceptible d'aboutir à leur seule décharge (sauf vice procédural majeur qui annulerait l'imposition dans son ensemble — renvoi Module 1 point 1.3).</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laa15a92w6wp" w:id="32"/>
      <w:bookmarkEnd w:id="32"/>
      <w:r w:rsidDel="00000000" w:rsidR="00000000" w:rsidRPr="00000000">
        <w:rPr>
          <w:b w:val="1"/>
          <w:bCs w:val="1"/>
          <w:sz w:val="34"/>
          <w:szCs w:val="34"/>
          <w:rtl w:val="0"/>
        </w:rPr>
        <w:t xml:space="preserve">Synthèse du Module 4</w:t>
      </w:r>
    </w:p>
    <w:tbl>
      <w:tblPr>
        <w:tblStyle w:val="Table5"/>
        <w:tblW w:w="9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gridCol w:w="1460"/>
        <w:gridCol w:w="905"/>
        <w:gridCol w:w="3665"/>
        <w:gridCol w:w="2285"/>
        <w:tblGridChange w:id="0">
          <w:tblGrid>
            <w:gridCol w:w="1505"/>
            <w:gridCol w:w="1460"/>
            <w:gridCol w:w="905"/>
            <w:gridCol w:w="3665"/>
            <w:gridCol w:w="2285"/>
          </w:tblGrid>
        </w:tblGridChange>
      </w:tblGrid>
      <w:tr>
        <w:trPr>
          <w:cantSplit w:val="0"/>
          <w:trHeight w:val="141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EE">
            <w:pPr>
              <w:jc w:val="center"/>
              <w:rPr/>
            </w:pPr>
            <w:r w:rsidDel="00000000" w:rsidR="00000000" w:rsidRPr="00000000">
              <w:rPr>
                <w:b w:val="1"/>
                <w:bCs w:val="1"/>
                <w:rtl w:val="0"/>
              </w:rPr>
              <w:t xml:space="preserve">Sanction</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EF">
            <w:pPr>
              <w:jc w:val="center"/>
              <w:rPr/>
            </w:pPr>
            <w:r w:rsidDel="00000000" w:rsidR="00000000" w:rsidRPr="00000000">
              <w:rPr>
                <w:b w:val="1"/>
                <w:bCs w:val="1"/>
                <w:rtl w:val="0"/>
              </w:rPr>
              <w:t xml:space="preserve">Référence dans la proposition</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F0">
            <w:pPr>
              <w:jc w:val="center"/>
              <w:rPr/>
            </w:pPr>
            <w:r w:rsidDel="00000000" w:rsidR="00000000" w:rsidRPr="00000000">
              <w:rPr>
                <w:b w:val="1"/>
                <w:bCs w:val="1"/>
                <w:rtl w:val="0"/>
              </w:rPr>
              <w:t xml:space="preserve">Montant</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F1">
            <w:pPr>
              <w:jc w:val="center"/>
              <w:rPr/>
            </w:pPr>
            <w:r w:rsidDel="00000000" w:rsidR="00000000" w:rsidRPr="00000000">
              <w:rPr>
                <w:b w:val="1"/>
                <w:bCs w:val="1"/>
                <w:rtl w:val="0"/>
              </w:rPr>
              <w:t xml:space="preserve">Position de la défense</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F2">
            <w:pPr>
              <w:jc w:val="center"/>
              <w:rPr/>
            </w:pPr>
            <w:r w:rsidDel="00000000" w:rsidR="00000000" w:rsidRPr="00000000">
              <w:rPr>
                <w:b w:val="1"/>
                <w:bCs w:val="1"/>
                <w:rtl w:val="0"/>
              </w:rPr>
              <w:t xml:space="preserve">Cote d'attaquabilité</w:t>
            </w:r>
            <w:r w:rsidDel="00000000" w:rsidR="00000000" w:rsidRPr="00000000">
              <w:rPr>
                <w:rtl w:val="0"/>
              </w:rPr>
            </w:r>
          </w:p>
        </w:tc>
      </w:tr>
      <w:tr>
        <w:trPr>
          <w:cantSplit w:val="0"/>
          <w:trHeight w:val="141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Intérêts de retard 1727 (IS + TVA)</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p. 57</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7 268 €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Suit le sort du principal, pas de moyen autonome</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Proportionnelle au principal</w:t>
            </w:r>
          </w:p>
        </w:tc>
      </w:tr>
      <w:tr>
        <w:trPr>
          <w:cantSplit w:val="0"/>
          <w:trHeight w:val="165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Majoration 1729 sur IS</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p. 57-58</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39 004 €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Erreur d'intitulé p. 57 ; motivation reproduisant le rejet ; coopération avérée ; impossibilité arithmétique ; logiciel certifié</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Forte (décharge probable indépendamment du sort du principal)</w:t>
            </w:r>
          </w:p>
        </w:tc>
      </w:tr>
      <w:tr>
        <w:trPr>
          <w:cantSplit w:val="0"/>
          <w:trHeight w:val="165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Majoration 1729 sur TVA</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p. 57-58</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19 819 €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Idem</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Forte (décharge probable indépendamment du sort du principal)</w:t>
            </w:r>
          </w:p>
        </w:tc>
      </w:tr>
      <w:tr>
        <w:trPr>
          <w:cantSplit w:val="0"/>
          <w:trHeight w:val="141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Pénalité 1759 (distributions)</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p. 58</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471 826 €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Désignation conservatoire sous toutes réserves dans les 30 jours</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Très forte (élimination quasi-certaine sous condition d'action)</w:t>
            </w:r>
          </w:p>
        </w:tc>
      </w:tr>
    </w:tbl>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esolzk8xvasb" w:id="33"/>
      <w:bookmarkEnd w:id="33"/>
      <w:r w:rsidDel="00000000" w:rsidR="00000000" w:rsidRPr="00000000">
        <w:rPr>
          <w:b w:val="1"/>
          <w:bCs w:val="1"/>
          <w:sz w:val="34"/>
          <w:szCs w:val="34"/>
          <w:rtl w:val="0"/>
        </w:rPr>
        <w:t xml:space="preserve">Conclusion du Module 4</w:t>
      </w:r>
    </w:p>
    <w:p w:rsidR="00000000" w:rsidDel="00000000" w:rsidP="00000000" w:rsidRDefault="00000000" w:rsidRPr="00000000" w14:paraId="00000108">
      <w:pPr>
        <w:spacing w:after="240" w:lineRule="auto"/>
        <w:rPr/>
      </w:pPr>
      <w:r w:rsidDel="00000000" w:rsidR="00000000" w:rsidRPr="00000000">
        <w:rPr>
          <w:rtl w:val="0"/>
        </w:rPr>
        <w:t xml:space="preserve">L'examen des trois mécanismes de sanction conduit aux conclusions suivantes :</w:t>
      </w:r>
    </w:p>
    <w:p w:rsidR="00000000" w:rsidDel="00000000" w:rsidP="00000000" w:rsidRDefault="00000000" w:rsidRPr="00000000" w14:paraId="00000109">
      <w:pPr>
        <w:spacing w:after="240" w:lineRule="auto"/>
        <w:rPr/>
      </w:pPr>
      <w:r w:rsidDel="00000000" w:rsidR="00000000" w:rsidRPr="00000000">
        <w:rPr>
          <w:b w:val="1"/>
          <w:bCs w:val="1"/>
          <w:rtl w:val="0"/>
        </w:rPr>
        <w:t xml:space="preserve">Sur la majoration 1729 (58 823 € au total IS + TVA)</w:t>
      </w:r>
      <w:r w:rsidDel="00000000" w:rsidR="00000000" w:rsidRPr="00000000">
        <w:rPr>
          <w:rtl w:val="0"/>
        </w:rPr>
        <w:t xml:space="preserve"> : la motivation présentée pages 57 et 58 souffre d'un défaut central. Elle reproduit, en termes substantiellement identiques, les éléments matériels du rejet de comptabilité sans apporter d'élément factuel propre à démontrer l'intention frauduleuse des dirigeants, au standard exigé par le Conseil d'État (CE 11 février 2021 n° 432960) et confirmé par la jurisprudence récente (TA Nice 20 mars 2025 n° 2300782 ; CAA Paris 13 février 2025 n° 23PA02734). À cette faiblesse s'ajoutent une erreur matérielle dans l'intitulé de la section (p. 57, mention erronée d'un exercice 2022 hors période), la coopération avérée et documentée des dirigeants pendant les quatre mois de contrôle, l'incompatibilité arithmétique de la thèse d'occultation avec la part très marginale des espèces dans le total caisse (annexe F p. 24), et l'utilisation d'un logiciel de caisse certifié au regard du 3° bis du I de l'article 286 du CGI sur toute la période contrôlée. La défense peut, à titre indépendant du sort du principal, demander la décharge totale de la majoration 1729.</w:t>
      </w:r>
    </w:p>
    <w:p w:rsidR="00000000" w:rsidDel="00000000" w:rsidP="00000000" w:rsidRDefault="00000000" w:rsidRPr="00000000" w14:paraId="0000010A">
      <w:pPr>
        <w:spacing w:after="240" w:lineRule="auto"/>
        <w:rPr/>
      </w:pPr>
      <w:r w:rsidDel="00000000" w:rsidR="00000000" w:rsidRPr="00000000">
        <w:rPr>
          <w:b w:val="1"/>
          <w:bCs w:val="1"/>
          <w:rtl w:val="0"/>
        </w:rPr>
        <w:t xml:space="preserve">Sur la pénalité 1759 (471 826 €)</w:t>
      </w:r>
      <w:r w:rsidDel="00000000" w:rsidR="00000000" w:rsidRPr="00000000">
        <w:rPr>
          <w:rtl w:val="0"/>
        </w:rPr>
        <w:t xml:space="preserve"> : cette pénalité, qui représente à elle seule 69 % de l'enjeu global, est susceptible d'être évitée intégralement par une désignation conservatoire des bénéficiaires dans le délai impératif de 30 jours suivant la réception de la proposition de rectification. La désignation « sous toutes réserves » est admise par la jurisprudence et ne vaut pas reconnaissance du bien-fondé du redressement. La contrepartie fiscale chez les associés (imposition au PFU 30 %, soit environ 141 548 € au maximum pour les deux associés) ne s'applique que si le rehaussement IS est lui-même maintenu au fond. Le gain net minimum garanti par cette désignation s'élève à 330 278 €, dans tous les scénarios.</w:t>
      </w:r>
    </w:p>
    <w:p w:rsidR="00000000" w:rsidDel="00000000" w:rsidP="00000000" w:rsidRDefault="00000000" w:rsidRPr="00000000" w14:paraId="0000010B">
      <w:pPr>
        <w:spacing w:after="240" w:lineRule="auto"/>
        <w:rPr/>
      </w:pPr>
      <w:r w:rsidDel="00000000" w:rsidR="00000000" w:rsidRPr="00000000">
        <w:rPr>
          <w:b w:val="1"/>
          <w:bCs w:val="1"/>
          <w:rtl w:val="0"/>
        </w:rPr>
        <w:t xml:space="preserve">Sur les intérêts de retard 1727 (7 268 €)</w:t>
      </w:r>
      <w:r w:rsidDel="00000000" w:rsidR="00000000" w:rsidRPr="00000000">
        <w:rPr>
          <w:rtl w:val="0"/>
        </w:rPr>
        <w:t xml:space="preserve"> : suivent mécaniquement le sort du principal, sans moyen autonome.</w:t>
      </w:r>
    </w:p>
    <w:p w:rsidR="00000000" w:rsidDel="00000000" w:rsidP="00000000" w:rsidRDefault="00000000" w:rsidRPr="00000000" w14:paraId="0000010C">
      <w:pPr>
        <w:spacing w:after="240" w:lineRule="auto"/>
        <w:rPr/>
      </w:pPr>
      <w:r w:rsidDel="00000000" w:rsidR="00000000" w:rsidRPr="00000000">
        <w:rPr>
          <w:rtl w:val="0"/>
        </w:rPr>
        <w:t xml:space="preserve">Le Module 4 dégage ainsi deux gisements d'économie distincts : la décharge probable de la majoration 1729 (58 823 €) à terme contentieux, et l'élimination quasi-certaine de la pénalité 1759 (471 826 €) par action immédiate dans les 30 jours.</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vmziwh2z8jc0" w:id="34"/>
      <w:bookmarkEnd w:id="34"/>
      <w:r w:rsidDel="00000000" w:rsidR="00000000" w:rsidRPr="00000000">
        <w:rPr>
          <w:b w:val="1"/>
          <w:bCs w:val="1"/>
          <w:sz w:val="34"/>
          <w:szCs w:val="34"/>
          <w:rtl w:val="0"/>
        </w:rPr>
        <w:t xml:space="preserve">Pièces complémentaires utiles au soutien du Module 4</w:t>
      </w:r>
    </w:p>
    <w:p w:rsidR="00000000" w:rsidDel="00000000" w:rsidP="00000000" w:rsidRDefault="00000000" w:rsidRPr="00000000" w14:paraId="0000010F">
      <w:pPr>
        <w:numPr>
          <w:ilvl w:val="0"/>
          <w:numId w:val="10"/>
        </w:numPr>
        <w:spacing w:after="0" w:afterAutospacing="0" w:lineRule="auto"/>
        <w:ind w:left="720" w:hanging="360"/>
      </w:pPr>
      <w:r w:rsidDel="00000000" w:rsidR="00000000" w:rsidRPr="00000000">
        <w:rPr>
          <w:b w:val="1"/>
          <w:bCs w:val="1"/>
          <w:rtl w:val="0"/>
        </w:rPr>
        <w:t xml:space="preserve">Mandat actualisé</w:t>
      </w:r>
      <w:r w:rsidDel="00000000" w:rsidR="00000000" w:rsidRPr="00000000">
        <w:rPr>
          <w:rtl w:val="0"/>
        </w:rPr>
        <w:t xml:space="preserve"> désignant l'avocat fiscaliste comme représentant pour la phase contentieuse</w:t>
      </w:r>
    </w:p>
    <w:p w:rsidR="00000000" w:rsidDel="00000000" w:rsidP="00000000" w:rsidRDefault="00000000" w:rsidRPr="00000000" w14:paraId="00000110">
      <w:pPr>
        <w:numPr>
          <w:ilvl w:val="0"/>
          <w:numId w:val="10"/>
        </w:numPr>
        <w:spacing w:after="0" w:afterAutospacing="0" w:lineRule="auto"/>
        <w:ind w:left="720" w:hanging="360"/>
      </w:pPr>
      <w:r w:rsidDel="00000000" w:rsidR="00000000" w:rsidRPr="00000000">
        <w:rPr>
          <w:b w:val="1"/>
          <w:bCs w:val="1"/>
          <w:rtl w:val="0"/>
        </w:rPr>
        <w:t xml:space="preserve">Statuts de la SARL</w:t>
      </w:r>
      <w:r w:rsidDel="00000000" w:rsidR="00000000" w:rsidRPr="00000000">
        <w:rPr>
          <w:rtl w:val="0"/>
        </w:rPr>
        <w:t xml:space="preserve"> avec mention exacte de la répartition du capital entre Mme PASTEUR-BEHEM et M. PASTEUR (pour la désignation 117)</w:t>
      </w:r>
    </w:p>
    <w:p w:rsidR="00000000" w:rsidDel="00000000" w:rsidP="00000000" w:rsidRDefault="00000000" w:rsidRPr="00000000" w14:paraId="00000111">
      <w:pPr>
        <w:numPr>
          <w:ilvl w:val="0"/>
          <w:numId w:val="10"/>
        </w:numPr>
        <w:spacing w:after="0" w:afterAutospacing="0" w:lineRule="auto"/>
        <w:ind w:left="720" w:hanging="360"/>
      </w:pPr>
      <w:r w:rsidDel="00000000" w:rsidR="00000000" w:rsidRPr="00000000">
        <w:rPr>
          <w:b w:val="1"/>
          <w:bCs w:val="1"/>
          <w:rtl w:val="0"/>
        </w:rPr>
        <w:t xml:space="preserve">Pièces d'identité</w:t>
      </w:r>
      <w:r w:rsidDel="00000000" w:rsidR="00000000" w:rsidRPr="00000000">
        <w:rPr>
          <w:rtl w:val="0"/>
        </w:rPr>
        <w:t xml:space="preserve"> des deux co-gérants associés et justificatifs de domicile (pour la désignation 117)</w:t>
      </w:r>
    </w:p>
    <w:p w:rsidR="00000000" w:rsidDel="00000000" w:rsidP="00000000" w:rsidRDefault="00000000" w:rsidRPr="00000000" w14:paraId="00000112">
      <w:pPr>
        <w:numPr>
          <w:ilvl w:val="0"/>
          <w:numId w:val="10"/>
        </w:numPr>
        <w:spacing w:after="0" w:afterAutospacing="0" w:lineRule="auto"/>
        <w:ind w:left="720" w:hanging="360"/>
      </w:pPr>
      <w:r w:rsidDel="00000000" w:rsidR="00000000" w:rsidRPr="00000000">
        <w:rPr>
          <w:b w:val="1"/>
          <w:bCs w:val="1"/>
          <w:rtl w:val="0"/>
        </w:rPr>
        <w:t xml:space="preserve">Tableau récapitulatif des interventions</w:t>
      </w:r>
      <w:r w:rsidDel="00000000" w:rsidR="00000000" w:rsidRPr="00000000">
        <w:rPr>
          <w:rtl w:val="0"/>
        </w:rPr>
        <w:t xml:space="preserve"> et de la coopération démontrée pendant le contrôle (pour l'argumentation au fond contre la majoration 1729)</w:t>
      </w:r>
    </w:p>
    <w:p w:rsidR="00000000" w:rsidDel="00000000" w:rsidP="00000000" w:rsidRDefault="00000000" w:rsidRPr="00000000" w14:paraId="00000113">
      <w:pPr>
        <w:numPr>
          <w:ilvl w:val="0"/>
          <w:numId w:val="10"/>
        </w:numPr>
        <w:spacing w:after="0" w:afterAutospacing="0" w:lineRule="auto"/>
        <w:ind w:left="720" w:hanging="360"/>
      </w:pPr>
      <w:r w:rsidDel="00000000" w:rsidR="00000000" w:rsidRPr="00000000">
        <w:rPr>
          <w:b w:val="1"/>
          <w:bCs w:val="1"/>
          <w:rtl w:val="0"/>
        </w:rPr>
        <w:t xml:space="preserve">Relevés bancaires personnels</w:t>
      </w:r>
      <w:r w:rsidDel="00000000" w:rsidR="00000000" w:rsidRPr="00000000">
        <w:rPr>
          <w:rtl w:val="0"/>
        </w:rPr>
        <w:t xml:space="preserve"> des dirigeants sur la période contrôlée (pour démontrer l'absence d'enrichissement non justifié corrélé aux supposées occultations)</w:t>
      </w:r>
    </w:p>
    <w:p w:rsidR="00000000" w:rsidDel="00000000" w:rsidP="00000000" w:rsidRDefault="00000000" w:rsidRPr="00000000" w14:paraId="00000114">
      <w:pPr>
        <w:numPr>
          <w:ilvl w:val="0"/>
          <w:numId w:val="10"/>
        </w:numPr>
        <w:spacing w:after="0" w:afterAutospacing="0" w:lineRule="auto"/>
        <w:ind w:left="720" w:hanging="360"/>
      </w:pPr>
      <w:r w:rsidDel="00000000" w:rsidR="00000000" w:rsidRPr="00000000">
        <w:rPr>
          <w:b w:val="1"/>
          <w:bCs w:val="1"/>
          <w:rtl w:val="0"/>
        </w:rPr>
        <w:t xml:space="preserve">Certificat de conformité du logiciel SERVILOG</w:t>
      </w:r>
      <w:r w:rsidDel="00000000" w:rsidR="00000000" w:rsidRPr="00000000">
        <w:rPr>
          <w:rtl w:val="0"/>
        </w:rPr>
        <w:t xml:space="preserve"> daté du 01/12/2018 (déjà mentionné p. 3 de la proposition mais à recueillir en original)</w:t>
      </w:r>
    </w:p>
    <w:p w:rsidR="00000000" w:rsidDel="00000000" w:rsidP="00000000" w:rsidRDefault="00000000" w:rsidRPr="00000000" w14:paraId="00000115">
      <w:pPr>
        <w:numPr>
          <w:ilvl w:val="0"/>
          <w:numId w:val="10"/>
        </w:numPr>
        <w:spacing w:after="0" w:afterAutospacing="0" w:lineRule="auto"/>
        <w:ind w:left="720" w:hanging="360"/>
      </w:pPr>
      <w:r w:rsidDel="00000000" w:rsidR="00000000" w:rsidRPr="00000000">
        <w:rPr>
          <w:b w:val="1"/>
          <w:bCs w:val="1"/>
          <w:rtl w:val="0"/>
        </w:rPr>
        <w:t xml:space="preserve">Liasses fiscales personnelles</w:t>
      </w:r>
      <w:r w:rsidDel="00000000" w:rsidR="00000000" w:rsidRPr="00000000">
        <w:rPr>
          <w:rtl w:val="0"/>
        </w:rPr>
        <w:t xml:space="preserve"> des co-gérants pour les exercices 2023, 2024 et 2025 (à anticiper en cas de désignation, pour préparer les déclarations rectificatives IR/PS)</w:t>
      </w:r>
    </w:p>
    <w:p w:rsidR="00000000" w:rsidDel="00000000" w:rsidP="00000000" w:rsidRDefault="00000000" w:rsidRPr="00000000" w14:paraId="00000116">
      <w:pPr>
        <w:numPr>
          <w:ilvl w:val="0"/>
          <w:numId w:val="10"/>
        </w:numPr>
        <w:spacing w:after="240" w:lineRule="auto"/>
        <w:ind w:left="720" w:hanging="360"/>
      </w:pPr>
      <w:r w:rsidDel="00000000" w:rsidR="00000000" w:rsidRPr="00000000">
        <w:rPr>
          <w:b w:val="1"/>
          <w:bCs w:val="1"/>
          <w:rtl w:val="0"/>
        </w:rPr>
        <w:t xml:space="preserve">Documentation jurisprudentielle de référence</w:t>
      </w:r>
      <w:r w:rsidDel="00000000" w:rsidR="00000000" w:rsidRPr="00000000">
        <w:rPr>
          <w:rtl w:val="0"/>
        </w:rPr>
        <w:t xml:space="preserve"> : copies des arrêts CE 11/02/2021 n° 432960, TA Nice 20/03/2025 n° 2300782, CAA Paris 13/02/2025 n° 23PA02734, CE 09/04/2014 n° 358279, CE 13/04/2018 n° 401923, à joindre éventuellement aux observations</w:t>
      </w:r>
    </w:p>
    <w:p w:rsidR="00000000" w:rsidDel="00000000" w:rsidP="00000000" w:rsidRDefault="00000000" w:rsidRPr="00000000" w14:paraId="00000117">
      <w:pPr>
        <w:rPr/>
      </w:pPr>
      <w:r w:rsidDel="00000000" w:rsidR="00000000" w:rsidRPr="00000000">
        <w:rPr>
          <w:rtl w:val="0"/>
        </w:rPr>
      </w:r>
    </w:p>
    <w:sectPr>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