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7.png" ContentType="image/png"/>
  <Override PartName="/word/media/rId123.png" ContentType="image/png"/>
  <Override PartName="/word/media/rId21.png" ContentType="image/png"/>
  <Override PartName="/word/media/rId79.jpg" ContentType="image/jpeg"/>
  <Override PartName="/word/media/rId167.png" ContentType="image/png"/>
  <Override PartName="/word/media/rId69.jpg" ContentType="image/jpeg"/>
  <Override PartName="/word/media/rId75.jpg" ContentType="image/jpeg"/>
  <Override PartName="/word/media/rId55.jpg" ContentType="image/jpeg"/>
  <Override PartName="/word/media/rId59.jpg" ContentType="image/jpeg"/>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 or by flipping through the pages (forward/reverse arrows at the bottom of each page.</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for that experiment, and an explanation of any data analysis tasks that need to be performed after the lab sessions. Links to the protocols (handouts) for each experiment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1"/>
              </w:numPr>
            </w:pPr>
            <w:r>
              <w:t xml:space="preserve">You will also find callout boxes (such as this one) throughout this lab manual with Tips, Important notes, Discussion Questions, To Do Lists, etc. These are intended to help you prepare for each lab (and for the assessment), so you should make sure to read through all the material.</w:t>
            </w:r>
          </w:p>
          <w:p>
            <w:pPr>
              <w:numPr>
                <w:ilvl w:val="0"/>
                <w:numId w:val="1001"/>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p>
    <w:p>
      <w:pPr>
        <w:numPr>
          <w:ilvl w:val="0"/>
          <w:numId w:val="1002"/>
        </w:numPr>
      </w:pPr>
      <w:r>
        <w:t xml:space="preserve">Good laboratory practice (labelling, pipetting, aseptic technique)</w:t>
      </w:r>
    </w:p>
    <w:p>
      <w:pPr>
        <w:numPr>
          <w:ilvl w:val="0"/>
          <w:numId w:val="1002"/>
        </w:numPr>
      </w:pPr>
      <w:r>
        <w:t xml:space="preserve">Performing basic lab calculations, e.g. serial dilutions</w:t>
      </w:r>
    </w:p>
    <w:p>
      <w:pPr>
        <w:numPr>
          <w:ilvl w:val="0"/>
          <w:numId w:val="1002"/>
        </w:numPr>
      </w:pPr>
      <w:r>
        <w:t xml:space="preserve">Performing data analysis</w:t>
      </w:r>
    </w:p>
    <w:p>
      <w:pPr>
        <w:numPr>
          <w:ilvl w:val="0"/>
          <w:numId w:val="1002"/>
        </w:numPr>
      </w:pPr>
      <w:r>
        <w:t xml:space="preserve">Interpreting phenotypic and genotypic data</w:t>
      </w:r>
    </w:p>
    <w:p>
      <w:pPr>
        <w:numPr>
          <w:ilvl w:val="0"/>
          <w:numId w:val="1002"/>
        </w:numPr>
      </w:pPr>
      <w:r>
        <w:t xml:space="preserve">Teamwork</w:t>
      </w:r>
    </w:p>
    <w:p>
      <w:pPr>
        <w:numPr>
          <w:ilvl w:val="0"/>
          <w:numId w:val="1002"/>
        </w:numPr>
      </w:pPr>
      <w:r>
        <w:t xml:space="preserve">Keeping detailed and accurate records</w:t>
      </w:r>
    </w:p>
    <w:p>
      <w:pPr>
        <w:pStyle w:val="FirstParagraph"/>
      </w:pPr>
      <w:r>
        <w:rPr>
          <w:i/>
          <w:iCs/>
        </w:rPr>
        <w:t xml:space="preserve">Lab 2</w:t>
      </w:r>
    </w:p>
    <w:p>
      <w:pPr>
        <w:numPr>
          <w:ilvl w:val="0"/>
          <w:numId w:val="1003"/>
        </w:numPr>
      </w:pPr>
      <w:r>
        <w:t xml:space="preserve">Good laboratory practice (aseptic technique, pipetting, spreading plates)</w:t>
      </w:r>
    </w:p>
    <w:p>
      <w:pPr>
        <w:numPr>
          <w:ilvl w:val="0"/>
          <w:numId w:val="1003"/>
        </w:numPr>
      </w:pPr>
      <w:r>
        <w:t xml:space="preserve">Experimentally determining antibiotic MBC and MIC values</w:t>
      </w:r>
    </w:p>
    <w:p>
      <w:pPr>
        <w:numPr>
          <w:ilvl w:val="0"/>
          <w:numId w:val="1003"/>
        </w:numPr>
      </w:pPr>
      <w:r>
        <w:t xml:space="preserve">Teamwork</w:t>
      </w:r>
    </w:p>
    <w:p>
      <w:pPr>
        <w:numPr>
          <w:ilvl w:val="0"/>
          <w:numId w:val="1003"/>
        </w:numPr>
      </w:pPr>
      <w:r>
        <w:t xml:space="preserve">Keeping detailed and accurate records</w:t>
      </w:r>
    </w:p>
    <w:p>
      <w:pPr>
        <w:numPr>
          <w:ilvl w:val="0"/>
          <w:numId w:val="1003"/>
        </w:numPr>
      </w:pPr>
      <w:r>
        <w:t xml:space="preserve">Performing data analysis</w:t>
      </w:r>
    </w:p>
    <w:p>
      <w:pPr>
        <w:pStyle w:val="FirstParagraph"/>
      </w:pPr>
      <w:r>
        <w:rPr>
          <w:i/>
          <w:iCs/>
        </w:rPr>
        <w:t xml:space="preserve">Lab 3</w:t>
      </w:r>
    </w:p>
    <w:p>
      <w:pPr>
        <w:numPr>
          <w:ilvl w:val="0"/>
          <w:numId w:val="1004"/>
        </w:numPr>
      </w:pPr>
      <w:r>
        <w:t xml:space="preserve">Good laboratory practice (aseptic technique, pipetting, labelling, spreading plates)</w:t>
      </w:r>
    </w:p>
    <w:p>
      <w:pPr>
        <w:numPr>
          <w:ilvl w:val="0"/>
          <w:numId w:val="1004"/>
        </w:numPr>
      </w:pPr>
      <w:r>
        <w:t xml:space="preserve">Performing data analysis (mapping loci on a bacterial chromosome)</w:t>
      </w:r>
    </w:p>
    <w:p>
      <w:pPr>
        <w:numPr>
          <w:ilvl w:val="0"/>
          <w:numId w:val="1004"/>
        </w:numPr>
      </w:pPr>
      <w:r>
        <w:t xml:space="preserve">Using online databases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4</w:t>
      </w:r>
    </w:p>
    <w:p>
      <w:pPr>
        <w:numPr>
          <w:ilvl w:val="0"/>
          <w:numId w:val="1005"/>
        </w:numPr>
      </w:pPr>
      <w:r>
        <w:t xml:space="preserve">Performing basic lab calculations</w:t>
      </w:r>
    </w:p>
    <w:p>
      <w:pPr>
        <w:numPr>
          <w:ilvl w:val="0"/>
          <w:numId w:val="1005"/>
        </w:numPr>
      </w:pPr>
      <w:r>
        <w:t xml:space="preserve">Good laboratory practice (pipetting, labelling, handling DNA, gel electrophoresis)</w:t>
      </w:r>
    </w:p>
    <w:p>
      <w:pPr>
        <w:numPr>
          <w:ilvl w:val="0"/>
          <w:numId w:val="1005"/>
        </w:numPr>
      </w:pPr>
      <w:r>
        <w:t xml:space="preserve">Performing data analysis</w:t>
      </w:r>
    </w:p>
    <w:p>
      <w:pPr>
        <w:numPr>
          <w:ilvl w:val="0"/>
          <w:numId w:val="1005"/>
        </w:numPr>
      </w:pPr>
      <w:r>
        <w:t xml:space="preserve">Formulating hypotheses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5</w:t>
      </w:r>
    </w:p>
    <w:p>
      <w:pPr>
        <w:numPr>
          <w:ilvl w:val="0"/>
          <w:numId w:val="1006"/>
        </w:numPr>
      </w:pPr>
      <w:r>
        <w:t xml:space="preserve">Good laboratory practice (microscopy)</w:t>
      </w:r>
    </w:p>
    <w:p>
      <w:pPr>
        <w:numPr>
          <w:ilvl w:val="0"/>
          <w:numId w:val="1006"/>
        </w:numPr>
      </w:pPr>
      <w:r>
        <w:t xml:space="preserve">Data analysis</w:t>
      </w:r>
    </w:p>
    <w:p>
      <w:pPr>
        <w:numPr>
          <w:ilvl w:val="0"/>
          <w:numId w:val="1006"/>
        </w:numPr>
      </w:pPr>
      <w:r>
        <w:t xml:space="preserve">Data presentation</w:t>
      </w:r>
    </w:p>
    <w:p>
      <w:pPr>
        <w:numPr>
          <w:ilvl w:val="0"/>
          <w:numId w:val="1006"/>
        </w:numPr>
      </w:pPr>
      <w:r>
        <w:t xml:space="preserve">Teamwork</w:t>
      </w:r>
    </w:p>
    <w:p>
      <w:pPr>
        <w:numPr>
          <w:ilvl w:val="0"/>
          <w:numId w:val="1006"/>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7"/>
        </w:numPr>
      </w:pPr>
      <w:r>
        <w:t xml:space="preserve">To understand how exposure to UV radiation can affect the ability of microorganisms to survive and produce antibiotics.</w:t>
      </w:r>
    </w:p>
    <w:p>
      <w:pPr>
        <w:numPr>
          <w:ilvl w:val="0"/>
          <w:numId w:val="1007"/>
        </w:numPr>
      </w:pPr>
      <w:r>
        <w:t xml:space="preserve">To understand how genetic elements are transferred between bacteria.</w:t>
      </w:r>
    </w:p>
    <w:p>
      <w:pPr>
        <w:numPr>
          <w:ilvl w:val="0"/>
          <w:numId w:val="1007"/>
        </w:numPr>
      </w:pPr>
      <w:r>
        <w:t xml:space="preserve">To understand how the susceptibility of bacteria to certain antibiotics is determined.</w:t>
      </w:r>
    </w:p>
    <w:p>
      <w:pPr>
        <w:numPr>
          <w:ilvl w:val="0"/>
          <w:numId w:val="1007"/>
        </w:numPr>
      </w:pPr>
      <w:r>
        <w:t xml:space="preserve">To observe how bacterial cells can change their morphology as a result of certain environmental stimuli.</w:t>
      </w:r>
    </w:p>
    <w:bookmarkEnd w:id="30"/>
    <w:bookmarkEnd w:id="31"/>
    <w:bookmarkStart w:id="36" w:name="schedule-of-experimental-tasks"/>
    <w:p>
      <w:pPr>
        <w:pStyle w:val="Heading1"/>
      </w:pPr>
      <w:r>
        <w:t xml:space="preserve">2. Schedule of experimental tasks</w:t>
      </w:r>
    </w:p>
    <w:p>
      <w:pPr>
        <w:pStyle w:val="FirstParagraph"/>
      </w:pPr>
      <w:r>
        <w:t xml:space="preserve">Because of the nature of microbiology (cultures require incubation and take time to grow), many of your experiments will take place across more than one laboratory session, as detailed in the following schedule (</w:t>
      </w:r>
      <w:hyperlink w:anchor="fig-schedule">
        <w:r>
          <w:rPr>
            <w:rStyle w:val="Hyperlink"/>
          </w:rPr>
          <w:t xml:space="preserve">Figure 2.1</w:t>
        </w:r>
      </w:hyperlink>
      <w:r>
        <w:t xml:space="preserve">). It is therefore essential that you keep careful track of all experimental tasks: e.g., carefully labelling your cultures and taking care to read all the relevant sections of the lab manual.</w:t>
      </w:r>
    </w:p>
    <w:tbl>
      <w:tblPr>
        <w:tblStyle w:val="Table"/>
        <w:tblW w:type="pct" w:w="5000"/>
        <w:tblLayout w:type="fixed"/>
        <w:tblLook w:firstRow="0" w:lastRow="0" w:firstColumn="0" w:lastColumn="0" w:noHBand="0" w:noVBand="0" w:val="0000"/>
      </w:tblPr>
      <w:tblGrid>
        <w:gridCol w:w="7920"/>
      </w:tblGrid>
      <w:tr>
        <w:tc>
          <w:tcPr/>
          <w:bookmarkStart w:id="35" w:name="fig-schedule"/>
          <w:p>
            <w:pPr>
              <w:pStyle w:val="Compact"/>
              <w:jc w:val="center"/>
            </w:pPr>
            <w:r>
              <w:drawing>
                <wp:inline>
                  <wp:extent cx="5334000" cy="3000375"/>
                  <wp:effectExtent b="0" l="0" r="0" t="0"/>
                  <wp:docPr descr="" title="" id="33" name="Picture"/>
                  <a:graphic>
                    <a:graphicData uri="http://schemas.openxmlformats.org/drawingml/2006/picture">
                      <pic:pic>
                        <pic:nvPicPr>
                          <pic:cNvPr descr="./images/schedule.pn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2.1: Schedule of experimental tasks</w:t>
            </w:r>
          </w:p>
          <w:bookmarkEnd w:id="35"/>
        </w:tc>
      </w:tr>
    </w:tbl>
    <w:bookmarkEnd w:id="36"/>
    <w:bookmarkStart w:id="41" w:name="preparing-for-each-lab-session"/>
    <w:p>
      <w:pPr>
        <w:pStyle w:val="Heading1"/>
      </w:pPr>
      <w:r>
        <w:t xml:space="preserve">3. Preparing for each lab session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To prepare for each lab</w:t>
            </w:r>
          </w:p>
        </w:tc>
      </w:tr>
      <w:tr>
        <w:trPr>
          <w:cantSplit/>
        </w:trPr>
        <w:tc>
          <w:tcPr>
            <w:tcMar>
              <w:top w:w="108" w:type="dxa"/>
              <w:bottom w:w="108" w:type="dxa"/>
            </w:tcMar>
          </w:tcPr>
          <w:p>
            <w:pPr>
              <w:pStyle w:val="BodyText"/>
            </w:pPr>
            <w:pPr>
              <w:spacing w:before="16"/>
            </w:pPr>
            <w:r>
              <w:t xml:space="preserve">Before attending each of the practical labs, you should ensure that you have read and understood:</w:t>
            </w:r>
          </w:p>
          <w:p>
            <w:pPr>
              <w:numPr>
                <w:ilvl w:val="0"/>
                <w:numId w:val="1008"/>
              </w:numPr>
            </w:pPr>
            <w:r>
              <w:t xml:space="preserve">The introductory sections covering</w:t>
            </w:r>
            <w:r>
              <w:t xml:space="preserve"> </w:t>
            </w:r>
            <w:hyperlink r:id="rId37">
              <w:r>
                <w:rPr>
                  <w:rStyle w:val="Hyperlink"/>
                </w:rPr>
                <w:t xml:space="preserve">Good Lab Practice</w:t>
              </w:r>
            </w:hyperlink>
            <w:r>
              <w:t xml:space="preserve"> </w:t>
            </w:r>
            <w:r>
              <w:t xml:space="preserve">and</w:t>
            </w:r>
            <w:r>
              <w:t xml:space="preserve"> </w:t>
            </w:r>
            <w:hyperlink r:id="rId38">
              <w:r>
                <w:rPr>
                  <w:rStyle w:val="Hyperlink"/>
                </w:rPr>
                <w:t xml:space="preserve">Aseptic Technique</w:t>
              </w:r>
            </w:hyperlink>
            <w:r>
              <w:t xml:space="preserve">; and (where relevant), those covering</w:t>
            </w:r>
            <w:r>
              <w:t xml:space="preserve"> </w:t>
            </w:r>
            <w:hyperlink r:id="rId39">
              <w:r>
                <w:rPr>
                  <w:rStyle w:val="Hyperlink"/>
                </w:rPr>
                <w:t xml:space="preserve">Enumerating Microbes</w:t>
              </w:r>
            </w:hyperlink>
            <w:r>
              <w:t xml:space="preserve"> </w:t>
            </w:r>
            <w:r>
              <w:t xml:space="preserve">and</w:t>
            </w:r>
            <w:r>
              <w:t xml:space="preserve"> </w:t>
            </w:r>
            <w:hyperlink r:id="rId40">
              <w:r>
                <w:rPr>
                  <w:rStyle w:val="Hyperlink"/>
                </w:rPr>
                <w:t xml:space="preserve">Microscopy</w:t>
              </w:r>
            </w:hyperlink>
          </w:p>
          <w:p>
            <w:pPr>
              <w:numPr>
                <w:ilvl w:val="0"/>
                <w:numId w:val="1008"/>
              </w:numPr>
            </w:pPr>
            <w:r>
              <w:t xml:space="preserve">The introductory sections covering the theory underpinning each experiment</w:t>
            </w:r>
          </w:p>
          <w:p>
            <w:pPr>
              <w:numPr>
                <w:ilvl w:val="0"/>
                <w:numId w:val="1008"/>
              </w:numPr>
            </w:pPr>
            <w:r>
              <w:t xml:space="preserve">The protocols we will be using in that lab (you do not need to print these out - we will provide you with a handout)</w:t>
            </w:r>
          </w:p>
          <w:p>
            <w:pPr>
              <w:numPr>
                <w:ilvl w:val="0"/>
                <w:numId w:val="1008"/>
              </w:numPr>
            </w:pPr>
            <w:r>
              <w:t xml:space="preserve">You also must ensure that you have read and signed the safety forms, or you will not be admitted to the lab.</w:t>
            </w:r>
          </w:p>
          <w:p/>
        </w:tc>
      </w:tr>
    </w:tbl>
    <w:bookmarkEnd w:id="41"/>
    <w:bookmarkStart w:id="46" w:name="formative-assessment"/>
    <w:p>
      <w:pPr>
        <w:pStyle w:val="Heading1"/>
      </w:pPr>
      <w:r>
        <w:t xml:space="preserve">4. Formative assessment</w:t>
      </w:r>
    </w:p>
    <w:bookmarkStart w:id="45" w:name="summative-assessment-laboratory-report"/>
    <w:p>
      <w:pPr>
        <w:pStyle w:val="Heading2"/>
      </w:pPr>
      <w:r>
        <w:t xml:space="preserve">4.1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24/11/2025, at noon, and should be submitted via MyPlace.</w:t>
      </w:r>
    </w:p>
    <w:bookmarkStart w:id="43" w:name="summative-assessment-general-guidelines"/>
    <w:p>
      <w:pPr>
        <w:pStyle w:val="Heading3"/>
      </w:pPr>
      <w:r>
        <w:t xml:space="preserve">4.1.1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p>
    <w:p>
      <w:pPr>
        <w:pStyle w:val="FirstParagraph"/>
      </w:pP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BodyText"/>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w:t>
      </w:r>
      <w:r>
        <w:t xml:space="preserve"> </w:t>
      </w:r>
      <w:hyperlink r:id="rId42">
        <w:r>
          <w:rPr>
            <w:rStyle w:val="Hyperlink"/>
          </w:rPr>
          <w:t xml:space="preserve">Journal of Bacteriology nomenclature guidelines</w:t>
        </w:r>
      </w:hyperlink>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43"/>
    <w:bookmarkStart w:id="44" w:name="contribution-to-overall-class-assessment"/>
    <w:p>
      <w:pPr>
        <w:pStyle w:val="Heading3"/>
      </w:pPr>
      <w:r>
        <w:t xml:space="preserve">4.1.2 Contribution to overall class assessment</w:t>
      </w:r>
    </w:p>
    <w:p>
      <w:pPr>
        <w:pStyle w:val="FirstParagraph"/>
      </w:pPr>
      <w:r>
        <w:t xml:space="preserve">The BM327 semester 1 microbiology assessment comprises 25% of the overall BM327 class assessment.</w:t>
      </w:r>
    </w:p>
    <w:bookmarkEnd w:id="44"/>
    <w:bookmarkEnd w:id="45"/>
    <w:bookmarkEnd w:id="46"/>
    <w:bookmarkStart w:id="50" w:name="section"/>
    <w:p>
      <w:pPr>
        <w:pStyle w:val="Heading1"/>
      </w:pPr>
      <w:r>
        <w:t xml:space="preserve">5.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50"/>
    <w:bookmarkStart w:id="51" w:name="good-laboratory-practice"/>
    <w:p>
      <w:pPr>
        <w:pStyle w:val="Heading1"/>
      </w:pPr>
      <w:r>
        <w:t xml:space="preserve">6. Good Laboratory Practice</w:t>
      </w:r>
    </w:p>
    <w:bookmarkEnd w:id="51"/>
    <w:bookmarkStart w:id="66" w:name="good-lab-practice"/>
    <w:p>
      <w:pPr>
        <w:pStyle w:val="Heading1"/>
      </w:pPr>
      <w:r>
        <w:t xml:space="preserve">7.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65" w:name="keeping-a-laboratory-notebook"/>
    <w:p>
      <w:pPr>
        <w:pStyle w:val="Heading2"/>
      </w:pPr>
      <w:r>
        <w:t xml:space="preserve">7.1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54" w:name="X34d6cb7f13d0e1987e4e8af45cc18c924b0c895"/>
    <w:p>
      <w:pPr>
        <w:pStyle w:val="Heading3"/>
      </w:pPr>
      <w:r>
        <w:t xml:space="preserve">7.1.1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tip.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54"/>
    <w:bookmarkStart w:id="63" w:name="good-labelling-technique"/>
    <w:p>
      <w:pPr>
        <w:pStyle w:val="Heading3"/>
      </w:pPr>
      <w:r>
        <w:t xml:space="preserve">7.1.2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tbl>
      <w:tblPr>
        <w:tblStyle w:val="Table"/>
        <w:tblW w:type="pct" w:w="5000"/>
        <w:tblLayout w:type="fixed"/>
        <w:tblLook w:firstRow="0" w:lastRow="0" w:firstColumn="0" w:lastColumn="0" w:noHBand="0" w:noVBand="0" w:val="0000"/>
      </w:tblPr>
      <w:tblGrid>
        <w:gridCol w:w="7920"/>
      </w:tblGrid>
      <w:tr>
        <w:tc>
          <w:tcPr/>
          <w:bookmarkStart w:id="58" w:name="fig-platelabelling"/>
          <w:p>
            <w:pPr>
              <w:pStyle w:val="Compact"/>
              <w:jc w:val="center"/>
            </w:pPr>
            <w:r>
              <w:drawing>
                <wp:inline>
                  <wp:extent cx="5334000" cy="2759137"/>
                  <wp:effectExtent b="0" l="0" r="0" t="0"/>
                  <wp:docPr descr="" title="" id="56" name="Picture"/>
                  <a:graphic>
                    <a:graphicData uri="http://schemas.openxmlformats.org/drawingml/2006/picture">
                      <pic:pic>
                        <pic:nvPicPr>
                          <pic:cNvPr descr="images/plate-labelling.jpg" id="57" name="Picture"/>
                          <pic:cNvPicPr>
                            <a:picLocks noChangeArrowheads="1" noChangeAspect="1"/>
                          </pic:cNvPicPr>
                        </pic:nvPicPr>
                        <pic:blipFill>
                          <a:blip r:embed="rId55"/>
                          <a:stretch>
                            <a:fillRect/>
                          </a:stretch>
                        </pic:blipFill>
                        <pic:spPr bwMode="auto">
                          <a:xfrm>
                            <a:off x="0" y="0"/>
                            <a:ext cx="5334000" cy="2759137"/>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Label around the rim of the Petri plate - not across the centre</w:t>
            </w:r>
          </w:p>
          <w:bookmarkEnd w:id="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2" w:name="fig-platelid"/>
          <w:p>
            <w:pPr>
              <w:pStyle w:val="Compact"/>
              <w:jc w:val="center"/>
            </w:pPr>
            <w:r>
              <w:drawing>
                <wp:inline>
                  <wp:extent cx="5334000" cy="1657261"/>
                  <wp:effectExtent b="0" l="0" r="0" t="0"/>
                  <wp:docPr descr="" title="" id="60" name="Picture"/>
                  <a:graphic>
                    <a:graphicData uri="http://schemas.openxmlformats.org/drawingml/2006/picture">
                      <pic:pic>
                        <pic:nvPicPr>
                          <pic:cNvPr descr="images/plate-lid.jpg" id="61" name="Picture"/>
                          <pic:cNvPicPr>
                            <a:picLocks noChangeArrowheads="1" noChangeAspect="1"/>
                          </pic:cNvPicPr>
                        </pic:nvPicPr>
                        <pic:blipFill>
                          <a:blip r:embed="rId59"/>
                          <a:stretch>
                            <a:fillRect/>
                          </a:stretch>
                        </pic:blipFill>
                        <pic:spPr bwMode="auto">
                          <a:xfrm>
                            <a:off x="0" y="0"/>
                            <a:ext cx="5334000" cy="1657261"/>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Label the bottom of the Petri plate, not the lid</w:t>
            </w:r>
          </w:p>
          <w:bookmarkEnd w:id="62"/>
        </w:tc>
      </w:tr>
    </w:tbl>
    <w:p>
      <w:pPr>
        <w:pStyle w:val="BodyText"/>
      </w:pPr>
      <w:r>
        <w:rPr>
          <w:b/>
          <w:bCs/>
        </w:rP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hyperlink w:anchor="fig-platelabelling">
        <w:r>
          <w:rPr>
            <w:rStyle w:val="Hyperlink"/>
          </w:rPr>
          <w:t xml:space="preserve">Figure 7.1</w:t>
        </w:r>
      </w:hyperlink>
      <w:r>
        <w:t xml:space="preserve">. You should also be sure to label the</w:t>
      </w:r>
      <w:r>
        <w:t xml:space="preserve"> </w:t>
      </w:r>
      <w:r>
        <w:rPr>
          <w:i/>
          <w:iCs/>
        </w:rPr>
        <w:t xml:space="preserve">bottom</w:t>
      </w:r>
      <w:r>
        <w:t xml:space="preserve"> </w:t>
      </w:r>
      <w:r>
        <w:t xml:space="preserve">of the plate (</w:t>
      </w:r>
      <w:hyperlink w:anchor="fig-platelid">
        <w:r>
          <w:rPr>
            <w:rStyle w:val="Hyperlink"/>
          </w:rPr>
          <w:t xml:space="preserve">Figure 7.2</w:t>
        </w:r>
      </w:hyperlink>
      <w:r>
        <w:t xml:space="preserve">). The bottom and lid may become separated, so labeling the lid is a bad idea!</w:t>
      </w:r>
    </w:p>
    <w:bookmarkEnd w:id="63"/>
    <w:bookmarkStart w:id="64" w:name="other-tips-for-good-lab-practice"/>
    <w:p>
      <w:pPr>
        <w:pStyle w:val="Heading3"/>
      </w:pPr>
      <w:r>
        <w:t xml:space="preserve">7.1.3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64"/>
    <w:bookmarkEnd w:id="65"/>
    <w:bookmarkEnd w:id="66"/>
    <w:bookmarkStart w:id="89" w:name="aseptic-technique"/>
    <w:p>
      <w:pPr>
        <w:pStyle w:val="Heading1"/>
      </w:pPr>
      <w:r>
        <w:t xml:space="preserve">8. Aseptic Technique</w:t>
      </w:r>
    </w:p>
    <w:bookmarkStart w:id="88" w:name="aseptic-technique-1"/>
    <w:p>
      <w:pPr>
        <w:pStyle w:val="Heading2"/>
      </w:pPr>
      <w:r>
        <w:t xml:space="preserve">8.1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72" w:name="fig-autoclavetape"/>
                <w:p>
                  <w:pPr>
                    <w:pStyle w:val="Compact"/>
                    <w:jc w:val="center"/>
                  </w:pPr>
                  <w:r>
                    <w:drawing>
                      <wp:inline>
                        <wp:extent cx="5334000" cy="3000375"/>
                        <wp:effectExtent b="0" l="0" r="0" t="0"/>
                        <wp:docPr descr="" title="" id="70" name="Picture"/>
                        <a:graphic>
                          <a:graphicData uri="http://schemas.openxmlformats.org/drawingml/2006/picture">
                            <pic:pic>
                              <pic:nvPicPr>
                                <pic:cNvPr descr="images/autoclave-tape.jp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8.1: The use of autoclave tape to show that the contents of a container have been sterilised (compared to unautoclaved tape, on the right). Image credit:</w:t>
                  </w:r>
                  <w:r>
                    <w:t xml:space="preserve"> </w:t>
                  </w:r>
                  <w:r>
                    <w:t xml:space="preserve">Wikipedia</w:t>
                  </w:r>
                </w:p>
                <w:bookmarkEnd w:id="7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tip.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tbl>
            <w:tblPr>
              <w:tblStyle w:val="Table"/>
              <w:tblW w:type="pct" w:w="5000"/>
              <w:tblLayout w:type="fixed"/>
              <w:tblLook w:firstRow="0" w:lastRow="0" w:firstColumn="0" w:lastColumn="0" w:noHBand="0" w:noVBand="0" w:val="0000"/>
            </w:tblPr>
            <w:tblGrid>
              <w:gridCol w:w="7920"/>
            </w:tblGrid>
            <w:tr>
              <w:tc>
                <w:tcPr/>
                <w:bookmarkStart w:id="78" w:name="fig-pipettips"/>
                <w:p>
                  <w:pPr>
                    <w:pStyle w:val="Compact"/>
                    <w:jc w:val="center"/>
                  </w:pPr>
                  <w:r>
                    <w:drawing>
                      <wp:inline>
                        <wp:extent cx="3340100" cy="3238500"/>
                        <wp:effectExtent b="0" l="0" r="0" t="0"/>
                        <wp:docPr descr="" title="" id="76" name="Picture"/>
                        <a:graphic>
                          <a:graphicData uri="http://schemas.openxmlformats.org/drawingml/2006/picture">
                            <pic:pic>
                              <pic:nvPicPr>
                                <pic:cNvPr descr="images/pipettips.jpg" id="77" name="Picture"/>
                                <pic:cNvPicPr>
                                  <a:picLocks noChangeArrowheads="1" noChangeAspect="1"/>
                                </pic:cNvPicPr>
                              </pic:nvPicPr>
                              <pic:blipFill>
                                <a:blip r:embed="rId75"/>
                                <a:stretch>
                                  <a:fillRect/>
                                </a:stretch>
                              </pic:blipFill>
                              <pic:spPr bwMode="auto">
                                <a:xfrm>
                                  <a:off x="0" y="0"/>
                                  <a:ext cx="3340100" cy="3238500"/>
                                </a:xfrm>
                                <a:prstGeom prst="rect">
                                  <a:avLst/>
                                </a:prstGeom>
                                <a:noFill/>
                                <a:ln w="9525">
                                  <a:noFill/>
                                  <a:headEnd/>
                                  <a:tailEnd/>
                                </a:ln>
                              </pic:spPr>
                            </pic:pic>
                          </a:graphicData>
                        </a:graphic>
                      </wp:inline>
                    </w:drawing>
                  </w:r>
                </w:p>
                <w:p>
                  <w:pPr>
                    <w:jc w:val="center"/>
                  </w:pPr>
                  <w:pPr>
                    <w:jc w:val="left"/>
                    <w:spacing w:before="200"/>
                    <w:pStyle w:val="ImageCaption"/>
                  </w:pPr>
                  <w:r>
                    <w:t xml:space="preserve">Figure 8.2: A box of pipet tips that are no longer sterile. Image credit:</w:t>
                  </w:r>
                  <w:r>
                    <w:t xml:space="preserve"> </w:t>
                  </w:r>
                  <w:r>
                    <w:t xml:space="preserve">Starlab</w:t>
                  </w:r>
                </w:p>
                <w:bookmarkEnd w:id="78"/>
              </w:tc>
            </w:tr>
          </w:tbl>
          <w:p>
            <w:pPr>
              <w:pStyle w:val="BodyText"/>
            </w:pPr>
            <w:pPr>
              <w:spacing w:after="16"/>
            </w:pPr>
            <w:r>
              <w:t xml:space="preserve">You should therefore always: 1. Open tip box –&gt; 2. Take pipet tip –&gt; 3. Close tip box –&gt; 4. Use pipet tip</w:t>
            </w:r>
          </w:p>
          <w:p/>
        </w:tc>
      </w:tr>
    </w:tbl>
    <w:bookmarkStart w:id="86" w:name="working-with-a-bunsen-burner"/>
    <w:p>
      <w:pPr>
        <w:pStyle w:val="Heading3"/>
      </w:pPr>
      <w:r>
        <w:t xml:space="preserve">8.1.1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8.3</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82" w:name="fig-bunsen"/>
          <w:p>
            <w:pPr>
              <w:pStyle w:val="Compact"/>
              <w:jc w:val="center"/>
            </w:pPr>
            <w:r>
              <w:drawing>
                <wp:inline>
                  <wp:extent cx="3238500" cy="4895850"/>
                  <wp:effectExtent b="0" l="0" r="0" t="0"/>
                  <wp:docPr descr="" title="" id="80" name="Picture"/>
                  <a:graphic>
                    <a:graphicData uri="http://schemas.openxmlformats.org/drawingml/2006/picture">
                      <pic:pic>
                        <pic:nvPicPr>
                          <pic:cNvPr descr="images/Bunsen.jpg" id="81" name="Picture"/>
                          <pic:cNvPicPr>
                            <a:picLocks noChangeArrowheads="1" noChangeAspect="1"/>
                          </pic:cNvPicPr>
                        </pic:nvPicPr>
                        <pic:blipFill>
                          <a:blip r:embed="rId7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8.3: A Bunsen burner set to a blue flame. Image credit:</w:t>
            </w:r>
            <w:r>
              <w:t xml:space="preserve"> </w:t>
            </w:r>
            <w:r>
              <w:t xml:space="preserve">Encyclopedia Britannica</w:t>
            </w:r>
          </w:p>
          <w:bookmarkEnd w:id="8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85" w:name="sec-sterileloop"/>
    <w:p>
      <w:pPr>
        <w:pStyle w:val="Heading4"/>
      </w:pPr>
      <w:r>
        <w:t xml:space="preserve">8.1.1.1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important.png" id="8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85"/>
    <w:bookmarkEnd w:id="86"/>
    <w:bookmarkStart w:id="87" w:name="X03d803cf731376395ef86c43e50327b41274108"/>
    <w:p>
      <w:pPr>
        <w:pStyle w:val="Heading3"/>
      </w:pPr>
      <w:r>
        <w:t xml:space="preserve">8.1.2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87"/>
    <w:bookmarkEnd w:id="88"/>
    <w:bookmarkEnd w:id="89"/>
    <w:bookmarkStart w:id="96" w:name="using-a-microscope"/>
    <w:p>
      <w:pPr>
        <w:pStyle w:val="Heading1"/>
      </w:pPr>
      <w:r>
        <w:t xml:space="preserve">9. Using a Microscope</w:t>
      </w:r>
    </w:p>
    <w:bookmarkStart w:id="95" w:name="correct-use-of-a-microscope"/>
    <w:p>
      <w:pPr>
        <w:pStyle w:val="Heading2"/>
      </w:pPr>
      <w:r>
        <w:t xml:space="preserve">9.1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opt/quarto/share/formats/docx/important.png" id="91"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94" w:name="use-of-oil-with-the-microscope"/>
    <w:p>
      <w:pPr>
        <w:pStyle w:val="Heading3"/>
      </w:pPr>
      <w:r>
        <w:t xml:space="preserve">9.1.1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94"/>
    <w:bookmarkEnd w:id="95"/>
    <w:bookmarkEnd w:id="96"/>
    <w:bookmarkStart w:id="103" w:name="sec-ennumeration"/>
    <w:p>
      <w:pPr>
        <w:pStyle w:val="Heading1"/>
      </w:pPr>
      <w:r>
        <w:t xml:space="preserve">10.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10.1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100" w:name="fig-serialdilplated"/>
          <w:p>
            <w:pPr>
              <w:pStyle w:val="Compact"/>
              <w:jc w:val="center"/>
            </w:pPr>
            <w:r>
              <w:drawing>
                <wp:inline>
                  <wp:extent cx="5334000" cy="3000375"/>
                  <wp:effectExtent b="0" l="0" r="0" t="0"/>
                  <wp:docPr descr="" title="" id="98" name="Picture"/>
                  <a:graphic>
                    <a:graphicData uri="http://schemas.openxmlformats.org/drawingml/2006/picture">
                      <pic:pic>
                        <pic:nvPicPr>
                          <pic:cNvPr descr="images/serialdilplated.jp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10.1: Examples of plating and counting colonies from a decimal serial dilution</w:t>
            </w:r>
          </w:p>
          <w:bookmarkEnd w:id="10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opt/quarto/share/formats/docx/tip.png" id="10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103"/>
    <w:bookmarkStart w:id="109" w:name="experiment-1-aims-and-overview"/>
    <w:p>
      <w:pPr>
        <w:pStyle w:val="Heading1"/>
      </w:pPr>
      <w:r>
        <w:t xml:space="preserve">11. Experiment 1 Aims and Overview</w:t>
      </w:r>
    </w:p>
    <w:bookmarkStart w:id="104" w:name="aims"/>
    <w:p>
      <w:pPr>
        <w:pStyle w:val="Heading2"/>
      </w:pPr>
      <w:r>
        <w:t xml:space="preserve">11.1 Aims</w:t>
      </w:r>
    </w:p>
    <w:p>
      <w:pPr>
        <w:pStyle w:val="Compact"/>
        <w:numPr>
          <w:ilvl w:val="0"/>
          <w:numId w:val="1023"/>
        </w:numPr>
      </w:pPr>
      <w:r>
        <w:t xml:space="preserve">To understand how exposure to mutagens can affect the ability of microorganisms to survive and produce antibiotics.</w:t>
      </w:r>
    </w:p>
    <w:bookmarkEnd w:id="104"/>
    <w:bookmarkStart w:id="105" w:name="learning-outcomes"/>
    <w:p>
      <w:pPr>
        <w:pStyle w:val="Heading2"/>
      </w:pPr>
      <w:r>
        <w:t xml:space="preserve">11.2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105"/>
    <w:bookmarkStart w:id="106" w:name="competencies"/>
    <w:p>
      <w:pPr>
        <w:pStyle w:val="Heading2"/>
      </w:pPr>
      <w:r>
        <w:t xml:space="preserve">11.3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106"/>
    <w:bookmarkStart w:id="107" w:name="importance"/>
    <w:p>
      <w:pPr>
        <w:pStyle w:val="Heading2"/>
      </w:pPr>
      <w:r>
        <w:t xml:space="preserve">11.4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107"/>
    <w:bookmarkStart w:id="108" w:name="overview-of-experiment-1"/>
    <w:p>
      <w:pPr>
        <w:pStyle w:val="Heading2"/>
      </w:pPr>
      <w:r>
        <w:t xml:space="preserve">11.5 Overview of Experiment 1</w:t>
      </w:r>
    </w:p>
    <w:p>
      <w:pPr>
        <w:pStyle w:val="FirstParagraph"/>
      </w:pPr>
      <w:r>
        <w:t xml:space="preserve">You will perform Protocol 1.1 in the Week 2 lab and collect your data the following session (Week 4). Perform the data analysis tasks (</w:t>
      </w:r>
      <w:hyperlink w:anchor="sec-data1">
        <w:r>
          <w:rPr>
            <w:rStyle w:val="Hyperlink"/>
          </w:rPr>
          <w:t xml:space="preserve">Chapter 18</w:t>
        </w:r>
      </w:hyperlink>
      <w:r>
        <w:t xml:space="preserve">) using your own data/the class data or the sample data available on MyPlace.</w:t>
      </w:r>
    </w:p>
    <w:bookmarkEnd w:id="108"/>
    <w:bookmarkEnd w:id="109"/>
    <w:bookmarkStart w:id="111" w:name="experiment-1---background"/>
    <w:p>
      <w:pPr>
        <w:pStyle w:val="Heading1"/>
      </w:pPr>
      <w:r>
        <w:t xml:space="preserve">12. Experiment 1 - Background</w:t>
      </w:r>
    </w:p>
    <w:bookmarkStart w:id="110" w:name="sec-intro1"/>
    <w:p>
      <w:pPr>
        <w:pStyle w:val="Heading2"/>
      </w:pPr>
      <w:r>
        <w:t xml:space="preserve">12.1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hyperlink w:anchor="sec-protocols1">
        <w:r>
          <w:rPr>
            <w:rStyle w:val="Hyperlink"/>
          </w:rPr>
          <w:t xml:space="preserve">Chapter 16</w:t>
        </w:r>
      </w:hyperlink>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18.1</w:t>
        </w:r>
      </w:hyperlink>
      <w:r>
        <w:t xml:space="preserve">). You will then analyse the phenotypes of mutants isolated at this dose (</w:t>
      </w:r>
      <w:hyperlink w:anchor="sec-1Bdata">
        <w:r>
          <w:rPr>
            <w:rStyle w:val="Hyperlink"/>
          </w:rPr>
          <w:t xml:space="preserve">Section 18.1.1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10"/>
    <w:bookmarkEnd w:id="111"/>
    <w:bookmarkStart w:id="114" w:name="streptomyces-and-antibiotic-production"/>
    <w:p>
      <w:pPr>
        <w:pStyle w:val="Heading1"/>
      </w:pPr>
      <w:r>
        <w:t xml:space="preserve">13. Streptomyces and Antibiotic Production</w:t>
      </w:r>
    </w:p>
    <w:bookmarkStart w:id="113" w:name="sec-intro2"/>
    <w:p>
      <w:pPr>
        <w:pStyle w:val="Heading2"/>
      </w:pPr>
      <w:r>
        <w:t xml:space="preserve">13.1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12"/>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Antibiotic Discovery</w:t>
            </w:r>
          </w:p>
        </w:tc>
      </w:tr>
      <w:tr>
        <w:trPr>
          <w:cantSplit/>
        </w:trPr>
        <w:tc>
          <w:tcPr>
            <w:tcMar>
              <w:top w:w="108" w:type="dxa"/>
              <w:bottom w:w="108" w:type="dxa"/>
            </w:tcMar>
          </w:tcPr>
          <w:p>
            <w:pPr>
              <w:pStyle w:val="BodyText"/>
            </w:pPr>
            <w:pPr>
              <w:spacing w:before="16" w:after="16"/>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p/>
        </w:tc>
      </w:tr>
    </w:tbl>
    <w:bookmarkEnd w:id="113"/>
    <w:bookmarkEnd w:id="114"/>
    <w:bookmarkStart w:id="118" w:name="bacterial-mutagenesis"/>
    <w:p>
      <w:pPr>
        <w:pStyle w:val="Heading1"/>
      </w:pPr>
      <w:r>
        <w:t xml:space="preserve">14. Bacterial Mutagenesis</w:t>
      </w:r>
    </w:p>
    <w:bookmarkStart w:id="117" w:name="sec-intro3"/>
    <w:p>
      <w:pPr>
        <w:pStyle w:val="Heading2"/>
      </w:pPr>
      <w:r>
        <w:t xml:space="preserve">14.1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important.png" id="116"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Bacterial Mutagenesis</w:t>
            </w:r>
          </w:p>
        </w:tc>
      </w:tr>
      <w:tr>
        <w:trPr>
          <w:cantSplit/>
        </w:trPr>
        <w:tc>
          <w:tcPr>
            <w:tcMar>
              <w:top w:w="108" w:type="dxa"/>
              <w:bottom w:w="108" w:type="dxa"/>
            </w:tcMar>
          </w:tcPr>
          <w:p>
            <w:pPr>
              <w:numPr>
                <w:ilvl w:val="0"/>
                <w:numId w:val="1026"/>
              </w:numPr>
            </w:pPr>
            <w:r>
              <w:t xml:space="preserve">Why does the UV dose (</w:t>
            </w:r>
            <w:r>
              <w:t xml:space="preserve">“kill curve”</w:t>
            </w:r>
            <w:r>
              <w:t xml:space="preserve">) need to be determined experimentally for each particular bacterial species or strain?</w:t>
            </w:r>
          </w:p>
          <w:p>
            <w:pPr>
              <w:numPr>
                <w:ilvl w:val="0"/>
                <w:numId w:val="1026"/>
              </w:numPr>
            </w:pPr>
            <w:r>
              <w:t xml:space="preserve">When carrying out a bacterial mutagenesis experiment, would you prefer to screen or select for a phenotype of interest? Why?</w:t>
            </w:r>
          </w:p>
          <w:p>
            <w:pPr>
              <w:numPr>
                <w:ilvl w:val="0"/>
                <w:numId w:val="1026"/>
              </w:numPr>
            </w:pPr>
            <w:r>
              <w:t xml:space="preserve">How can we determine if there is a causal link between a particular mutation and a phenotype of interest?</w:t>
            </w:r>
          </w:p>
          <w:p/>
        </w:tc>
      </w:tr>
    </w:tbl>
    <w:bookmarkEnd w:id="117"/>
    <w:bookmarkEnd w:id="118"/>
    <w:bookmarkStart w:id="119" w:name="experiment-1-protocols"/>
    <w:p>
      <w:pPr>
        <w:pStyle w:val="Heading1"/>
      </w:pPr>
      <w:r>
        <w:t xml:space="preserve">15. Experiment 1 Protocols</w:t>
      </w:r>
    </w:p>
    <w:bookmarkEnd w:id="119"/>
    <w:bookmarkStart w:id="121" w:name="sec-protocols1"/>
    <w:p>
      <w:pPr>
        <w:pStyle w:val="Heading1"/>
      </w:pPr>
      <w:r>
        <w:t xml:space="preserve">16. Experiment 1 - Protocols</w:t>
      </w:r>
    </w:p>
    <w:p>
      <w:pPr>
        <w:pStyle w:val="FirstParagraph"/>
      </w:pPr>
      <w:r>
        <w:t xml:space="preserve">You can view the protocols for experiment 1 below, or download it</w:t>
      </w:r>
      <w:r>
        <w:t xml:space="preserve"> </w:t>
      </w:r>
      <w:hyperlink r:id="rId120">
        <w:r>
          <w:rPr>
            <w:rStyle w:val="Hyperlink"/>
          </w:rPr>
          <w:t xml:space="preserve">here</w:t>
        </w:r>
      </w:hyperlink>
      <w:r>
        <w:t xml:space="preserve">.</w:t>
      </w:r>
    </w:p>
    <w:bookmarkEnd w:id="121"/>
    <w:bookmarkStart w:id="122" w:name="experiment-1---data-analysis"/>
    <w:p>
      <w:pPr>
        <w:pStyle w:val="Heading1"/>
      </w:pPr>
      <w:r>
        <w:t xml:space="preserve">17. Experiment 1 - Data Analysis</w:t>
      </w:r>
    </w:p>
    <w:bookmarkEnd w:id="122"/>
    <w:bookmarkStart w:id="128" w:name="sec-data1"/>
    <w:p>
      <w:pPr>
        <w:pStyle w:val="Heading1"/>
      </w:pPr>
      <w:r>
        <w:t xml:space="preserve">18. Experiment 1 - Data Analysis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4" name="Picture"/>
                  <a:graphic>
                    <a:graphicData uri="http://schemas.openxmlformats.org/drawingml/2006/picture">
                      <pic:pic>
                        <pic:nvPicPr>
                          <pic:cNvPr descr="/opt/quarto/share/formats/docx/note.png" id="125"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Experiment 1 - Data</w:t>
            </w:r>
          </w:p>
        </w:tc>
      </w:tr>
      <w:tr>
        <w:trPr>
          <w:cantSplit/>
        </w:trPr>
        <w:tc>
          <w:tcPr>
            <w:tcMar>
              <w:top w:w="108" w:type="dxa"/>
              <w:bottom w:w="108" w:type="dxa"/>
            </w:tcMar>
          </w:tcPr>
          <w:p>
            <w:pPr>
              <w:pStyle w:val="BodyText"/>
            </w:pPr>
            <w:pPr>
              <w:spacing w:before="16"/>
            </w:pPr>
            <w:r>
              <w:t xml:space="preserve">The data you should have from this lab are:</w:t>
            </w:r>
          </w:p>
          <w:p>
            <w:pPr>
              <w:numPr>
                <w:ilvl w:val="0"/>
                <w:numId w:val="1027"/>
              </w:numPr>
            </w:pPr>
            <w:r>
              <w:t xml:space="preserve">Colony counts from the caffeine mutagenesis experiment (your data/class data on MyPlace)</w:t>
            </w:r>
          </w:p>
          <w:p>
            <w:pPr>
              <w:numPr>
                <w:ilvl w:val="0"/>
                <w:numId w:val="1027"/>
              </w:numPr>
            </w:pPr>
            <w:r>
              <w:t xml:space="preserve">Colony counts from the UV mutagenesis data (experiment performed for you and data posted on MyPlace).</w:t>
            </w:r>
          </w:p>
          <w:p>
            <w:pPr>
              <w:pStyle w:val="FirstParagraph"/>
            </w:pPr>
            <w:pPr>
              <w:spacing w:after="16"/>
            </w:pPr>
            <w:r>
              <w:t xml:space="preserve">The UV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min UV treatment. Each plate contains 1 ml of spores.</w:t>
            </w:r>
          </w:p>
          <w:p/>
        </w:tc>
      </w:tr>
    </w:tbl>
    <w:bookmarkStart w:id="127" w:name="sec-1Adata"/>
    <w:p>
      <w:pPr>
        <w:pStyle w:val="Heading2"/>
      </w:pPr>
      <w:r>
        <w:t xml:space="preserve">18.1 Task 1A - Plot</w:t>
      </w:r>
      <w:r>
        <w:t xml:space="preserve"> </w:t>
      </w:r>
      <w:r>
        <w:t xml:space="preserve">“kill curves”</w:t>
      </w:r>
      <w:r>
        <w:t xml:space="preserve"> </w:t>
      </w:r>
      <w:r>
        <w:t xml:space="preserve">for UV and/or caffeine</w:t>
      </w:r>
    </w:p>
    <w:p>
      <w:pPr>
        <w:pStyle w:val="Compact"/>
        <w:numPr>
          <w:ilvl w:val="0"/>
          <w:numId w:val="1028"/>
        </w:numPr>
      </w:pPr>
      <w:r>
        <w:t xml:space="preserve">You should make the following calculations:</w:t>
      </w:r>
    </w:p>
    <w:p>
      <w:pPr>
        <w:numPr>
          <w:ilvl w:val="0"/>
          <w:numId w:val="1029"/>
        </w:numPr>
      </w:pPr>
      <w:r>
        <w:t xml:space="preserve">Using the triplicate counts for each time point, work out the mean CFU survival following UV irradiation or caffeine treatment of the spores for each time point.</w:t>
      </w:r>
    </w:p>
    <w:p>
      <w:pPr>
        <w:numPr>
          <w:ilvl w:val="0"/>
          <w:numId w:val="1029"/>
        </w:numPr>
      </w:pPr>
      <w:r>
        <w:t xml:space="preserve">Using these data plot a UV dose versus survival graph of your data (x-axis = time; y-axis = CFU/ml).</w:t>
      </w:r>
    </w:p>
    <w:p>
      <w:pPr>
        <w:pStyle w:val="Compact"/>
        <w:numPr>
          <w:ilvl w:val="0"/>
          <w:numId w:val="1030"/>
        </w:numPr>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26" w:name="sec-1Bdata"/>
    <w:p>
      <w:pPr>
        <w:pStyle w:val="Heading3"/>
      </w:pPr>
      <w:r>
        <w:t xml:space="preserve">18.1.1 Task 1B - Analyse mutant phenotypes</w:t>
      </w:r>
    </w:p>
    <w:p>
      <w:pPr>
        <w:numPr>
          <w:ilvl w:val="0"/>
          <w:numId w:val="1031"/>
        </w:numPr>
      </w:pPr>
      <w:r>
        <w:t xml:space="preserve">Compare the colonies obtained on the UV-irradiated plates with those on the equivalent dilutions of unirradiated plates (data available on MyPlace).</w:t>
      </w:r>
    </w:p>
    <w:p>
      <w:pPr>
        <w:numPr>
          <w:ilvl w:val="0"/>
          <w:numId w:val="1031"/>
        </w:numPr>
      </w:pPr>
      <w:r>
        <w:t xml:space="preserve">Carefully record your data (observations) in an appropriate format.</w:t>
      </w:r>
    </w:p>
    <w:p>
      <w:pPr>
        <w:numPr>
          <w:ilvl w:val="0"/>
          <w:numId w:val="1031"/>
        </w:numPr>
      </w:pPr>
      <w:r>
        <w:t xml:space="preserve">Can you identify over-producing mutants of the pigmented antibiotic Actinorhodin (Blue) or undecylprodigiosin (Red)? Do the colonies look different after UV mutagenesis? after caffeine mutagenesis?</w:t>
      </w:r>
    </w:p>
    <w:p>
      <w:pPr>
        <w:numPr>
          <w:ilvl w:val="0"/>
          <w:numId w:val="1031"/>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2"/>
              </w:numPr>
            </w:pPr>
            <w:r>
              <w:t xml:space="preserve">Compare the two mutagens we used (UV and caffeine). Which is more effective in terms of killing (</w:t>
            </w:r>
            <w:hyperlink w:anchor="sec-1Adata">
              <w:r>
                <w:rPr>
                  <w:rStyle w:val="Hyperlink"/>
                </w:rPr>
                <w:t xml:space="preserve">Section 18.1</w:t>
              </w:r>
            </w:hyperlink>
            <w:r>
              <w:t xml:space="preserve">)? in terms of generating mutants with the desired phenotypes (</w:t>
            </w:r>
            <w:hyperlink w:anchor="sec-1Bdata">
              <w:r>
                <w:rPr>
                  <w:rStyle w:val="Hyperlink"/>
                </w:rPr>
                <w:t xml:space="preserve">Section 18.1.1</w:t>
              </w:r>
            </w:hyperlink>
            <w:r>
              <w:t xml:space="preserve">)?</w:t>
            </w:r>
          </w:p>
          <w:p>
            <w:pPr>
              <w:numPr>
                <w:ilvl w:val="0"/>
                <w:numId w:val="1032"/>
              </w:numPr>
            </w:pPr>
            <w:r>
              <w:t xml:space="preserve">Which colonies would you select for further analysis?</w:t>
            </w:r>
          </w:p>
          <w:p>
            <w:pPr>
              <w:numPr>
                <w:ilvl w:val="0"/>
                <w:numId w:val="1032"/>
              </w:numPr>
            </w:pPr>
            <w:r>
              <w:t xml:space="preserve">What experiments would you like to do to characterize these mutant strains?</w:t>
            </w:r>
          </w:p>
          <w:p>
            <w:pPr>
              <w:numPr>
                <w:ilvl w:val="0"/>
                <w:numId w:val="1032"/>
              </w:numPr>
            </w:pPr>
            <w:r>
              <w:t xml:space="preserve">What are the advantages and disadvantages of using UV mutagenesis? Caffeine mutagenesis?</w:t>
            </w:r>
          </w:p>
          <w:p/>
        </w:tc>
      </w:tr>
    </w:tbl>
    <w:bookmarkEnd w:id="126"/>
    <w:bookmarkEnd w:id="127"/>
    <w:bookmarkEnd w:id="128"/>
    <w:bookmarkStart w:id="133" w:name="Xb2003848dcf41330ce02b375c63297d45513323"/>
    <w:p>
      <w:pPr>
        <w:pStyle w:val="Heading1"/>
      </w:pPr>
      <w:r>
        <w:t xml:space="preserve">19. Additional Resources/Suggested Further Reading for Experiment 1</w:t>
      </w:r>
    </w:p>
    <w:bookmarkStart w:id="129" w:name="streptomyces"/>
    <w:p>
      <w:pPr>
        <w:pStyle w:val="Heading2"/>
      </w:pPr>
      <w:r>
        <w:t xml:space="preserve">19.1 Streptomyces</w:t>
      </w:r>
    </w:p>
    <w:p>
      <w:pPr>
        <w:numPr>
          <w:ilvl w:val="0"/>
          <w:numId w:val="1033"/>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3"/>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3"/>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3"/>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9"/>
    <w:bookmarkStart w:id="132" w:name="bacterial-mutagenesis-1"/>
    <w:p>
      <w:pPr>
        <w:pStyle w:val="Heading2"/>
      </w:pPr>
      <w:r>
        <w:t xml:space="preserve">19.2 Bacterial mutagenesis</w:t>
      </w:r>
    </w:p>
    <w:p>
      <w:pPr>
        <w:numPr>
          <w:ilvl w:val="0"/>
          <w:numId w:val="1034"/>
        </w:numPr>
      </w:pPr>
      <w:r>
        <w:t xml:space="preserve">Nolan LM, Webber MA, Filloux A. Throwing a spotlight on genomic dark matter: The power and potential of transposon-insertion sequencing. J Biol Chem. 2025;301(6):110231. doi:10.1016/j.jbc.2025.110231</w:t>
      </w:r>
    </w:p>
    <w:p>
      <w:pPr>
        <w:numPr>
          <w:ilvl w:val="0"/>
          <w:numId w:val="1034"/>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4"/>
        </w:numPr>
      </w:pPr>
      <w:r>
        <w:t xml:space="preserve">Cronan JE. Approaches to Study Proteins Encoded by Essential Genes. Proteins. Published online August 15, 2025. doi:10.1002/prot.70039</w:t>
      </w:r>
    </w:p>
    <w:p>
      <w:pPr>
        <w:numPr>
          <w:ilvl w:val="0"/>
          <w:numId w:val="1034"/>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4"/>
        </w:numPr>
      </w:pPr>
      <w:r>
        <w:t xml:space="preserve">Craney A, Ahmed S, Nodwell J. Towards a new science of secondary metabolism. J Antibiot (Tokyo). 2013;66(7):387-400. doi:10.1038/ja.2013.25</w:t>
      </w:r>
    </w:p>
    <w:p>
      <w:pPr>
        <w:numPr>
          <w:ilvl w:val="0"/>
          <w:numId w:val="1034"/>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4"/>
        </w:numPr>
      </w:pPr>
      <w:hyperlink r:id="rId130">
        <w:r>
          <w:rPr>
            <w:rStyle w:val="Hyperlink"/>
          </w:rPr>
          <w:t xml:space="preserve">Evelyn Witkin (Rutgers): The SOS Response in Bacteria</w:t>
        </w:r>
      </w:hyperlink>
      <w:r>
        <w:t xml:space="preserve"> </w:t>
      </w:r>
      <w:r>
        <w:t xml:space="preserve">(iBiology Science Stories)</w:t>
      </w:r>
    </w:p>
    <w:p>
      <w:pPr>
        <w:numPr>
          <w:ilvl w:val="0"/>
          <w:numId w:val="1034"/>
        </w:numPr>
      </w:pPr>
      <w:hyperlink r:id="rId131">
        <w:r>
          <w:rPr>
            <w:rStyle w:val="Hyperlink"/>
          </w:rPr>
          <w:t xml:space="preserve">Biology Simulations: Mutation</w:t>
        </w:r>
      </w:hyperlink>
      <w:r>
        <w:t xml:space="preserve"> </w:t>
      </w:r>
      <w:r>
        <w:t xml:space="preserve">(simulation of a bacterial mutagenesis lab)</w:t>
      </w:r>
    </w:p>
    <w:bookmarkEnd w:id="132"/>
    <w:bookmarkEnd w:id="133"/>
    <w:bookmarkStart w:id="134" w:name="experiment-2-aims-and-overview"/>
    <w:p>
      <w:pPr>
        <w:pStyle w:val="Heading1"/>
      </w:pPr>
      <w:r>
        <w:t xml:space="preserve">20. Experiment 2 Aims and Overview</w:t>
      </w:r>
    </w:p>
    <w:bookmarkEnd w:id="134"/>
    <w:bookmarkStart w:id="140" w:name="Xf0789b3bd973a29cd0da922cd8a3260ad0e3633"/>
    <w:p>
      <w:pPr>
        <w:pStyle w:val="Heading1"/>
      </w:pPr>
      <w:r>
        <w:t xml:space="preserve">21. Experiment 2: Determination of minimum inhibitory concentration (MIC), minimum bacteriocidal concentration (MBC) and bacterial susceptibility to antibiotics</w:t>
      </w:r>
    </w:p>
    <w:bookmarkStart w:id="135" w:name="aims-1"/>
    <w:p>
      <w:pPr>
        <w:pStyle w:val="Heading2"/>
      </w:pPr>
      <w:r>
        <w:t xml:space="preserve">21.1 Aims</w:t>
      </w:r>
    </w:p>
    <w:p>
      <w:pPr>
        <w:pStyle w:val="Compact"/>
        <w:numPr>
          <w:ilvl w:val="0"/>
          <w:numId w:val="1035"/>
        </w:numPr>
      </w:pPr>
      <w:r>
        <w:t xml:space="preserve">To understand how the susceptibility of bacteria to certain antibiotics is determined.</w:t>
      </w:r>
    </w:p>
    <w:bookmarkEnd w:id="135"/>
    <w:bookmarkStart w:id="136" w:name="learning-outcomes-1"/>
    <w:p>
      <w:pPr>
        <w:pStyle w:val="Heading2"/>
      </w:pPr>
      <w:r>
        <w:t xml:space="preserve">21.2 Learning Outcomes</w:t>
      </w:r>
    </w:p>
    <w:p>
      <w:pPr>
        <w:pStyle w:val="FirstParagraph"/>
      </w:pPr>
      <w:r>
        <w:t xml:space="preserve">At the end of this laboratory session, you should understand:</w:t>
      </w:r>
    </w:p>
    <w:p>
      <w:pPr>
        <w:numPr>
          <w:ilvl w:val="0"/>
          <w:numId w:val="1036"/>
        </w:numPr>
      </w:pPr>
      <w:r>
        <w:t xml:space="preserve">How the susceptibility of bacteria to certain antibiotics is determined.</w:t>
      </w:r>
    </w:p>
    <w:p>
      <w:pPr>
        <w:numPr>
          <w:ilvl w:val="0"/>
          <w:numId w:val="1036"/>
        </w:numPr>
      </w:pPr>
      <w:r>
        <w:t xml:space="preserve">How to design an experiment to determine the MIC of an antibacterial agent.</w:t>
      </w:r>
    </w:p>
    <w:p>
      <w:pPr>
        <w:numPr>
          <w:ilvl w:val="0"/>
          <w:numId w:val="1036"/>
        </w:numPr>
      </w:pPr>
      <w:r>
        <w:t xml:space="preserve">How to be able to calculate MIC and MBC.</w:t>
      </w:r>
    </w:p>
    <w:bookmarkEnd w:id="136"/>
    <w:bookmarkStart w:id="137" w:name="competencies-1"/>
    <w:p>
      <w:pPr>
        <w:pStyle w:val="Heading2"/>
      </w:pPr>
      <w:r>
        <w:t xml:space="preserve">21.3 Competencies</w:t>
      </w:r>
    </w:p>
    <w:p>
      <w:pPr>
        <w:numPr>
          <w:ilvl w:val="0"/>
          <w:numId w:val="1037"/>
        </w:numPr>
      </w:pPr>
      <w:r>
        <w:t xml:space="preserve">Good laboratory practice (aseptic technique, pipetting, spreading plates)</w:t>
      </w:r>
    </w:p>
    <w:p>
      <w:pPr>
        <w:numPr>
          <w:ilvl w:val="0"/>
          <w:numId w:val="1037"/>
        </w:numPr>
      </w:pPr>
      <w:r>
        <w:t xml:space="preserve">Experimentally determining antibiotic MBC and MIC values</w:t>
      </w:r>
    </w:p>
    <w:p>
      <w:pPr>
        <w:numPr>
          <w:ilvl w:val="0"/>
          <w:numId w:val="1037"/>
        </w:numPr>
      </w:pPr>
      <w:r>
        <w:t xml:space="preserve">Teamwork</w:t>
      </w:r>
    </w:p>
    <w:p>
      <w:pPr>
        <w:numPr>
          <w:ilvl w:val="0"/>
          <w:numId w:val="1037"/>
        </w:numPr>
      </w:pPr>
      <w:r>
        <w:t xml:space="preserve">Keeping detailed and accurate records</w:t>
      </w:r>
    </w:p>
    <w:p>
      <w:pPr>
        <w:numPr>
          <w:ilvl w:val="0"/>
          <w:numId w:val="1037"/>
        </w:numPr>
      </w:pPr>
      <w:r>
        <w:t xml:space="preserve">Performing data analysis</w:t>
      </w:r>
    </w:p>
    <w:bookmarkEnd w:id="137"/>
    <w:bookmarkStart w:id="138" w:name="importance-1"/>
    <w:p>
      <w:pPr>
        <w:pStyle w:val="Heading2"/>
      </w:pPr>
      <w:r>
        <w:t xml:space="preserve">21.4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38"/>
    <w:bookmarkStart w:id="139" w:name="overview-of-experiment-2"/>
    <w:p>
      <w:pPr>
        <w:pStyle w:val="Heading2"/>
      </w:pPr>
      <w:r>
        <w:t xml:space="preserve">21.5 Overview of Experiment 2</w:t>
      </w:r>
    </w:p>
    <w:p>
      <w:pPr>
        <w:pStyle w:val="FirstParagraph"/>
      </w:pPr>
      <w:r>
        <w:t xml:space="preserve">You will perform Protocols 2.1 and 2.4 in the Week 4 lab and collect your data in the following sessions (Weeks 6 &amp; 8). Perform the data analysis tasks (</w:t>
      </w:r>
      <w:hyperlink w:anchor="sec-data2">
        <w:r>
          <w:rPr>
            <w:rStyle w:val="Hyperlink"/>
          </w:rPr>
          <w:t xml:space="preserve">Chapter 26</w:t>
        </w:r>
      </w:hyperlink>
      <w:r>
        <w:t xml:space="preserve">) using your own data or the sample data available on MyPlace.</w:t>
      </w:r>
    </w:p>
    <w:bookmarkEnd w:id="139"/>
    <w:bookmarkEnd w:id="140"/>
    <w:bookmarkStart w:id="142" w:name="experiment-2---background"/>
    <w:p>
      <w:pPr>
        <w:pStyle w:val="Heading1"/>
      </w:pPr>
      <w:r>
        <w:t xml:space="preserve">22. Experiment 2 - Background</w:t>
      </w:r>
    </w:p>
    <w:bookmarkStart w:id="141" w:name="sec-intro2"/>
    <w:p>
      <w:pPr>
        <w:pStyle w:val="Heading2"/>
      </w:pPr>
      <w:r>
        <w:t xml:space="preserve">22.1 Experiment 1 - Background</w:t>
      </w:r>
    </w:p>
    <w:p>
      <w:pPr>
        <w:pStyle w:val="FirstParagraph"/>
      </w:pPr>
      <w:r>
        <w:t xml:space="preserve">We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26.1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26.2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26.3</w:t>
        </w:r>
      </w:hyperlink>
      <w:r>
        <w:t xml:space="preserve">).</w:t>
      </w:r>
    </w:p>
    <w:bookmarkEnd w:id="141"/>
    <w:bookmarkEnd w:id="142"/>
    <w:bookmarkStart w:id="146" w:name="antibiotic-susceptibility"/>
    <w:p>
      <w:pPr>
        <w:pStyle w:val="Heading1"/>
      </w:pPr>
      <w:r>
        <w:t xml:space="preserve">23. Antibiotic Susceptibility</w:t>
      </w:r>
    </w:p>
    <w:bookmarkStart w:id="145" w:name="sec-intro4"/>
    <w:p>
      <w:pPr>
        <w:pStyle w:val="Heading2"/>
      </w:pPr>
      <w:r>
        <w:t xml:space="preserve">23.1 Antibiotic Susceptibility - Introduction</w:t>
      </w:r>
    </w:p>
    <w:p>
      <w:pPr>
        <w:pStyle w:val="FirstParagraph"/>
      </w:pPr>
      <w:r>
        <w:t xml:space="preserve">Antibiotics are compounds that inhibit or kill bacteria, and they act through a range of molecular mechanisms. Major classes target essential cellular processes, including cell wall synthesis, protein synthesis, nucleic acid synthesis, and metabolic pathways. However, the effectiveness of any given antibiotic can vary markedly between bacterial species due to differences in cell envelope structure (e.g. the outer membrane barrier in Gram-negative bacteria), efflux pump systems, target site variants, and the presence or absence of specific resistance genes. Even within a single species, strains may differ in susceptibility due to acquisition of plasmid-borne resistance genes or chromosomal mutations.</w:t>
      </w:r>
    </w:p>
    <w:p>
      <w:pPr>
        <w:pStyle w:val="BodyText"/>
      </w:pPr>
      <w:r>
        <w:t xml:space="preserve">Several experimental approaches are used to quantify bacterial susceptibility.</w:t>
      </w:r>
    </w:p>
    <w:p>
      <w:pPr>
        <w:numPr>
          <w:ilvl w:val="0"/>
          <w:numId w:val="1038"/>
        </w:numPr>
      </w:pPr>
      <w:r>
        <w:t xml:space="preserve">The</w:t>
      </w:r>
      <w:r>
        <w:t xml:space="preserve"> </w:t>
      </w:r>
      <w:r>
        <w:rPr>
          <w:b/>
          <w:bCs/>
        </w:rPr>
        <w:t xml:space="preserve">minimum inhibitory concentration (MIC)</w:t>
      </w:r>
      <w:r>
        <w:t xml:space="preserve"> </w:t>
      </w:r>
      <w:r>
        <w:t xml:space="preserve">is the lowest concentration of an antibiotic that prevents visible growth after incubation, typically determined using liquid (broth) cultures containing different antibiotic concentrations.</w:t>
      </w:r>
    </w:p>
    <w:p>
      <w:pPr>
        <w:numPr>
          <w:ilvl w:val="0"/>
          <w:numId w:val="1038"/>
        </w:numPr>
      </w:pPr>
      <w:r>
        <w:t xml:space="preserve">The</w:t>
      </w:r>
      <w:r>
        <w:t xml:space="preserve"> </w:t>
      </w:r>
      <w:r>
        <w:rPr>
          <w:b/>
          <w:bCs/>
        </w:rPr>
        <w:t xml:space="preserve">minimum bactericidal concentration (MBC)</w:t>
      </w:r>
      <w:r>
        <w:t xml:space="preserve"> </w:t>
      </w:r>
      <w:r>
        <w:t xml:space="preserve">goes further to determine the lowest concentration capable of killing the bacteria. After MIC testing, aliquots from non-growing cultures are plated onto antibiotic-free media, and the lowest concentration that kills ≥99.9% of the initial inoculum is recorded as the MBC. While MIC measures growth inhibition, MBC assesses bactericidal activity, so the two values can differ significantly for bacteriostatic versus bactericidal drugs.</w:t>
      </w:r>
    </w:p>
    <w:p>
      <w:pPr>
        <w:numPr>
          <w:ilvl w:val="0"/>
          <w:numId w:val="1038"/>
        </w:numPr>
      </w:pPr>
      <w:r>
        <w:t xml:space="preserve">The</w:t>
      </w:r>
      <w:r>
        <w:t xml:space="preserve"> </w:t>
      </w:r>
      <w:r>
        <w:rPr>
          <w:b/>
          <w:bCs/>
        </w:rPr>
        <w:t xml:space="preserve">Kirby–Bauer disk diffusion assay</w:t>
      </w:r>
      <w:r>
        <w:t xml:space="preserve"> </w:t>
      </w:r>
      <w:r>
        <w:t xml:space="preserve">is a qualitative or semi-quantitative method in which antibiotic-impregnated disks are placed on agar lawns, and the diameter of the growth inhibition zone is measured after incubation. Although disk diffusion does not yield exact concentrations, standardized interpretive breakpoints allow clinicians to categorize isolates as susceptible, intermediate, or resistant.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opt/quarto/share/formats/docx/note.png" id="144" name="Picture"/>
                          <pic:cNvPicPr>
                            <a:picLocks noChangeArrowheads="1" noChangeAspect="1"/>
                          </pic:cNvPicPr>
                        </pic:nvPicPr>
                        <pic:blipFill>
                          <a:blip r:embed="rId1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Antibiotic Susceptibility - caveats</w:t>
            </w:r>
          </w:p>
        </w:tc>
      </w:tr>
      <w:tr>
        <w:trPr>
          <w:cantSplit/>
        </w:trPr>
        <w:tc>
          <w:tcPr>
            <w:tcMar>
              <w:top w:w="108" w:type="dxa"/>
              <w:bottom w:w="108" w:type="dxa"/>
            </w:tcMar>
          </w:tcPr>
          <w:p>
            <w:pPr>
              <w:pStyle w:val="BodyText"/>
            </w:pPr>
            <w:pPr>
              <w:spacing w:before="16" w:after="16"/>
            </w:pPr>
            <w:r>
              <w:t xml:space="preserve">Experimental conditions can strongly affect the outcome of these assays. Media composition, pH, aeration, and inoculum density can influence antibiotic activity and bacterial physiology, so strict adherence to standardized protocols is essential. Some antibiotics are inactivated by specific media components, while growth conditions (e.g., stationary phase growth) can affect bacterial susceptibility by global physiological and gene expression changes.</w:t>
            </w:r>
          </w:p>
          <w:p/>
        </w:tc>
      </w:tr>
    </w:tbl>
    <w:p>
      <w:pPr>
        <w:pStyle w:val="BodyText"/>
      </w:pPr>
      <w:r>
        <w:t xml:space="preserve">While classical phenotypic assays remain the gold standard, new approaches such as whole-genome sequencing, transcriptomics, and proteomics are increasingly being developed to identify resistance determinants and attempt to predict resistance phenotypes.</w:t>
      </w:r>
    </w:p>
    <w:bookmarkEnd w:id="145"/>
    <w:bookmarkEnd w:id="146"/>
    <w:bookmarkStart w:id="148" w:name="experiment-2-protocols"/>
    <w:p>
      <w:pPr>
        <w:pStyle w:val="Heading1"/>
      </w:pPr>
      <w:r>
        <w:t xml:space="preserve">24. Experiment 2 Protocols</w:t>
      </w:r>
    </w:p>
    <w:p>
      <w:pPr>
        <w:pStyle w:val="FirstParagraph"/>
      </w:pPr>
      <w:r>
        <w:t xml:space="preserve">You can view the protocols for experiment 2 below, or download it</w:t>
      </w:r>
      <w:r>
        <w:t xml:space="preserve"> </w:t>
      </w:r>
      <w:hyperlink r:id="rId147">
        <w:r>
          <w:rPr>
            <w:rStyle w:val="Hyperlink"/>
          </w:rPr>
          <w:t xml:space="preserve">here</w:t>
        </w:r>
      </w:hyperlink>
      <w:r>
        <w:t xml:space="preserve">.</w:t>
      </w:r>
    </w:p>
    <w:bookmarkEnd w:id="148"/>
    <w:bookmarkStart w:id="149" w:name="experiment-2---data-analysis"/>
    <w:p>
      <w:pPr>
        <w:pStyle w:val="Heading1"/>
      </w:pPr>
      <w:r>
        <w:t xml:space="preserve">25. Experiment 2 - Data Analysis</w:t>
      </w:r>
    </w:p>
    <w:bookmarkEnd w:id="149"/>
    <w:bookmarkStart w:id="153" w:name="sec-data2"/>
    <w:p>
      <w:pPr>
        <w:pStyle w:val="Heading1"/>
      </w:pPr>
      <w:r>
        <w:t xml:space="preserve">26. Experiment 2 - Data Analysis</w:t>
      </w:r>
    </w:p>
    <w:p>
      <w:pPr>
        <w:pStyle w:val="FirstParagraph"/>
      </w:pPr>
      <w:r>
        <w:t xml:space="preserve">You have 2 sets of data to analyse for Experiment 2:</w:t>
      </w:r>
    </w:p>
    <w:p>
      <w:pPr>
        <w:numPr>
          <w:ilvl w:val="0"/>
          <w:numId w:val="1039"/>
        </w:numPr>
      </w:pPr>
      <w:r>
        <w:rPr>
          <w:i/>
          <w:iCs/>
        </w:rPr>
        <w:t xml:space="preserve">Streptomyces</w:t>
      </w:r>
      <w:r>
        <w:t xml:space="preserve"> </w:t>
      </w:r>
      <w:r>
        <w:t xml:space="preserve">bioassay data (available for you on MyPlace) - you will use these data in</w:t>
      </w:r>
      <w:r>
        <w:t xml:space="preserve"> </w:t>
      </w:r>
      <w:hyperlink w:anchor="sec-task2A">
        <w:r>
          <w:rPr>
            <w:rStyle w:val="Hyperlink"/>
          </w:rPr>
          <w:t xml:space="preserve">Section 26.1</w:t>
        </w:r>
      </w:hyperlink>
      <w:r>
        <w:t xml:space="preserve">.</w:t>
      </w:r>
    </w:p>
    <w:p>
      <w:pPr>
        <w:numPr>
          <w:ilvl w:val="0"/>
          <w:numId w:val="1039"/>
        </w:numPr>
      </w:pPr>
      <w:r>
        <w:t xml:space="preserve">Your own MIC and MBC data for Antibiotic X (or the class data available on MyPlace) - you will use these data in</w:t>
      </w:r>
      <w:r>
        <w:t xml:space="preserve"> </w:t>
      </w:r>
      <w:hyperlink w:anchor="sec-task2B">
        <w:r>
          <w:rPr>
            <w:rStyle w:val="Hyperlink"/>
          </w:rPr>
          <w:t xml:space="preserve">Section 26.2</w:t>
        </w:r>
      </w:hyperlink>
      <w:r>
        <w:t xml:space="preserve">.</w:t>
      </w:r>
    </w:p>
    <w:p>
      <w:pPr>
        <w:numPr>
          <w:ilvl w:val="0"/>
          <w:numId w:val="1039"/>
        </w:numPr>
      </w:pPr>
      <w:r>
        <w:t xml:space="preserve">MIC/MBC data for antibiotic X against mutant</w:t>
      </w:r>
      <w:r>
        <w:t xml:space="preserve"> </w:t>
      </w:r>
      <w:r>
        <w:rPr>
          <w:i/>
          <w:iCs/>
        </w:rPr>
        <w:t xml:space="preserve">E. coli</w:t>
      </w:r>
      <w:r>
        <w:t xml:space="preserve"> </w:t>
      </w:r>
      <w:r>
        <w:t xml:space="preserve">strains - you will use these data in</w:t>
      </w:r>
      <w:r>
        <w:t xml:space="preserve"> </w:t>
      </w:r>
      <w:hyperlink w:anchor="sec-task2C">
        <w:r>
          <w:rPr>
            <w:rStyle w:val="Hyperlink"/>
          </w:rPr>
          <w:t xml:space="preserve">Section 26.3</w:t>
        </w:r>
      </w:hyperlink>
      <w:r>
        <w:t xml:space="preserve">.</w:t>
      </w:r>
    </w:p>
    <w:bookmarkStart w:id="150" w:name="sec-task2A"/>
    <w:p>
      <w:pPr>
        <w:pStyle w:val="Heading2"/>
      </w:pPr>
      <w:r>
        <w:t xml:space="preserve">26.1 TASK 2A. Analyse</w:t>
      </w:r>
      <w:r>
        <w:t xml:space="preserve"> </w:t>
      </w:r>
      <w:r>
        <w:rPr>
          <w:i/>
          <w:iCs/>
        </w:rPr>
        <w:t xml:space="preserve">Streptomyces</w:t>
      </w:r>
      <w:r>
        <w:t xml:space="preserve"> </w:t>
      </w:r>
      <w:r>
        <w:t xml:space="preserve">bioassay data</w:t>
      </w:r>
    </w:p>
    <w:p>
      <w:pPr>
        <w:pStyle w:val="Compact"/>
        <w:numPr>
          <w:ilvl w:val="0"/>
          <w:numId w:val="1040"/>
        </w:numPr>
      </w:pPr>
      <w:r>
        <w:t xml:space="preserve">You will be provided with a set of data (pictures of bioassays) posted on MyPlace.</w:t>
      </w:r>
    </w:p>
    <w:p>
      <w:pPr>
        <w:pStyle w:val="Compact"/>
        <w:numPr>
          <w:ilvl w:val="0"/>
          <w:numId w:val="1040"/>
        </w:numPr>
      </w:pPr>
      <w:r>
        <w:t xml:space="preserve">Note the zone of inhibition around the</w:t>
      </w:r>
      <w:r>
        <w:t xml:space="preserve"> </w:t>
      </w:r>
      <w:r>
        <w:rPr>
          <w:i/>
          <w:iCs/>
        </w:rPr>
        <w:t xml:space="preserve">Streptomyces</w:t>
      </w:r>
      <w:r>
        <w:t xml:space="preserve"> </w:t>
      </w:r>
      <w:r>
        <w:t xml:space="preserve">and carefully record your data (observations).</w:t>
      </w:r>
    </w:p>
    <w:p>
      <w:pPr>
        <w:pStyle w:val="Compact"/>
        <w:numPr>
          <w:ilvl w:val="0"/>
          <w:numId w:val="1040"/>
        </w:numPr>
      </w:pPr>
      <w:r>
        <w:t xml:space="preserve">What conclusions can you draw about the mutant strains?</w:t>
      </w:r>
    </w:p>
    <w:p>
      <w:pPr>
        <w:pStyle w:val="Compact"/>
        <w:numPr>
          <w:ilvl w:val="0"/>
          <w:numId w:val="1040"/>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50"/>
    <w:bookmarkStart w:id="151" w:name="sec-task2B"/>
    <w:p>
      <w:pPr>
        <w:pStyle w:val="Heading2"/>
      </w:pPr>
      <w:r>
        <w:t xml:space="preserve">26.2 TASK 2B. Determine the MIC and MBC for the purified antibiotic</w:t>
      </w:r>
    </w:p>
    <w:p>
      <w:pPr>
        <w:pStyle w:val="Compact"/>
        <w:numPr>
          <w:ilvl w:val="0"/>
          <w:numId w:val="1041"/>
        </w:numPr>
      </w:pPr>
      <w:r>
        <w:t xml:space="preserve">You should have a set of your own data, but there are backup data available on MyPlace in case you need them.</w:t>
      </w:r>
    </w:p>
    <w:p>
      <w:pPr>
        <w:numPr>
          <w:ilvl w:val="0"/>
          <w:numId w:val="1042"/>
        </w:numPr>
      </w:pPr>
      <w:r>
        <w:t xml:space="preserve">For the MIC data, determine the lowest concentration of antibiotic that inhibits growth (measured by turbidity in the culture tube). This corresponds to the MIC of the antibiotic X for this strain of</w:t>
      </w:r>
      <w:r>
        <w:t xml:space="preserve"> </w:t>
      </w:r>
      <w:r>
        <w:rPr>
          <w:i/>
          <w:iCs/>
        </w:rPr>
        <w:t xml:space="preserve">E. coli</w:t>
      </w:r>
      <w:r>
        <w:t xml:space="preserve">. You will need to calculate the final concentration of</w:t>
      </w:r>
      <w:r>
        <w:t xml:space="preserve"> </w:t>
      </w:r>
      <w:r>
        <w:t xml:space="preserve">“X”</w:t>
      </w:r>
      <w:r>
        <w:t xml:space="preserve"> </w:t>
      </w:r>
      <w:r>
        <w:t xml:space="preserve">in each tube!</w:t>
      </w:r>
    </w:p>
    <w:p>
      <w:pPr>
        <w:numPr>
          <w:ilvl w:val="0"/>
          <w:numId w:val="1042"/>
        </w:numPr>
      </w:pPr>
      <w:r>
        <w:t xml:space="preserve">For the MBC data, determine the lowest concentration of antibiotic that causes cell death (measured by plates where no growth is observable). This corresponds to the MBC of the antibiotic X for this strain of</w:t>
      </w:r>
      <w:r>
        <w:t xml:space="preserve"> </w:t>
      </w:r>
      <w:r>
        <w:rPr>
          <w:i/>
          <w:iCs/>
        </w:rPr>
        <w:t xml:space="preserve">E. coli</w:t>
      </w:r>
      <w:r>
        <w:t xml:space="preserve">.</w:t>
      </w:r>
    </w:p>
    <w:p>
      <w:pPr>
        <w:numPr>
          <w:ilvl w:val="0"/>
          <w:numId w:val="1042"/>
        </w:numPr>
      </w:pPr>
      <w:r>
        <w:t xml:space="preserve">For each Kirby-Bauer disk diffusion plate, measure the diameter of the zone of growth inhibition around each disk to the nearest whole mm.</w:t>
      </w:r>
    </w:p>
    <w:bookmarkEnd w:id="151"/>
    <w:bookmarkStart w:id="152" w:name="sec-task2C"/>
    <w:p>
      <w:pPr>
        <w:pStyle w:val="Heading2"/>
      </w:pPr>
      <w:r>
        <w:t xml:space="preserve">26.3 TASK 2C. Determine the MIC and MBC for the purified antibiotic against mutant</w:t>
      </w:r>
      <w:r>
        <w:t xml:space="preserve"> </w:t>
      </w:r>
      <w:r>
        <w:rPr>
          <w:i/>
          <w:iCs/>
        </w:rPr>
        <w:t xml:space="preserve">E. coli</w:t>
      </w:r>
      <w:r>
        <w:t xml:space="preserve"> </w:t>
      </w:r>
      <w:r>
        <w:t xml:space="preserve">strains</w:t>
      </w:r>
    </w:p>
    <w:p>
      <w:pPr>
        <w:numPr>
          <w:ilvl w:val="0"/>
          <w:numId w:val="1043"/>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numPr>
          <w:ilvl w:val="0"/>
          <w:numId w:val="1043"/>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4"/>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4"/>
              </w:numPr>
            </w:pPr>
            <w:r>
              <w:t xml:space="preserve">Are there other approaches we could have used (apart from transposon mutagenesis)? What are their advantages/disadvantages?</w:t>
            </w:r>
          </w:p>
          <w:p>
            <w:pPr>
              <w:numPr>
                <w:ilvl w:val="0"/>
                <w:numId w:val="1044"/>
              </w:numPr>
            </w:pPr>
            <w:r>
              <w:t xml:space="preserve">What conclusions can you draw based upon the experiments we performed?</w:t>
            </w:r>
          </w:p>
          <w:p>
            <w:pPr>
              <w:numPr>
                <w:ilvl w:val="0"/>
                <w:numId w:val="1044"/>
              </w:numPr>
            </w:pPr>
            <w:r>
              <w:t xml:space="preserve">What further experiments might you do (and why?)</w:t>
            </w:r>
          </w:p>
          <w:p/>
        </w:tc>
      </w:tr>
    </w:tbl>
    <w:bookmarkEnd w:id="152"/>
    <w:bookmarkEnd w:id="153"/>
    <w:bookmarkStart w:id="159" w:name="X56b444cfc7fe5578242590bcd0dc30283764e23"/>
    <w:p>
      <w:pPr>
        <w:pStyle w:val="Heading1"/>
      </w:pPr>
      <w:r>
        <w:t xml:space="preserve">27. Additional Resources/Further Reading for Experiment 2</w:t>
      </w:r>
    </w:p>
    <w:p>
      <w:pPr>
        <w:numPr>
          <w:ilvl w:val="0"/>
          <w:numId w:val="1045"/>
        </w:numPr>
      </w:pPr>
      <w:hyperlink r:id="rId154">
        <w:r>
          <w:rPr>
            <w:rStyle w:val="Hyperlink"/>
          </w:rPr>
          <w:t xml:space="preserve">Mueller-Hinton Medium (Small Things Considered blog post)</w:t>
        </w:r>
      </w:hyperlink>
    </w:p>
    <w:p>
      <w:pPr>
        <w:numPr>
          <w:ilvl w:val="0"/>
          <w:numId w:val="1045"/>
        </w:numPr>
      </w:pPr>
      <w:hyperlink r:id="rId155">
        <w:r>
          <w:rPr>
            <w:rStyle w:val="Hyperlink"/>
          </w:rPr>
          <w:t xml:space="preserve">Video demonstration - determining MIC and MBC for hydrogen peroxide</w:t>
        </w:r>
      </w:hyperlink>
    </w:p>
    <w:p>
      <w:pPr>
        <w:numPr>
          <w:ilvl w:val="0"/>
          <w:numId w:val="1045"/>
        </w:numPr>
      </w:pPr>
      <w:hyperlink r:id="rId156">
        <w:r>
          <w:rPr>
            <w:rStyle w:val="Hyperlink"/>
          </w:rPr>
          <w:t xml:space="preserve">Video demonstration - Kirby Bauer disk diffusion method</w:t>
        </w:r>
      </w:hyperlink>
    </w:p>
    <w:p>
      <w:pPr>
        <w:numPr>
          <w:ilvl w:val="0"/>
          <w:numId w:val="1045"/>
        </w:numPr>
      </w:pPr>
      <w:hyperlink r:id="rId157">
        <w:r>
          <w:rPr>
            <w:rStyle w:val="Hyperlink"/>
          </w:rPr>
          <w:t xml:space="preserve">The evolution of bacteria on a</w:t>
        </w:r>
        <w:r>
          <w:rPr>
            <w:rStyle w:val="Hyperlink"/>
          </w:rPr>
          <w:t xml:space="preserve"> </w:t>
        </w:r>
        <w:r>
          <w:rPr>
            <w:rStyle w:val="Hyperlink"/>
          </w:rPr>
          <w:t xml:space="preserve">“mega-plate”</w:t>
        </w:r>
        <w:r>
          <w:rPr>
            <w:rStyle w:val="Hyperlink"/>
          </w:rPr>
          <w:t xml:space="preserve"> </w:t>
        </w:r>
        <w:r>
          <w:rPr>
            <w:rStyle w:val="Hyperlink"/>
          </w:rPr>
          <w:t xml:space="preserve">Petri dish (Kishony lab)</w:t>
        </w:r>
      </w:hyperlink>
    </w:p>
    <w:p>
      <w:pPr>
        <w:numPr>
          <w:ilvl w:val="0"/>
          <w:numId w:val="1045"/>
        </w:numPr>
      </w:pPr>
      <w:r>
        <w:t xml:space="preserve">van Belkum A, Burnham CD, Rossen JWA, Mallard F, Rochas O, Dunne WM Jr. Innovative and rapid antimicrobial susceptibility testing systems. Nat Rev Microbiol. 2020;18(5):299-311. doi:10.1038/s41579-020-0327-x</w:t>
      </w:r>
    </w:p>
    <w:p>
      <w:pPr>
        <w:numPr>
          <w:ilvl w:val="0"/>
          <w:numId w:val="1045"/>
        </w:numPr>
      </w:pPr>
      <w:hyperlink r:id="rId158">
        <w:r>
          <w:rPr>
            <w:rStyle w:val="Hyperlink"/>
          </w:rPr>
          <w:t xml:space="preserve">The dearth of antibiotic development - Editors in Conversation (American Society for Microbiology)</w:t>
        </w:r>
      </w:hyperlink>
    </w:p>
    <w:bookmarkEnd w:id="159"/>
    <w:bookmarkStart w:id="166" w:name="experiment-3-aims-and-overview"/>
    <w:p>
      <w:pPr>
        <w:pStyle w:val="Heading1"/>
      </w:pPr>
      <w:r>
        <w:t xml:space="preserve">28. Experiment 3 Aims and Overview</w:t>
      </w:r>
    </w:p>
    <w:bookmarkStart w:id="160" w:name="aims-2"/>
    <w:p>
      <w:pPr>
        <w:pStyle w:val="Heading2"/>
      </w:pPr>
      <w:r>
        <w:t xml:space="preserve">28.1 Aims</w:t>
      </w:r>
    </w:p>
    <w:p>
      <w:pPr>
        <w:pStyle w:val="Compact"/>
        <w:numPr>
          <w:ilvl w:val="0"/>
          <w:numId w:val="1046"/>
        </w:numPr>
      </w:pPr>
      <w:r>
        <w:t xml:space="preserve">To understand how genetic elements are transferred between bacteria.</w:t>
      </w:r>
    </w:p>
    <w:bookmarkEnd w:id="160"/>
    <w:bookmarkStart w:id="161" w:name="learning-outcomes-2"/>
    <w:p>
      <w:pPr>
        <w:pStyle w:val="Heading2"/>
      </w:pPr>
      <w:r>
        <w:t xml:space="preserve">28.2 Learning Outcomes</w:t>
      </w:r>
    </w:p>
    <w:p>
      <w:pPr>
        <w:pStyle w:val="FirstParagraph"/>
      </w:pPr>
      <w:r>
        <w:t xml:space="preserve">At the end of this laboratory session, you should understand:</w:t>
      </w:r>
    </w:p>
    <w:p>
      <w:pPr>
        <w:numPr>
          <w:ilvl w:val="0"/>
          <w:numId w:val="1047"/>
        </w:numPr>
      </w:pPr>
      <w:r>
        <w:t xml:space="preserve">That horizontal gene transfer (HGT) can occur between two strains of bacteria</w:t>
      </w:r>
    </w:p>
    <w:p>
      <w:pPr>
        <w:numPr>
          <w:ilvl w:val="0"/>
          <w:numId w:val="1047"/>
        </w:numPr>
      </w:pPr>
      <w:r>
        <w:t xml:space="preserve">That HGT can affect the phenotype of an organism</w:t>
      </w:r>
    </w:p>
    <w:p>
      <w:pPr>
        <w:numPr>
          <w:ilvl w:val="0"/>
          <w:numId w:val="1047"/>
        </w:numPr>
      </w:pPr>
      <w:r>
        <w:t xml:space="preserve">That plasmid transfer occurs in a specific order</w:t>
      </w:r>
    </w:p>
    <w:p>
      <w:pPr>
        <w:numPr>
          <w:ilvl w:val="0"/>
          <w:numId w:val="1047"/>
        </w:numPr>
      </w:pPr>
      <w:r>
        <w:t xml:space="preserve">How to analyse the results of a conjugative transfer experiment</w:t>
      </w:r>
    </w:p>
    <w:bookmarkEnd w:id="161"/>
    <w:bookmarkStart w:id="162" w:name="competencies-2"/>
    <w:p>
      <w:pPr>
        <w:pStyle w:val="Heading2"/>
      </w:pPr>
      <w:r>
        <w:t xml:space="preserve">28.3 Competencies</w:t>
      </w:r>
    </w:p>
    <w:p>
      <w:pPr>
        <w:numPr>
          <w:ilvl w:val="0"/>
          <w:numId w:val="1048"/>
        </w:numPr>
      </w:pPr>
      <w:r>
        <w:t xml:space="preserve">Good laboratory practice (aseptic technique, pipetting, labelling, spreading plates)</w:t>
      </w:r>
    </w:p>
    <w:p>
      <w:pPr>
        <w:numPr>
          <w:ilvl w:val="0"/>
          <w:numId w:val="1048"/>
        </w:numPr>
      </w:pPr>
      <w:r>
        <w:t xml:space="preserve">Performing data analysis (mapping loci on a bacterial chromosome)</w:t>
      </w:r>
    </w:p>
    <w:p>
      <w:pPr>
        <w:numPr>
          <w:ilvl w:val="0"/>
          <w:numId w:val="1048"/>
        </w:numPr>
      </w:pPr>
      <w:r>
        <w:t xml:space="preserve">Using online databases</w:t>
      </w:r>
    </w:p>
    <w:p>
      <w:pPr>
        <w:numPr>
          <w:ilvl w:val="0"/>
          <w:numId w:val="1048"/>
        </w:numPr>
      </w:pPr>
      <w:r>
        <w:t xml:space="preserve">Teamwork</w:t>
      </w:r>
    </w:p>
    <w:p>
      <w:pPr>
        <w:numPr>
          <w:ilvl w:val="0"/>
          <w:numId w:val="1048"/>
        </w:numPr>
      </w:pPr>
      <w:r>
        <w:t xml:space="preserve">Keeping detailed and accurate records</w:t>
      </w:r>
    </w:p>
    <w:bookmarkEnd w:id="162"/>
    <w:bookmarkStart w:id="163" w:name="importance-2"/>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bookmarkEnd w:id="163"/>
    <w:bookmarkStart w:id="164" w:name="Xb5a811bee550ee1b9d63f71d8bf78ff8f7d9a5d"/>
    <w:p>
      <w:pPr>
        <w:pStyle w:val="Heading2"/>
      </w:pPr>
      <w:r>
        <w:t xml:space="preserve">28.5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hyperlink w:anchor="sec-task3A">
        <w:r>
          <w:rPr>
            <w:rStyle w:val="Hyperlink"/>
          </w:rPr>
          <w:t xml:space="preserve">Section 32.1</w:t>
        </w:r>
      </w:hyperlink>
      <w:r>
        <w:t xml:space="preserve">), and then form a hypothesis about the location of the antibiotic-resistance mutation (</w:t>
      </w:r>
      <w:hyperlink w:anchor="sec-task3B">
        <w:r>
          <w:rPr>
            <w:rStyle w:val="Hyperlink"/>
          </w:rPr>
          <w:t xml:space="preserve">Section 32.2</w:t>
        </w:r>
      </w:hyperlink>
      <w:r>
        <w:t xml:space="preserve">).</w:t>
      </w:r>
    </w:p>
    <w:bookmarkEnd w:id="164"/>
    <w:bookmarkStart w:id="165" w:name="overview-of-experiment-3"/>
    <w:p>
      <w:pPr>
        <w:pStyle w:val="Heading2"/>
      </w:pPr>
      <w:r>
        <w:t xml:space="preserve">28.6 Overview of Experiment 3</w:t>
      </w:r>
    </w:p>
    <w:p>
      <w:pPr>
        <w:pStyle w:val="FirstParagraph"/>
      </w:pPr>
      <w:r>
        <w:t xml:space="preserve">You will perform Protocol 3.1 in the Week 6 lab and collect your data the following session (Week 8). Perform the data analysis tasks (</w:t>
      </w:r>
      <w:hyperlink w:anchor="sec-data3">
        <w:r>
          <w:rPr>
            <w:rStyle w:val="Hyperlink"/>
          </w:rPr>
          <w:t xml:space="preserve">Chapter 32</w:t>
        </w:r>
      </w:hyperlink>
      <w:r>
        <w:t xml:space="preserve">) using your own data/the class data or the sample data available on MyPlace.</w:t>
      </w:r>
    </w:p>
    <w:bookmarkEnd w:id="165"/>
    <w:bookmarkEnd w:id="166"/>
    <w:bookmarkStart w:id="171" w:name="experiment-3---intro"/>
    <w:p>
      <w:pPr>
        <w:pStyle w:val="Heading1"/>
      </w:pPr>
      <w:r>
        <w:t xml:space="preserve">29. Experiment 3 - Intro</w:t>
      </w:r>
    </w:p>
    <w:p>
      <w:pPr>
        <w:pStyle w:val="FirstParagraph"/>
      </w:pPr>
      <w:r>
        <w:t xml:space="preserve">In this practical we will be using the unidirectional exchange of genes between strains of the gut bacterium</w:t>
      </w:r>
      <w:r>
        <w:t xml:space="preserve"> </w:t>
      </w:r>
      <w:r>
        <w:rPr>
          <w:i/>
          <w:iCs/>
        </w:rPr>
        <w:t xml:space="preserve">Escherichia coli</w:t>
      </w:r>
      <w:r>
        <w:t xml:space="preserve">,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w:t>
      </w:r>
      <w:r>
        <w:rPr>
          <w:i/>
          <w:iCs/>
        </w:rPr>
        <w:t xml:space="preserve">5</w:t>
      </w:r>
      <w:r>
        <w:t xml:space="preserve"> </w:t>
      </w:r>
      <w:r>
        <w:t xml:space="preserve">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bookmarkStart w:id="170" w:name="fig-HfrCross"/>
      <w:r>
        <w:drawing>
          <wp:inline>
            <wp:extent cx="5334000" cy="3000375"/>
            <wp:effectExtent b="0" l="0" r="0" t="0"/>
            <wp:docPr descr="Schematic illustration of the cross between Hfr donor and recipient strains" title="" id="168" name="Picture"/>
            <a:graphic>
              <a:graphicData uri="http://schemas.openxmlformats.org/drawingml/2006/picture">
                <pic:pic>
                  <pic:nvPicPr>
                    <pic:cNvPr descr="images/HfrCross.png" id="169" name="Picture"/>
                    <pic:cNvPicPr>
                      <a:picLocks noChangeArrowheads="1" noChangeAspect="1"/>
                    </pic:cNvPicPr>
                  </pic:nvPicPr>
                  <pic:blipFill>
                    <a:blip r:embed="rId167"/>
                    <a:stretch>
                      <a:fillRect/>
                    </a:stretch>
                  </pic:blipFill>
                  <pic:spPr bwMode="auto">
                    <a:xfrm>
                      <a:off x="0" y="0"/>
                      <a:ext cx="5334000" cy="3000375"/>
                    </a:xfrm>
                    <a:prstGeom prst="rect">
                      <a:avLst/>
                    </a:prstGeom>
                    <a:noFill/>
                    <a:ln w="9525">
                      <a:noFill/>
                      <a:headEnd/>
                      <a:tailEnd/>
                    </a:ln>
                  </pic:spPr>
                </pic:pic>
              </a:graphicData>
            </a:graphic>
          </wp:inline>
        </w:drawing>
      </w:r>
      <w:bookmarkEnd w:id="170"/>
      <w:r>
        <w:t xml:space="preserve"> </w:t>
      </w:r>
      <w:r>
        <w:t xml:space="preserve">When the Hfr and F- strains are mixed together, mating occurs and conjugation tubes are formed between strains (</w:t>
      </w:r>
      <w:r>
        <w:rPr>
          <w:b/>
          <w:bCs/>
        </w:rPr>
        <w:t xml:space="preserve">?@fig-HfrCross</w:t>
      </w:r>
      <w:r>
        <w:t xml:space="preserve">).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w:t>
      </w:r>
      <w:r>
        <w:rPr>
          <w:i/>
          <w:iCs/>
        </w:rPr>
        <w:t xml:space="preserve">5</w:t>
      </w:r>
      <w:r>
        <w:t xml:space="preserve">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71"/>
    <w:bookmarkStart w:id="173" w:name="experiment-3-protocols"/>
    <w:p>
      <w:pPr>
        <w:pStyle w:val="Heading1"/>
      </w:pPr>
      <w:r>
        <w:t xml:space="preserve">30. Experiment 3 Protocols</w:t>
      </w:r>
    </w:p>
    <w:p>
      <w:pPr>
        <w:pStyle w:val="FirstParagraph"/>
      </w:pPr>
      <w:r>
        <w:t xml:space="preserve">You can view the protocols for experiment 3 below, or download it</w:t>
      </w:r>
      <w:r>
        <w:t xml:space="preserve"> </w:t>
      </w:r>
      <w:hyperlink r:id="rId172">
        <w:r>
          <w:rPr>
            <w:rStyle w:val="Hyperlink"/>
          </w:rPr>
          <w:t xml:space="preserve">here</w:t>
        </w:r>
      </w:hyperlink>
      <w:r>
        <w:t xml:space="preserve">.</w:t>
      </w:r>
    </w:p>
    <w:bookmarkEnd w:id="173"/>
    <w:bookmarkStart w:id="174" w:name="experiment-3---data-analysis"/>
    <w:p>
      <w:pPr>
        <w:pStyle w:val="Heading1"/>
      </w:pPr>
      <w:r>
        <w:t xml:space="preserve">31. Experiment 3 - Data Analysis</w:t>
      </w:r>
    </w:p>
    <w:bookmarkEnd w:id="174"/>
    <w:bookmarkStart w:id="178" w:name="sec-data3"/>
    <w:p>
      <w:pPr>
        <w:pStyle w:val="Heading1"/>
      </w:pPr>
      <w:r>
        <w:t xml:space="preserve">32. Experiment 3 - Data Analysis</w:t>
      </w:r>
    </w:p>
    <w:p>
      <w:pPr>
        <w:pStyle w:val="FirstParagraph"/>
      </w:pPr>
      <w:r>
        <w:t xml:space="preserve">Data you will use for this</w:t>
      </w:r>
      <w:r>
        <w:t xml:space="preserve"> </w:t>
      </w:r>
      <w:hyperlink w:anchor="sec-task3A">
        <w:r>
          <w:rPr>
            <w:rStyle w:val="Hyperlink"/>
          </w:rPr>
          <w:t xml:space="preserve">Section 32.1</w:t>
        </w:r>
      </w:hyperlink>
      <w:r>
        <w:t xml:space="preserve"> </w:t>
      </w:r>
      <w:r>
        <w:t xml:space="preserve">and</w:t>
      </w:r>
      <w:r>
        <w:t xml:space="preserve"> </w:t>
      </w:r>
      <w:hyperlink w:anchor="sec-task3B">
        <w:r>
          <w:rPr>
            <w:rStyle w:val="Hyperlink"/>
          </w:rPr>
          <w:t xml:space="preserve">Section 32.2</w:t>
        </w:r>
      </w:hyperlink>
      <w:r>
        <w:t xml:space="preserve">:</w:t>
      </w:r>
    </w:p>
    <w:p>
      <w:pPr>
        <w:pStyle w:val="Compact"/>
        <w:numPr>
          <w:ilvl w:val="0"/>
          <w:numId w:val="1049"/>
        </w:numPr>
      </w:pPr>
      <w:r>
        <w:t xml:space="preserve">Plate counts from the interrupted mating experiment you performed in week 6 (your data; the plates you counted in week 8)</w:t>
      </w:r>
    </w:p>
    <w:p>
      <w:pPr>
        <w:pStyle w:val="Compact"/>
        <w:numPr>
          <w:ilvl w:val="0"/>
          <w:numId w:val="1049"/>
        </w:numPr>
      </w:pPr>
      <w:r>
        <w:t xml:space="preserve">Plate counts from a similar interrupted mating experiment that included the Tn mutant strains (available for you on MyPlace)</w:t>
      </w:r>
    </w:p>
    <w:bookmarkStart w:id="175" w:name="sec-task3A"/>
    <w:p>
      <w:pPr>
        <w:pStyle w:val="Heading2"/>
      </w:pPr>
      <w:r>
        <w:t xml:space="preserve">32.1 TASK 3A. Data analysis (interrupted mating)</w:t>
      </w:r>
    </w:p>
    <w:p>
      <w:pPr>
        <w:pStyle w:val="Compact"/>
        <w:numPr>
          <w:ilvl w:val="0"/>
          <w:numId w:val="1050"/>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a table with the number of colonies that you have on each plate.</w:t>
      </w:r>
    </w:p>
    <w:bookmarkEnd w:id="175"/>
    <w:bookmarkStart w:id="177" w:name="sec-task3B"/>
    <w:p>
      <w:pPr>
        <w:pStyle w:val="Heading2"/>
      </w:pPr>
      <w:r>
        <w:t xml:space="preserve">32.2 TASK 3B. Mapping your mutation to the</w:t>
      </w:r>
      <w:r>
        <w:t xml:space="preserve"> </w:t>
      </w:r>
      <w:r>
        <w:rPr>
          <w:i/>
          <w:iCs/>
        </w:rPr>
        <w:t xml:space="preserve">E. coli</w:t>
      </w:r>
      <w:r>
        <w:t xml:space="preserve"> </w:t>
      </w:r>
      <w:r>
        <w:t xml:space="preserve">chromosome</w:t>
      </w:r>
    </w:p>
    <w:p>
      <w:pPr>
        <w:numPr>
          <w:ilvl w:val="0"/>
          <w:numId w:val="1051"/>
        </w:numPr>
      </w:pPr>
      <w:r>
        <w:t xml:space="preserve">Using the data from</w:t>
      </w:r>
      <w:r>
        <w:t xml:space="preserve"> </w:t>
      </w:r>
      <w:hyperlink w:anchor="sec-task3A">
        <w:r>
          <w:rPr>
            <w:rStyle w:val="Hyperlink"/>
          </w:rPr>
          <w:t xml:space="preserve">Section 32.1</w:t>
        </w:r>
      </w:hyperlink>
      <w:r>
        <w:t xml:space="preserve">, draw a map of the</w:t>
      </w:r>
      <w:r>
        <w:t xml:space="preserve"> </w:t>
      </w:r>
      <w:r>
        <w:rPr>
          <w:i/>
          <w:iCs/>
        </w:rPr>
        <w:t xml:space="preserve">E. coli</w:t>
      </w:r>
      <w:r>
        <w:t xml:space="preserve"> </w:t>
      </w:r>
      <w:r>
        <w:t xml:space="preserve">chromosome, taking into account that it is circular and 100 minutes long.</w:t>
      </w:r>
    </w:p>
    <w:p>
      <w:pPr>
        <w:numPr>
          <w:ilvl w:val="0"/>
          <w:numId w:val="1051"/>
        </w:numPr>
      </w:pPr>
      <w:r>
        <w:t xml:space="preserve">Map the location of each auxotrophic mutation as well as the tetracycline resistant mutation (Tn5).</w:t>
      </w:r>
    </w:p>
    <w:p>
      <w:pPr>
        <w:numPr>
          <w:ilvl w:val="0"/>
          <w:numId w:val="1051"/>
        </w:numPr>
      </w:pPr>
      <w:r>
        <w:t xml:space="preserve">Analyse the region of the chromosome you have identified using</w:t>
      </w:r>
      <w:r>
        <w:t xml:space="preserve"> </w:t>
      </w:r>
      <w:hyperlink r:id="rId176">
        <w:r>
          <w:rPr>
            <w:rStyle w:val="Hyperlink"/>
          </w:rPr>
          <w:t xml:space="preserve">EcoCyc</w:t>
        </w:r>
      </w:hyperlink>
      <w:r>
        <w:t xml:space="preserve"> </w:t>
      </w:r>
      <w:r>
        <w:t xml:space="preserve">or a similar database.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2"/>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2"/>
              </w:numPr>
            </w:pPr>
            <w:r>
              <w:t xml:space="preserve">Are there any other techniques you could use to identify the location of the Tn</w:t>
            </w:r>
            <w:r>
              <w:rPr>
                <w:i/>
                <w:iCs/>
              </w:rPr>
              <w:t xml:space="preserve">5</w:t>
            </w:r>
            <w:r>
              <w:t xml:space="preserve"> </w:t>
            </w:r>
            <w:r>
              <w:t xml:space="preserve">insertions?</w:t>
            </w:r>
          </w:p>
          <w:p>
            <w:pPr>
              <w:numPr>
                <w:ilvl w:val="0"/>
                <w:numId w:val="1052"/>
              </w:numPr>
            </w:pPr>
            <w:r>
              <w:t xml:space="preserve">What conclusions can you draw based upon the experiments performed in this lab?</w:t>
            </w:r>
          </w:p>
          <w:p>
            <w:pPr>
              <w:numPr>
                <w:ilvl w:val="0"/>
                <w:numId w:val="1052"/>
              </w:numPr>
            </w:pPr>
            <w:r>
              <w:t xml:space="preserve">What further experiments might you do (and why?)</w:t>
            </w:r>
          </w:p>
          <w:p>
            <w:pPr>
              <w:numPr>
                <w:ilvl w:val="0"/>
                <w:numId w:val="1052"/>
              </w:numPr>
            </w:pPr>
            <w:r>
              <w:t xml:space="preserve">How does your experiment relate to other observations of antibiotic resistance genes being transferred between bacteria by horizontal gene transfer?</w:t>
            </w:r>
          </w:p>
          <w:p/>
        </w:tc>
      </w:tr>
    </w:tbl>
    <w:bookmarkEnd w:id="177"/>
    <w:bookmarkEnd w:id="178"/>
    <w:bookmarkStart w:id="181" w:name="X91f6e6dd546528cc7cba6ac658aa9c8366de79c"/>
    <w:p>
      <w:pPr>
        <w:pStyle w:val="Heading1"/>
      </w:pPr>
      <w:r>
        <w:t xml:space="preserve">33. Additional Resources/Further Reading for Experiment 3</w:t>
      </w:r>
    </w:p>
    <w:p>
      <w:pPr>
        <w:numPr>
          <w:ilvl w:val="0"/>
          <w:numId w:val="1053"/>
        </w:numPr>
      </w:pPr>
      <w:hyperlink r:id="rId179">
        <w:r>
          <w:rPr>
            <w:rStyle w:val="Hyperlink"/>
          </w:rPr>
          <w:t xml:space="preserve">Bacterial Gene Mapping using Conjugation</w:t>
        </w:r>
      </w:hyperlink>
      <w:r>
        <w:t xml:space="preserve"> </w:t>
      </w:r>
      <w:r>
        <w:t xml:space="preserve">- a very helpful demonstration using string</w:t>
      </w:r>
    </w:p>
    <w:p>
      <w:pPr>
        <w:numPr>
          <w:ilvl w:val="0"/>
          <w:numId w:val="1053"/>
        </w:numPr>
      </w:pPr>
      <w:hyperlink r:id="rId180">
        <w:r>
          <w:rPr>
            <w:rStyle w:val="Hyperlink"/>
          </w:rPr>
          <w:t xml:space="preserve">Genetic Recombination and Gene Mapping</w:t>
        </w:r>
      </w:hyperlink>
      <w:r>
        <w:t xml:space="preserve"> </w:t>
      </w:r>
      <w:r>
        <w:t xml:space="preserve">- example using</w:t>
      </w:r>
      <w:r>
        <w:t xml:space="preserve"> </w:t>
      </w:r>
      <w:r>
        <w:rPr>
          <w:i/>
          <w:iCs/>
        </w:rPr>
        <w:t xml:space="preserve">Drosophila</w:t>
      </w:r>
      <w:r>
        <w:t xml:space="preserve">, but still a helpful explanation</w:t>
      </w:r>
    </w:p>
    <w:p>
      <w:pPr>
        <w:numPr>
          <w:ilvl w:val="0"/>
          <w:numId w:val="1053"/>
        </w:numPr>
      </w:pPr>
      <w:r>
        <w:t xml:space="preserve">Berlyn MK. Linkage map of</w:t>
      </w:r>
      <w:r>
        <w:t xml:space="preserve"> </w:t>
      </w:r>
      <w:r>
        <w:rPr>
          <w:i/>
          <w:iCs/>
        </w:rPr>
        <w:t xml:space="preserve">Escherichia coli</w:t>
      </w:r>
      <w:r>
        <w:t xml:space="preserve"> </w:t>
      </w:r>
      <w:r>
        <w:t xml:space="preserve">K-12, edition 10: the traditional map. Microbiol Mol Biol Rev. 1998;62(3):814-984. doi:10.1128/MMBR.62.3.814-984.1998</w:t>
      </w:r>
    </w:p>
    <w:bookmarkEnd w:id="181"/>
    <w:bookmarkStart w:id="187" w:name="experiment-4-aims-and-overview"/>
    <w:p>
      <w:pPr>
        <w:pStyle w:val="Heading1"/>
      </w:pPr>
      <w:r>
        <w:t xml:space="preserve">34. Experiment 4 Aims and Overview</w:t>
      </w:r>
    </w:p>
    <w:bookmarkStart w:id="182" w:name="aims-3"/>
    <w:p>
      <w:pPr>
        <w:pStyle w:val="Heading2"/>
      </w:pPr>
      <w:r>
        <w:t xml:space="preserve">34.1 Aims</w:t>
      </w:r>
    </w:p>
    <w:p>
      <w:pPr>
        <w:pStyle w:val="Compact"/>
        <w:numPr>
          <w:ilvl w:val="0"/>
          <w:numId w:val="1054"/>
        </w:numPr>
      </w:pPr>
      <w:r>
        <w:t xml:space="preserve">To understand how mutagenesis can be used in the laboratory to understand the phenotype of a microorganism</w:t>
      </w:r>
    </w:p>
    <w:bookmarkEnd w:id="182"/>
    <w:bookmarkStart w:id="183" w:name="learning-outcomes-3"/>
    <w:p>
      <w:pPr>
        <w:pStyle w:val="Heading2"/>
      </w:pPr>
      <w:r>
        <w:t xml:space="preserve">34.2 Learning Outcomes</w:t>
      </w:r>
    </w:p>
    <w:p>
      <w:pPr>
        <w:pStyle w:val="FirstParagraph"/>
      </w:pPr>
      <w:r>
        <w:t xml:space="preserve">At the end of this laboratory session, you should understand:</w:t>
      </w:r>
    </w:p>
    <w:p>
      <w:pPr>
        <w:numPr>
          <w:ilvl w:val="0"/>
          <w:numId w:val="1055"/>
        </w:numPr>
      </w:pPr>
      <w:r>
        <w:t xml:space="preserve">How transposon mutagenesis can affect the phenotype of an organism.</w:t>
      </w:r>
    </w:p>
    <w:p>
      <w:pPr>
        <w:numPr>
          <w:ilvl w:val="0"/>
          <w:numId w:val="1055"/>
        </w:numPr>
      </w:pPr>
      <w:r>
        <w:t xml:space="preserve">How to identify the insertion site of a transposon.</w:t>
      </w:r>
    </w:p>
    <w:p>
      <w:pPr>
        <w:numPr>
          <w:ilvl w:val="0"/>
          <w:numId w:val="1055"/>
        </w:numPr>
      </w:pPr>
      <w:r>
        <w:t xml:space="preserve">How to predict the effects of a transposon insertion.</w:t>
      </w:r>
    </w:p>
    <w:p>
      <w:pPr>
        <w:numPr>
          <w:ilvl w:val="0"/>
          <w:numId w:val="1055"/>
        </w:numPr>
      </w:pPr>
      <w:r>
        <w:t xml:space="preserve">How to correlate physical mapping data (interrupted mating) and sequencing data (plasmid rescue)</w:t>
      </w:r>
    </w:p>
    <w:bookmarkEnd w:id="183"/>
    <w:bookmarkStart w:id="184" w:name="competencies-3"/>
    <w:p>
      <w:pPr>
        <w:pStyle w:val="Heading2"/>
      </w:pPr>
      <w:r>
        <w:t xml:space="preserve">34.3 Competencies</w:t>
      </w:r>
    </w:p>
    <w:p>
      <w:pPr>
        <w:numPr>
          <w:ilvl w:val="0"/>
          <w:numId w:val="1056"/>
        </w:numPr>
      </w:pPr>
      <w:r>
        <w:t xml:space="preserve">Performing basic lab calculations</w:t>
      </w:r>
    </w:p>
    <w:p>
      <w:pPr>
        <w:numPr>
          <w:ilvl w:val="0"/>
          <w:numId w:val="1056"/>
        </w:numPr>
      </w:pPr>
      <w:r>
        <w:t xml:space="preserve">Good laboratory practice (pipetting, labelling, handling DNA, gel electrophoresis)</w:t>
      </w:r>
    </w:p>
    <w:p>
      <w:pPr>
        <w:numPr>
          <w:ilvl w:val="0"/>
          <w:numId w:val="1056"/>
        </w:numPr>
      </w:pPr>
      <w:r>
        <w:t xml:space="preserve">Performing data analysis</w:t>
      </w:r>
    </w:p>
    <w:p>
      <w:pPr>
        <w:numPr>
          <w:ilvl w:val="0"/>
          <w:numId w:val="1056"/>
        </w:numPr>
      </w:pPr>
      <w:r>
        <w:t xml:space="preserve">Formulating hypotheses</w:t>
      </w:r>
    </w:p>
    <w:p>
      <w:pPr>
        <w:numPr>
          <w:ilvl w:val="0"/>
          <w:numId w:val="1056"/>
        </w:numPr>
      </w:pPr>
      <w:r>
        <w:t xml:space="preserve">Teamwork</w:t>
      </w:r>
    </w:p>
    <w:p>
      <w:pPr>
        <w:numPr>
          <w:ilvl w:val="0"/>
          <w:numId w:val="1056"/>
        </w:numPr>
      </w:pPr>
      <w:r>
        <w:t xml:space="preserve">Keeping detailed and accurate records</w:t>
      </w:r>
    </w:p>
    <w:bookmarkEnd w:id="184"/>
    <w:bookmarkStart w:id="185" w:name="importance-3"/>
    <w:p>
      <w:pPr>
        <w:pStyle w:val="Heading2"/>
      </w:pPr>
      <w:r>
        <w:t xml:space="preserve">34.4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We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We have also isolated</w:t>
      </w:r>
      <w:r>
        <w:t xml:space="preserve"> </w:t>
      </w:r>
      <w:r>
        <w:rPr>
          <w:i/>
          <w:iCs/>
        </w:rPr>
        <w:t xml:space="preserve">E. coli</w:t>
      </w:r>
      <w:r>
        <w:t xml:space="preserve"> </w:t>
      </w:r>
      <w:r>
        <w:t xml:space="preserve">strains that are resistant to this particular antibiotic and, in the previous labs, you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w:t>
      </w:r>
      <w:r>
        <w:rPr>
          <w:i/>
          <w:iCs/>
        </w:rPr>
        <w:t xml:space="preserve">5</w:t>
      </w:r>
      <w:r>
        <w:t xml:space="preserve"> </w:t>
      </w:r>
      <w:r>
        <w:t xml:space="preserve">transposon in your mutant strain. You will map the plasmid by using restriction digest (Protocol 4.1 and Task 4A).</w:t>
      </w:r>
    </w:p>
    <w:p>
      <w:pPr>
        <w:pStyle w:val="BodyText"/>
      </w:pPr>
      <w:r>
        <w:t xml:space="preserve">To</w:t>
      </w:r>
      <w:r>
        <w:t xml:space="preserve"> </w:t>
      </w:r>
      <w:r>
        <w:t xml:space="preserve">“rescue”</w:t>
      </w:r>
      <w:r>
        <w:t xml:space="preserve"> </w:t>
      </w:r>
      <w:r>
        <w:t xml:space="preserve">the Tn</w:t>
      </w:r>
      <w:r>
        <w:rPr>
          <w:i/>
          <w:iCs/>
        </w:rPr>
        <w:t xml:space="preserve">5</w:t>
      </w:r>
      <w:r>
        <w:t xml:space="preserve"> </w:t>
      </w:r>
      <w:r>
        <w:t xml:space="preserve">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w:t>
      </w:r>
      <w:r>
        <w:rPr>
          <w:i/>
          <w:iCs/>
        </w:rPr>
        <w:t xml:space="preserve">5</w:t>
      </w:r>
      <w:r>
        <w:t xml:space="preserve"> </w:t>
      </w:r>
      <w:r>
        <w:t xml:space="preserve">sequence.</w:t>
      </w:r>
    </w:p>
    <w:p>
      <w:pPr>
        <w:pStyle w:val="BodyText"/>
      </w:pPr>
      <w:r>
        <w:t xml:space="preserve">Once we have verified that the isolated plasmids contain the</w:t>
      </w:r>
      <w:r>
        <w:t xml:space="preserve"> </w:t>
      </w:r>
      <w:r>
        <w:t xml:space="preserve">“rescued”</w:t>
      </w:r>
      <w:r>
        <w:t xml:space="preserve"> </w:t>
      </w:r>
      <w:r>
        <w:t xml:space="preserve">Tn</w:t>
      </w:r>
      <w:r>
        <w:rPr>
          <w:i/>
          <w:iCs/>
        </w:rPr>
        <w:t xml:space="preserve">5</w:t>
      </w:r>
      <w:r>
        <w:t xml:space="preserve">s, you will then analyse DNA sequences derived from the plasmid (Task 4B) to identify the insertion site and generate a hypothesis as to why your mutant strain is resistant to the antibiotic (Task 4C).</w:t>
      </w:r>
    </w:p>
    <w:bookmarkEnd w:id="185"/>
    <w:bookmarkStart w:id="186" w:name="overview-of-experiment-4"/>
    <w:p>
      <w:pPr>
        <w:pStyle w:val="Heading2"/>
      </w:pPr>
      <w:r>
        <w:t xml:space="preserve">34.5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86"/>
    <w:bookmarkEnd w:id="187"/>
    <w:bookmarkStart w:id="189" w:name="experiment-4---background"/>
    <w:p>
      <w:pPr>
        <w:pStyle w:val="Heading1"/>
      </w:pPr>
      <w:r>
        <w:t xml:space="preserve">35. Experiment 4 - Background</w:t>
      </w:r>
    </w:p>
    <w:bookmarkStart w:id="188" w:name="sec-bkgd4"/>
    <w:p>
      <w:pPr>
        <w:pStyle w:val="Heading2"/>
      </w:pPr>
      <w:r>
        <w:t xml:space="preserve">35.1 Experiment 4 - Background</w:t>
      </w:r>
    </w:p>
    <w:p>
      <w:pPr>
        <w:pStyle w:val="FirstParagraph"/>
      </w:pPr>
      <w:r>
        <w:t xml:space="preserve">A fundamental difficulty in biology lies in our ability to link genotype and phenotype: for example, as in this experiment where we will try to link the known phenotype (antibiotic resistance) with the unknown mutation causing the phenotype (location of the Tn</w:t>
      </w:r>
      <w:r>
        <w:rPr>
          <w:i/>
          <w:iCs/>
        </w:rPr>
        <w:t xml:space="preserve">5</w:t>
      </w:r>
      <w:r>
        <w:t xml:space="preserve"> </w:t>
      </w:r>
      <w:r>
        <w:t xml:space="preserve">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w:t>
      </w:r>
      <w:r>
        <w:rPr>
          <w:i/>
          <w:iCs/>
        </w:rPr>
        <w:t xml:space="preserve">5</w:t>
      </w:r>
      <w:r>
        <w:t xml:space="preserve"> </w:t>
      </w:r>
      <w:r>
        <w:t xml:space="preserve">inserted into the chromosome of the mutant strains. This technique uses restriction enzymes that randomly cut chromosomal DNA isolated from the mutant bacteria; this is then ligated into a vector, and</w:t>
      </w:r>
      <w:r>
        <w:t xml:space="preserve"> </w:t>
      </w:r>
      <w:r>
        <w:rPr>
          <w:i/>
          <w:iCs/>
        </w:rPr>
        <w:t xml:space="preserve">E. coli</w:t>
      </w:r>
      <w:r>
        <w:t xml:space="preserve"> </w:t>
      </w:r>
      <w:r>
        <w:t xml:space="preserve">DH5α cells are transformed with this ligation mixture. Transformed cells which carry the region of the chromosome carrying the Tn</w:t>
      </w:r>
      <w:r>
        <w:rPr>
          <w:i/>
          <w:iCs/>
        </w:rPr>
        <w:t xml:space="preserve">5</w:t>
      </w:r>
      <w:r>
        <w:t xml:space="preserve"> </w:t>
      </w:r>
      <w:r>
        <w:t xml:space="preserve">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88"/>
    <w:bookmarkEnd w:id="189"/>
    <w:bookmarkStart w:id="191" w:name="experiment-4-protocols"/>
    <w:p>
      <w:pPr>
        <w:pStyle w:val="Heading1"/>
      </w:pPr>
      <w:r>
        <w:t xml:space="preserve">36. Experiment 4 Protocols</w:t>
      </w:r>
    </w:p>
    <w:p>
      <w:pPr>
        <w:pStyle w:val="FirstParagraph"/>
      </w:pPr>
      <w:r>
        <w:t xml:space="preserve">You can view the protocols for experiment 4 below, or download it</w:t>
      </w:r>
      <w:r>
        <w:t xml:space="preserve"> </w:t>
      </w:r>
      <w:hyperlink r:id="rId190">
        <w:r>
          <w:rPr>
            <w:rStyle w:val="Hyperlink"/>
          </w:rPr>
          <w:t xml:space="preserve">here</w:t>
        </w:r>
      </w:hyperlink>
      <w:r>
        <w:t xml:space="preserve">.</w:t>
      </w:r>
    </w:p>
    <w:bookmarkEnd w:id="191"/>
    <w:bookmarkStart w:id="192" w:name="experiment-4---data-analysis"/>
    <w:p>
      <w:pPr>
        <w:pStyle w:val="Heading1"/>
      </w:pPr>
      <w:r>
        <w:t xml:space="preserve">37. Experiment 4 - Data Analysis</w:t>
      </w:r>
    </w:p>
    <w:bookmarkEnd w:id="192"/>
    <w:bookmarkStart w:id="197" w:name="sec-data4"/>
    <w:p>
      <w:pPr>
        <w:pStyle w:val="Heading1"/>
      </w:pPr>
      <w:r>
        <w:t xml:space="preserve">38. Experiment 4 - Data Analysis</w:t>
      </w:r>
    </w:p>
    <w:p>
      <w:pPr>
        <w:pStyle w:val="FirstParagraph"/>
      </w:pPr>
      <w:r>
        <w:t xml:space="preserve">You have 2 sets of data to analyse for Experiment 4:</w:t>
      </w:r>
    </w:p>
    <w:p>
      <w:pPr>
        <w:numPr>
          <w:ilvl w:val="0"/>
          <w:numId w:val="1057"/>
        </w:numPr>
      </w:pPr>
      <w:r>
        <w:t xml:space="preserve">The images of the agarose gels you ran in the lab (available for you on MyPlace) - You will use these data in</w:t>
      </w:r>
      <w:r>
        <w:t xml:space="preserve"> </w:t>
      </w:r>
      <w:hyperlink w:anchor="sec-task4A">
        <w:r>
          <w:rPr>
            <w:rStyle w:val="Hyperlink"/>
          </w:rPr>
          <w:t xml:space="preserve">Section 38.1</w:t>
        </w:r>
      </w:hyperlink>
      <w:r>
        <w:t xml:space="preserve">.</w:t>
      </w:r>
    </w:p>
    <w:p>
      <w:pPr>
        <w:numPr>
          <w:ilvl w:val="0"/>
          <w:numId w:val="1057"/>
        </w:numPr>
      </w:pPr>
      <w:r>
        <w:t xml:space="preserve">Sequence data from these plasmids (available for you on MyPlace) - You will use these data in workshop 3.</w:t>
      </w:r>
    </w:p>
    <w:bookmarkStart w:id="196" w:name="sec-task4A"/>
    <w:p>
      <w:pPr>
        <w:pStyle w:val="Heading2"/>
      </w:pPr>
      <w:r>
        <w:t xml:space="preserve">38.1 TASK 4A. Plasmid rescue</w:t>
      </w:r>
    </w:p>
    <w:p>
      <w:pPr>
        <w:numPr>
          <w:ilvl w:val="0"/>
          <w:numId w:val="1058"/>
        </w:numPr>
      </w:pPr>
      <w:r>
        <w:t xml:space="preserve">The data from the lab (your agarose gel pictures) will be made available for you on MyPlace. Download the image of your gel, and label the lanes correctly.</w:t>
      </w:r>
    </w:p>
    <w:p>
      <w:pPr>
        <w:numPr>
          <w:ilvl w:val="0"/>
          <w:numId w:val="1058"/>
        </w:numPr>
      </w:pPr>
      <w:r>
        <w:t xml:space="preserve">Use the DNA ladder to estimate the size of the bands from your restriction digests (either by eye, or by using the DNA ladder to generate a standard curve of DNA size vs. distance migrated).</w:t>
      </w:r>
    </w:p>
    <w:p>
      <w:pPr>
        <w:numPr>
          <w:ilvl w:val="0"/>
          <w:numId w:val="1058"/>
        </w:numPr>
      </w:pPr>
      <w:r>
        <w:t xml:space="preserve">Draw a map of the plasmid, including all known restriction sites and any other pertinent information (such as the location of the Tn</w:t>
      </w:r>
      <w:r>
        <w:rPr>
          <w:i/>
          <w:iCs/>
        </w:rPr>
        <w:t xml:space="preserve">5</w:t>
      </w:r>
      <w:r>
        <w:t xml:space="preserve">), keeping in mind that the plasmid is circular.</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93" name="Picture"/>
                  <a:graphic>
                    <a:graphicData uri="http://schemas.openxmlformats.org/drawingml/2006/picture">
                      <pic:pic>
                        <pic:nvPicPr>
                          <pic:cNvPr descr="/opt/quarto/share/formats/docx/tip.png" id="19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restriction mapping of a plasmid</w:t>
            </w:r>
          </w:p>
        </w:tc>
      </w:tr>
      <w:tr>
        <w:trPr>
          <w:cantSplit/>
        </w:trPr>
        <w:tc>
          <w:tcPr>
            <w:tcMar>
              <w:top w:w="108" w:type="dxa"/>
              <w:bottom w:w="108" w:type="dxa"/>
            </w:tcMar>
          </w:tcPr>
          <w:p>
            <w:pPr>
              <w:numPr>
                <w:ilvl w:val="0"/>
                <w:numId w:val="1059"/>
              </w:numPr>
            </w:pPr>
            <w:r>
              <w:t xml:space="preserve">Think logically - e.g., if a circular piece of DNA is cut once, how many bands will it produce? What if it is cut twice?</w:t>
            </w:r>
          </w:p>
          <w:p>
            <w:pPr>
              <w:numPr>
                <w:ilvl w:val="0"/>
                <w:numId w:val="1059"/>
              </w:numPr>
            </w:pPr>
            <w:r>
              <w:t xml:space="preserve">Keep the limits of agarose gel electrophoresis in mind - e.g., it may be difficult to precisely estimate band sizes in some cases, and/or you might have two or more bands that don’t resolve well (depending on your experiment and electrophoresis conditions)</w:t>
            </w:r>
          </w:p>
          <w:p>
            <w:pPr>
              <w:numPr>
                <w:ilvl w:val="0"/>
                <w:numId w:val="1059"/>
              </w:numPr>
            </w:pPr>
            <w:r>
              <w:t xml:space="preserve">Check out a</w:t>
            </w:r>
            <w:r>
              <w:t xml:space="preserve"> </w:t>
            </w:r>
            <w:hyperlink r:id="rId195">
              <w:r>
                <w:rPr>
                  <w:rStyle w:val="Hyperlink"/>
                </w:rPr>
                <w:t xml:space="preserve">worked example to see how someone else performs this task</w:t>
              </w:r>
            </w:hyperlink>
          </w:p>
          <w:p/>
        </w:tc>
      </w:tr>
    </w:tbl>
    <w:p>
      <w:pPr>
        <w:pStyle w:val="FirstParagraph"/>
      </w:pPr>
      <w:r>
        <w:t xml:space="preserve"> </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Experiment 4 Discussion Questions</w:t>
            </w:r>
          </w:p>
        </w:tc>
      </w:tr>
      <w:tr>
        <w:trPr>
          <w:cantSplit/>
        </w:trPr>
        <w:tc>
          <w:tcPr>
            <w:tcMar>
              <w:top w:w="108" w:type="dxa"/>
              <w:bottom w:w="108" w:type="dxa"/>
            </w:tcMar>
          </w:tcPr>
          <w:p>
            <w:pPr>
              <w:numPr>
                <w:ilvl w:val="0"/>
                <w:numId w:val="1060"/>
              </w:numPr>
            </w:pPr>
            <w:r>
              <w:t xml:space="preserve">We used plasmid rescue followed by sequencing to identify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 How effective was it compared to the mapping experiment you performed (Experiment 3)?</w:t>
            </w:r>
          </w:p>
          <w:p>
            <w:pPr>
              <w:numPr>
                <w:ilvl w:val="0"/>
                <w:numId w:val="1060"/>
              </w:numPr>
            </w:pPr>
            <w:r>
              <w:t xml:space="preserve">Are there any other techniques or methods you could use to identify the Tn location (instead of plasmid rescue and sequencing)?</w:t>
            </w:r>
          </w:p>
          <w:p>
            <w:pPr>
              <w:numPr>
                <w:ilvl w:val="0"/>
                <w:numId w:val="1060"/>
              </w:numPr>
            </w:pPr>
            <w:r>
              <w:t xml:space="preserve">What conclusions can you draw based upon the experiments performed in this lab?</w:t>
            </w:r>
          </w:p>
          <w:p>
            <w:pPr>
              <w:numPr>
                <w:ilvl w:val="0"/>
                <w:numId w:val="1060"/>
              </w:numPr>
            </w:pPr>
            <w:r>
              <w:t xml:space="preserve">What further experiments might you do (and why?)</w:t>
            </w:r>
          </w:p>
          <w:p/>
        </w:tc>
      </w:tr>
    </w:tbl>
    <w:bookmarkEnd w:id="196"/>
    <w:bookmarkEnd w:id="197"/>
    <w:bookmarkStart w:id="199" w:name="X87d1c92cdaa4bfc4a1397f03be225ead1a245a0"/>
    <w:p>
      <w:pPr>
        <w:pStyle w:val="Heading1"/>
      </w:pPr>
      <w:r>
        <w:t xml:space="preserve">39. Additional Resources/Further Reading for Experiment 4</w:t>
      </w:r>
    </w:p>
    <w:p>
      <w:pPr>
        <w:numPr>
          <w:ilvl w:val="0"/>
          <w:numId w:val="1061"/>
        </w:numPr>
      </w:pPr>
      <w:hyperlink r:id="rId195">
        <w:r>
          <w:rPr>
            <w:rStyle w:val="Hyperlink"/>
          </w:rPr>
          <w:t xml:space="preserve">Introduction to transposable elements (Susan Wessler lecture)</w:t>
        </w:r>
      </w:hyperlink>
    </w:p>
    <w:p>
      <w:pPr>
        <w:numPr>
          <w:ilvl w:val="0"/>
          <w:numId w:val="1061"/>
        </w:numPr>
      </w:pPr>
      <w:r>
        <w:t xml:space="preserve">Cain AK, Barquist L, Goodman AL, Paulsen IT, Parkhill J, van Opijnen T. A decade of advances in transposon-insertion sequencing. Nat Rev Genet. 2020;21(9):526-540. doi:10.1038/s41576-020-0244-x</w:t>
      </w:r>
    </w:p>
    <w:p>
      <w:pPr>
        <w:numPr>
          <w:ilvl w:val="0"/>
          <w:numId w:val="1061"/>
        </w:numPr>
      </w:pPr>
      <w:r>
        <w:t xml:space="preserve">Warner IA, Kok WJ, Martinelli N, Yang Z, Goodall ECA, Henderson I. Microbial Primer: Transposon directed insertion site sequencing (TraDIS): A high throughput method for linking genotype to phenotype. Microbiology (Reading). 2023;169(11):001385. doi:10.1099/mic.0.001385</w:t>
      </w:r>
    </w:p>
    <w:p>
      <w:pPr>
        <w:numPr>
          <w:ilvl w:val="0"/>
          <w:numId w:val="1061"/>
        </w:numPr>
      </w:pPr>
      <w:r>
        <w:t xml:space="preserve">Roberts RJ. How restriction enzymes became the workhorses of molecular biology. Proc Natl Acad Sci U S A. 2005;102(17):5905-5908. doi:10.1073/pnas.0500923102</w:t>
      </w:r>
    </w:p>
    <w:p>
      <w:pPr>
        <w:numPr>
          <w:ilvl w:val="0"/>
          <w:numId w:val="1061"/>
        </w:numPr>
      </w:pPr>
      <w:hyperlink r:id="rId198">
        <w:r>
          <w:rPr>
            <w:rStyle w:val="Hyperlink"/>
          </w:rPr>
          <w:t xml:space="preserve">REBASE The Restriction Enzyme Database</w:t>
        </w:r>
      </w:hyperlink>
    </w:p>
    <w:bookmarkEnd w:id="199"/>
    <w:bookmarkStart w:id="205" w:name="experiment-5-aims-and-overview"/>
    <w:p>
      <w:pPr>
        <w:pStyle w:val="Heading1"/>
      </w:pPr>
      <w:r>
        <w:t xml:space="preserve">40. Experiment 5 Aims and Overview</w:t>
      </w:r>
    </w:p>
    <w:bookmarkStart w:id="200" w:name="aims-4"/>
    <w:p>
      <w:pPr>
        <w:pStyle w:val="Heading2"/>
      </w:pPr>
      <w:r>
        <w:t xml:space="preserve">40.1 Aims</w:t>
      </w:r>
    </w:p>
    <w:p>
      <w:pPr>
        <w:pStyle w:val="Compact"/>
        <w:numPr>
          <w:ilvl w:val="0"/>
          <w:numId w:val="1062"/>
        </w:numPr>
      </w:pPr>
      <w:r>
        <w:t xml:space="preserve">To demonstrate the ability of some microorganisms to alter their cellular morphology in response to environmental stimuli.</w:t>
      </w:r>
    </w:p>
    <w:bookmarkEnd w:id="200"/>
    <w:bookmarkStart w:id="201" w:name="learning-outcomes-4"/>
    <w:p>
      <w:pPr>
        <w:pStyle w:val="Heading2"/>
      </w:pPr>
      <w:r>
        <w:t xml:space="preserve">40.2 Learning Outcomes</w:t>
      </w:r>
    </w:p>
    <w:p>
      <w:pPr>
        <w:pStyle w:val="FirstParagraph"/>
      </w:pPr>
      <w:r>
        <w:t xml:space="preserve">At the end of this laboratory session, you should understand:</w:t>
      </w:r>
    </w:p>
    <w:p>
      <w:pPr>
        <w:numPr>
          <w:ilvl w:val="0"/>
          <w:numId w:val="1063"/>
        </w:numPr>
      </w:pPr>
      <w:r>
        <w:t xml:space="preserve">How to visualise cells using a light microscope</w:t>
      </w:r>
    </w:p>
    <w:p>
      <w:pPr>
        <w:numPr>
          <w:ilvl w:val="0"/>
          <w:numId w:val="1063"/>
        </w:numPr>
      </w:pPr>
      <w:r>
        <w:t xml:space="preserve">How to use ImageJ to process and analyse microscopy data.</w:t>
      </w:r>
    </w:p>
    <w:p>
      <w:pPr>
        <w:numPr>
          <w:ilvl w:val="0"/>
          <w:numId w:val="1063"/>
        </w:numPr>
      </w:pPr>
      <w:r>
        <w:t xml:space="preserve">The process of</w:t>
      </w:r>
      <w:r>
        <w:t xml:space="preserve"> </w:t>
      </w:r>
      <w:r>
        <w:rPr>
          <w:i/>
          <w:iCs/>
        </w:rPr>
        <w:t xml:space="preserve">E. coli</w:t>
      </w:r>
      <w:r>
        <w:t xml:space="preserve"> </w:t>
      </w:r>
      <w:r>
        <w:t xml:space="preserve">filamentation.</w:t>
      </w:r>
    </w:p>
    <w:p>
      <w:pPr>
        <w:numPr>
          <w:ilvl w:val="0"/>
          <w:numId w:val="1063"/>
        </w:numPr>
      </w:pPr>
      <w:r>
        <w:t xml:space="preserve">The process of</w:t>
      </w:r>
      <w:r>
        <w:t xml:space="preserve"> </w:t>
      </w:r>
      <w:r>
        <w:rPr>
          <w:i/>
          <w:iCs/>
        </w:rPr>
        <w:t xml:space="preserve">Candida</w:t>
      </w:r>
      <w:r>
        <w:t xml:space="preserve"> </w:t>
      </w:r>
      <w:r>
        <w:t xml:space="preserve">filamentation.</w:t>
      </w:r>
    </w:p>
    <w:bookmarkEnd w:id="201"/>
    <w:bookmarkStart w:id="202" w:name="competencies-4"/>
    <w:p>
      <w:pPr>
        <w:pStyle w:val="Heading2"/>
      </w:pPr>
      <w:r>
        <w:t xml:space="preserve">40.3 Competencies</w:t>
      </w:r>
    </w:p>
    <w:p>
      <w:pPr>
        <w:numPr>
          <w:ilvl w:val="0"/>
          <w:numId w:val="1064"/>
        </w:numPr>
      </w:pPr>
      <w:r>
        <w:t xml:space="preserve">Good laboratory practice (microscopy)</w:t>
      </w:r>
    </w:p>
    <w:p>
      <w:pPr>
        <w:numPr>
          <w:ilvl w:val="0"/>
          <w:numId w:val="1064"/>
        </w:numPr>
      </w:pPr>
      <w:r>
        <w:t xml:space="preserve">Data analysis</w:t>
      </w:r>
    </w:p>
    <w:p>
      <w:pPr>
        <w:numPr>
          <w:ilvl w:val="0"/>
          <w:numId w:val="1064"/>
        </w:numPr>
      </w:pPr>
      <w:r>
        <w:t xml:space="preserve">Data presentation</w:t>
      </w:r>
    </w:p>
    <w:p>
      <w:pPr>
        <w:numPr>
          <w:ilvl w:val="0"/>
          <w:numId w:val="1064"/>
        </w:numPr>
      </w:pPr>
      <w:r>
        <w:t xml:space="preserve">Teamwork</w:t>
      </w:r>
    </w:p>
    <w:p>
      <w:pPr>
        <w:numPr>
          <w:ilvl w:val="0"/>
          <w:numId w:val="1064"/>
        </w:numPr>
      </w:pPr>
      <w:r>
        <w:t xml:space="preserve">Keeping detailed and accurate records</w:t>
      </w:r>
    </w:p>
    <w:bookmarkEnd w:id="202"/>
    <w:bookmarkStart w:id="203" w:name="importance-4"/>
    <w:p>
      <w:pPr>
        <w:pStyle w:val="Heading2"/>
      </w:pPr>
      <w:r>
        <w:t xml:space="preserve">40.4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w:t>
      </w:r>
      <w:r>
        <w:t xml:space="preserve"> </w:t>
      </w:r>
      <w:r>
        <w:rPr>
          <w:i/>
          <w:iCs/>
        </w:rPr>
        <w:t xml:space="preserve">Streptomyces</w:t>
      </w:r>
      <w:r>
        <w:t xml:space="preserve"> </w:t>
      </w:r>
      <w:r>
        <w:t xml:space="preserve">that produces a novel antibiotic that can kill</w:t>
      </w:r>
      <w:r>
        <w:t xml:space="preserve"> </w:t>
      </w:r>
      <w:r>
        <w:rPr>
          <w:i/>
          <w:iCs/>
        </w:rPr>
        <w:t xml:space="preserve">Escherichia coli</w:t>
      </w:r>
      <w:r>
        <w:t xml:space="preserve"> </w:t>
      </w:r>
      <w:r>
        <w:t xml:space="preserve">and other Gram-negative bacteria. In the previous labs, you isolated resistant</w:t>
      </w:r>
      <w:r>
        <w:t xml:space="preserve"> </w:t>
      </w:r>
      <w:r>
        <w:rPr>
          <w:i/>
          <w:iCs/>
        </w:rPr>
        <w:t xml:space="preserve">E. coli</w:t>
      </w:r>
      <w:r>
        <w:t xml:space="preserve"> </w:t>
      </w:r>
      <w:r>
        <w:t xml:space="preserve">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w:t>
      </w:r>
      <w:r>
        <w:rPr>
          <w:i/>
          <w:iCs/>
        </w:rPr>
        <w:t xml:space="preserve">Candida albicans</w:t>
      </w:r>
      <w:r>
        <w:t xml:space="preserve">). You will set up cultures with varying concentrations of Antibiotic X and examine the phenotype of antibiotic-treated cells (Protocols 5.1 and 5.2). For comparison’s sake, we have provided you with micrographs of antibiotic X-treated</w:t>
      </w:r>
      <w:r>
        <w:t xml:space="preserve"> </w:t>
      </w:r>
      <w:r>
        <w:rPr>
          <w:i/>
          <w:iCs/>
        </w:rPr>
        <w:t xml:space="preserve">E. coli</w:t>
      </w:r>
      <w:r>
        <w:t xml:space="preserve"> </w:t>
      </w:r>
      <w:r>
        <w:t xml:space="preserve">cells (</w:t>
      </w:r>
      <w:hyperlink w:anchor="sec-data5">
        <w:r>
          <w:rPr>
            <w:rStyle w:val="Hyperlink"/>
          </w:rPr>
          <w:t xml:space="preserve">Chapter 44</w:t>
        </w:r>
      </w:hyperlink>
      <w:r>
        <w:t xml:space="preserve">). You will look at a time course of the response of wild-type</w:t>
      </w:r>
      <w:r>
        <w:t xml:space="preserve"> </w:t>
      </w:r>
      <w:r>
        <w:rPr>
          <w:i/>
          <w:iCs/>
        </w:rPr>
        <w:t xml:space="preserve">E. coli</w:t>
      </w:r>
      <w:r>
        <w:t xml:space="preserve"> </w:t>
      </w:r>
      <w:r>
        <w:t xml:space="preserve">to the antibiotic, and also, will analyse the phenotype of your mutant</w:t>
      </w:r>
      <w:r>
        <w:t xml:space="preserve"> </w:t>
      </w:r>
      <w:r>
        <w:rPr>
          <w:i/>
          <w:iCs/>
        </w:rPr>
        <w:t xml:space="preserve">E. coli</w:t>
      </w:r>
      <w:r>
        <w:t xml:space="preserve"> </w:t>
      </w:r>
      <w:r>
        <w:t xml:space="preserve">strain treated with the antibiotic.</w:t>
      </w:r>
    </w:p>
    <w:bookmarkEnd w:id="203"/>
    <w:bookmarkStart w:id="204" w:name="overview-of-experiment-5"/>
    <w:p>
      <w:pPr>
        <w:pStyle w:val="Heading2"/>
      </w:pPr>
      <w:r>
        <w:t xml:space="preserve">40.5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w:t>
      </w:r>
      <w:r>
        <w:t xml:space="preserve"> </w:t>
      </w:r>
      <w:r>
        <w:rPr>
          <w:i/>
          <w:iCs/>
        </w:rPr>
        <w:t xml:space="preserve">E. coli</w:t>
      </w:r>
      <w:r>
        <w:t xml:space="preserve"> </w:t>
      </w:r>
      <w:r>
        <w:t xml:space="preserve">(posted on MyPlace for you) – Tasks 5A-C).</w:t>
      </w:r>
    </w:p>
    <w:bookmarkEnd w:id="204"/>
    <w:bookmarkEnd w:id="205"/>
    <w:bookmarkStart w:id="206" w:name="experiment-5---background"/>
    <w:p>
      <w:pPr>
        <w:pStyle w:val="Heading1"/>
      </w:pPr>
      <w:r>
        <w:t xml:space="preserve">41. Experiment 5 - Background</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206"/>
    <w:bookmarkStart w:id="208" w:name="experiment-5-protocols"/>
    <w:p>
      <w:pPr>
        <w:pStyle w:val="Heading1"/>
      </w:pPr>
      <w:r>
        <w:t xml:space="preserve">42. Experiment 5 Protocols</w:t>
      </w:r>
    </w:p>
    <w:p>
      <w:pPr>
        <w:pStyle w:val="FirstParagraph"/>
      </w:pPr>
      <w:r>
        <w:t xml:space="preserve">You can view the protocols for experiment 5 below, or download it</w:t>
      </w:r>
      <w:r>
        <w:t xml:space="preserve"> </w:t>
      </w:r>
      <w:hyperlink r:id="rId207">
        <w:r>
          <w:rPr>
            <w:rStyle w:val="Hyperlink"/>
          </w:rPr>
          <w:t xml:space="preserve">here</w:t>
        </w:r>
      </w:hyperlink>
      <w:r>
        <w:t xml:space="preserve">.</w:t>
      </w:r>
    </w:p>
    <w:bookmarkEnd w:id="208"/>
    <w:bookmarkStart w:id="209" w:name="experiment-5-data-analysis"/>
    <w:p>
      <w:pPr>
        <w:pStyle w:val="Heading1"/>
      </w:pPr>
      <w:r>
        <w:t xml:space="preserve">43. Experiment 5 Data Analysis</w:t>
      </w:r>
    </w:p>
    <w:bookmarkEnd w:id="209"/>
    <w:bookmarkStart w:id="214" w:name="sec-data5"/>
    <w:p>
      <w:pPr>
        <w:pStyle w:val="Heading1"/>
      </w:pPr>
      <w:r>
        <w:t xml:space="preserve">44. Experiment 5 - Data Analysis</w:t>
      </w:r>
    </w:p>
    <w:p>
      <w:pPr>
        <w:pStyle w:val="FirstParagraph"/>
      </w:pPr>
      <w:r>
        <w:t xml:space="preserve">In addition to the</w:t>
      </w:r>
      <w:r>
        <w:t xml:space="preserve"> </w:t>
      </w:r>
      <w:r>
        <w:rPr>
          <w:i/>
          <w:iCs/>
        </w:rPr>
        <w:t xml:space="preserve">Candida</w:t>
      </w:r>
      <w:r>
        <w:t xml:space="preserve"> </w:t>
      </w:r>
      <w:r>
        <w:t xml:space="preserve">experiment you performed in the lab, we have also grown</w:t>
      </w:r>
      <w:r>
        <w:t xml:space="preserve"> </w:t>
      </w:r>
      <w:r>
        <w:rPr>
          <w:i/>
          <w:iCs/>
        </w:rPr>
        <w:t xml:space="preserve">E. coli</w:t>
      </w:r>
      <w:r>
        <w:t xml:space="preserve"> </w:t>
      </w:r>
      <w:r>
        <w:t xml:space="preserve">cells (wild-type and antibiotic X-resistant) in the presence and absence of antibiotic X.</w:t>
      </w:r>
    </w:p>
    <w:p>
      <w:pPr>
        <w:pStyle w:val="BodyText"/>
      </w:pPr>
      <w:r>
        <w:t xml:space="preserve">You have 3 sets of data to analyse for Experiment 5:</w:t>
      </w:r>
    </w:p>
    <w:p>
      <w:pPr>
        <w:numPr>
          <w:ilvl w:val="0"/>
          <w:numId w:val="1065"/>
        </w:numPr>
      </w:pPr>
      <w:r>
        <w:t xml:space="preserve">antibiotic X-treated wild-type</w:t>
      </w:r>
      <w:r>
        <w:t xml:space="preserve"> </w:t>
      </w:r>
      <w:r>
        <w:rPr>
          <w:i/>
          <w:iCs/>
        </w:rPr>
        <w:t xml:space="preserve">E. coli</w:t>
      </w:r>
      <w:r>
        <w:t xml:space="preserve"> </w:t>
      </w:r>
      <w:r>
        <w:t xml:space="preserve">cells (TASK 5A)</w:t>
      </w:r>
    </w:p>
    <w:p>
      <w:pPr>
        <w:numPr>
          <w:ilvl w:val="0"/>
          <w:numId w:val="1065"/>
        </w:numPr>
      </w:pPr>
      <w:r>
        <w:t xml:space="preserve">a time course showing wild-type</w:t>
      </w:r>
      <w:r>
        <w:t xml:space="preserve"> </w:t>
      </w:r>
      <w:r>
        <w:rPr>
          <w:i/>
          <w:iCs/>
        </w:rPr>
        <w:t xml:space="preserve">E. coli</w:t>
      </w:r>
      <w:r>
        <w:t xml:space="preserve"> </w:t>
      </w:r>
      <w:r>
        <w:t xml:space="preserve">cells after antibiotic X treatment (TASK 5B)</w:t>
      </w:r>
    </w:p>
    <w:p>
      <w:pPr>
        <w:numPr>
          <w:ilvl w:val="0"/>
          <w:numId w:val="1065"/>
        </w:numPr>
      </w:pPr>
      <w:r>
        <w:t xml:space="preserve">mutant (antibiotic-resistant)</w:t>
      </w:r>
      <w:r>
        <w:t xml:space="preserve"> </w:t>
      </w:r>
      <w:r>
        <w:rPr>
          <w:i/>
          <w:iCs/>
        </w:rPr>
        <w:t xml:space="preserve">E. coli</w:t>
      </w:r>
      <w:r>
        <w:t xml:space="preserve"> </w:t>
      </w:r>
      <w:r>
        <w:t xml:space="preserve">cells treated with antibiotic X (TASK 5C)</w:t>
      </w:r>
    </w:p>
    <w:p>
      <w:pPr>
        <w:pStyle w:val="FirstParagraph"/>
      </w:pPr>
      <w:r>
        <w:t xml:space="preserve">TASK 5A-C. Microscopy of antibiotic-treated cells.</w:t>
      </w:r>
    </w:p>
    <w:p>
      <w:pPr>
        <w:pStyle w:val="Compact"/>
        <w:numPr>
          <w:ilvl w:val="0"/>
          <w:numId w:val="1066"/>
        </w:numPr>
      </w:pPr>
      <w:r>
        <w:t xml:space="preserve">You have been provided with a set of data for each task (available on MyPlace).</w:t>
      </w:r>
    </w:p>
    <w:p>
      <w:pPr>
        <w:pStyle w:val="Compact"/>
        <w:numPr>
          <w:ilvl w:val="0"/>
          <w:numId w:val="1066"/>
        </w:numPr>
      </w:pPr>
      <w:r>
        <w:t xml:space="preserve">You should also download the program ImageJ (instructions available on MyPlace).</w:t>
      </w:r>
    </w:p>
    <w:p>
      <w:pPr>
        <w:pStyle w:val="Compact"/>
        <w:numPr>
          <w:ilvl w:val="0"/>
          <w:numId w:val="1066"/>
        </w:numPr>
      </w:pPr>
      <w:r>
        <w:t xml:space="preserve">Open each image in ImageJ.</w:t>
      </w:r>
    </w:p>
    <w:p>
      <w:pPr>
        <w:pStyle w:val="Compact"/>
        <w:numPr>
          <w:ilvl w:val="0"/>
          <w:numId w:val="1066"/>
        </w:numPr>
      </w:pPr>
      <w:r>
        <w:t xml:space="preserve">You may wish to rotate or zoom to adjust the image.</w:t>
      </w:r>
    </w:p>
    <w:p>
      <w:pPr>
        <w:pStyle w:val="Compact"/>
        <w:numPr>
          <w:ilvl w:val="0"/>
          <w:numId w:val="1066"/>
        </w:numPr>
      </w:pPr>
      <w:r>
        <w:t xml:space="preserve">Set a scale bar.</w:t>
      </w:r>
    </w:p>
    <w:p>
      <w:pPr>
        <w:pStyle w:val="Compact"/>
        <w:numPr>
          <w:ilvl w:val="0"/>
          <w:numId w:val="1066"/>
        </w:numPr>
      </w:pPr>
      <w:r>
        <w:t xml:space="preserve">Measure cell lengths in μm.</w:t>
      </w:r>
    </w:p>
    <w:p>
      <w:pPr>
        <w:pStyle w:val="Compact"/>
        <w:numPr>
          <w:ilvl w:val="0"/>
          <w:numId w:val="1066"/>
        </w:numPr>
      </w:pPr>
      <w:r>
        <w:t xml:space="preserve">Determine the best way to present your data. Are any statistical tests needed? How will you format and present any images?</w:t>
      </w:r>
    </w:p>
    <w:p>
      <w:pPr>
        <w:pStyle w:val="Compact"/>
        <w:numPr>
          <w:ilvl w:val="0"/>
          <w:numId w:val="1066"/>
        </w:numPr>
      </w:pPr>
      <w:r>
        <w:t xml:space="preserve">How do these data compare with the data that you acquired in the lab?</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5 Discussion Questions</w:t>
            </w:r>
          </w:p>
        </w:tc>
      </w:tr>
      <w:tr>
        <w:trPr>
          <w:cantSplit/>
        </w:trPr>
        <w:tc>
          <w:tcPr>
            <w:tcMar>
              <w:top w:w="108" w:type="dxa"/>
              <w:bottom w:w="108" w:type="dxa"/>
            </w:tcMar>
          </w:tcPr>
          <w:p>
            <w:pPr>
              <w:numPr>
                <w:ilvl w:val="0"/>
                <w:numId w:val="1067"/>
              </w:numPr>
            </w:pPr>
            <w:r>
              <w:t xml:space="preserve">We used microscopy to determine the effect of the unknown antibiotic</w:t>
            </w:r>
            <w:r>
              <w:t xml:space="preserve"> </w:t>
            </w:r>
            <w:r>
              <w:t xml:space="preserve">“X”</w:t>
            </w:r>
            <w:r>
              <w:t xml:space="preserve"> </w:t>
            </w:r>
            <w:r>
              <w:t xml:space="preserve">on</w:t>
            </w:r>
            <w:r>
              <w:t xml:space="preserve"> </w:t>
            </w:r>
            <w:r>
              <w:rPr>
                <w:i/>
                <w:iCs/>
              </w:rPr>
              <w:t xml:space="preserve">Candida albicans</w:t>
            </w:r>
            <w:r>
              <w:t xml:space="preserve"> </w:t>
            </w:r>
            <w:r>
              <w:t xml:space="preserve">and on</w:t>
            </w:r>
            <w:r>
              <w:t xml:space="preserve"> </w:t>
            </w:r>
            <w:r>
              <w:rPr>
                <w:i/>
                <w:iCs/>
              </w:rPr>
              <w:t xml:space="preserve">Escherichia coli</w:t>
            </w:r>
            <w:r>
              <w:t xml:space="preserve"> </w:t>
            </w:r>
            <w:r>
              <w:t xml:space="preserve">strains (both wild-type</w:t>
            </w:r>
            <w:r>
              <w:t xml:space="preserve"> </w:t>
            </w:r>
            <w:r>
              <w:rPr>
                <w:i/>
                <w:iCs/>
              </w:rPr>
              <w:t xml:space="preserve">E. coli</w:t>
            </w:r>
            <w:r>
              <w:t xml:space="preserve"> </w:t>
            </w:r>
            <w:r>
              <w:t xml:space="preserve">and an X-resistant strain). What conclusion(s) can you draw based on the results of this experiment?</w:t>
            </w:r>
          </w:p>
          <w:p>
            <w:pPr>
              <w:numPr>
                <w:ilvl w:val="0"/>
                <w:numId w:val="1067"/>
              </w:numPr>
            </w:pPr>
            <w:r>
              <w:t xml:space="preserve">Are there any other techniques you could have used to determine the effect of antibiotic</w:t>
            </w:r>
            <w:r>
              <w:t xml:space="preserve"> </w:t>
            </w:r>
            <w:r>
              <w:t xml:space="preserve">“X”</w:t>
            </w:r>
            <w:r>
              <w:t xml:space="preserve"> </w:t>
            </w:r>
            <w:r>
              <w:t xml:space="preserve">on</w:t>
            </w:r>
            <w:r>
              <w:t xml:space="preserve"> </w:t>
            </w:r>
            <w:r>
              <w:rPr>
                <w:i/>
                <w:iCs/>
              </w:rPr>
              <w:t xml:space="preserve">E. coli</w:t>
            </w:r>
            <w:r>
              <w:t xml:space="preserve">? on</w:t>
            </w:r>
            <w:r>
              <w:t xml:space="preserve"> </w:t>
            </w:r>
            <w:r>
              <w:rPr>
                <w:i/>
                <w:iCs/>
              </w:rPr>
              <w:t xml:space="preserve">C. albicans</w:t>
            </w:r>
            <w:r>
              <w:t xml:space="preserve">?</w:t>
            </w:r>
          </w:p>
          <w:p>
            <w:pPr>
              <w:numPr>
                <w:ilvl w:val="0"/>
                <w:numId w:val="1067"/>
              </w:numPr>
            </w:pPr>
            <w:r>
              <w:t xml:space="preserve">What conclusions can you draw based upon all of the experiments that you have performed (labs and workshops)?</w:t>
            </w:r>
          </w:p>
          <w:p>
            <w:pPr>
              <w:numPr>
                <w:ilvl w:val="0"/>
                <w:numId w:val="1067"/>
              </w:numPr>
            </w:pPr>
            <w:r>
              <w:t xml:space="preserve">What further experiments might you do (and why?)</w:t>
            </w:r>
          </w:p>
          <w:bookmarkStart w:id="213" w:name="X731eb4f2bf49ce4e251e33bc8cd794f988f515f"/>
          <w:p>
            <w:pPr>
              <w:pStyle w:val="Heading1"/>
            </w:pPr>
            <w:r>
              <w:t xml:space="preserve">45. Additional Resources/Further Reading for Experiment 5</w:t>
            </w:r>
          </w:p>
          <w:bookmarkStart w:id="211" w:name="microscopy"/>
          <w:p>
            <w:pPr>
              <w:pStyle w:val="Heading2"/>
            </w:pPr>
            <w:r>
              <w:t xml:space="preserve">45.1 Microscopy</w:t>
            </w:r>
          </w:p>
          <w:p>
            <w:pPr>
              <w:numPr>
                <w:ilvl w:val="0"/>
                <w:numId w:val="1068"/>
              </w:numPr>
            </w:pPr>
            <w:hyperlink r:id="rId210">
              <w:r>
                <w:rPr>
                  <w:rStyle w:val="Hyperlink"/>
                </w:rPr>
                <w:t xml:space="preserve">Historical contributions from light microscopy: What can you learn with a light microscope?</w:t>
              </w:r>
            </w:hyperlink>
          </w:p>
          <w:p>
            <w:pPr>
              <w:numPr>
                <w:ilvl w:val="0"/>
                <w:numId w:val="1068"/>
              </w:numPr>
            </w:pPr>
            <w:r>
              <w:t xml:space="preserve">Cromey DW. Digital images are data: and should be treated as such. Methods Mol Biol. 2013;931:1-27. doi:10.1007/978-1-62703-056-4_1</w:t>
            </w:r>
          </w:p>
          <w:p>
            <w:pPr>
              <w:numPr>
                <w:ilvl w:val="0"/>
                <w:numId w:val="1068"/>
              </w:numPr>
            </w:pPr>
            <w:r>
              <w:t xml:space="preserve">Hartig SM. Basic image analysis and manipulation in ImageJ. Curr Protoc Mol Biol. 2013;Chapter 14:Unit14.15. doi:10.1002/0471142727.mb1415s102</w:t>
            </w:r>
          </w:p>
          <w:bookmarkEnd w:id="211"/>
          <w:bookmarkStart w:id="212" w:name="cell-shape"/>
          <w:p>
            <w:pPr>
              <w:pStyle w:val="Heading2"/>
            </w:pPr>
            <w:r>
              <w:t xml:space="preserve">45.2 Cell Shape</w:t>
            </w:r>
          </w:p>
          <w:p>
            <w:pPr>
              <w:numPr>
                <w:ilvl w:val="0"/>
                <w:numId w:val="1069"/>
              </w:numPr>
            </w:pPr>
            <w:r>
              <w:t xml:space="preserve">Yang, Desirée C et al. </w:t>
            </w:r>
            <w:r>
              <w:t xml:space="preserve">“Staying in Shape: the Impact of Cell Shape on Bacterial Survival in Diverse Environments.”</w:t>
            </w:r>
            <w:r>
              <w:t xml:space="preserve"> </w:t>
            </w:r>
            <w:r>
              <w:t xml:space="preserve">Microbiology and molecular biology reviews : MMBR vol. 80,1 187-203. 10 Feb. 2016, doi:10.1128/MMBR.00031-15</w:t>
            </w:r>
          </w:p>
          <w:p>
            <w:pPr>
              <w:numPr>
                <w:ilvl w:val="0"/>
                <w:numId w:val="1069"/>
              </w:numPr>
            </w:pPr>
            <w:r>
              <w:t xml:space="preserve">Subashchandrabose S, Mobley HLT. Virulence and Fitness Determinants of Uropathogenic</w:t>
            </w:r>
            <w:r>
              <w:t xml:space="preserve"> </w:t>
            </w:r>
            <w:r>
              <w:rPr>
                <w:i/>
                <w:iCs/>
              </w:rPr>
              <w:t xml:space="preserve">Escherichia coli</w:t>
            </w:r>
            <w:r>
              <w:t xml:space="preserve">. Microbiol Spectr. 2015;3(4):10.1128/microbiolspec.UTI-0015-2012. doi:10.1128/microbiolspec.UTI-0015-2012</w:t>
            </w:r>
          </w:p>
          <w:p>
            <w:pPr>
              <w:numPr>
                <w:ilvl w:val="0"/>
                <w:numId w:val="1069"/>
              </w:numPr>
            </w:pPr>
            <w:r>
              <w:t xml:space="preserve">Cylke C, Si F, Banerjee S. Effects of antibiotics on bacterial cell morphology and their physiological origins. Biochem Soc Trans. 2022;50(5):1269-1279. doi:10.1042/BST20210894</w:t>
            </w:r>
          </w:p>
          <w:p/>
        </w:tc>
      </w:tr>
    </w:tbl>
    <w:bookmarkEnd w:id="212"/>
    <w:bookmarkEnd w:id="213"/>
    <w:bookmarkEnd w:id="2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2">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123" Target="media/rId123.png" /><Relationship Type="http://schemas.openxmlformats.org/officeDocument/2006/relationships/image" Id="rId21" Target="media/rId21.png" /><Relationship Type="http://schemas.openxmlformats.org/officeDocument/2006/relationships/image" Id="rId79" Target="media/rId79.jpg" /><Relationship Type="http://schemas.openxmlformats.org/officeDocument/2006/relationships/image" Id="rId167" Target="media/rId167.pn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55" Target="media/rId55.jpg" /><Relationship Type="http://schemas.openxmlformats.org/officeDocument/2006/relationships/image" Id="rId59" Target="media/rId59.jpg" /><Relationship Type="http://schemas.openxmlformats.org/officeDocument/2006/relationships/image" Id="rId97" Target="media/rId97.jpg" /><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38" Target="./0aseptic.qmd" TargetMode="External" /><Relationship Type="http://schemas.openxmlformats.org/officeDocument/2006/relationships/hyperlink" Id="rId39" Target="./0counting.qmd" TargetMode="External" /><Relationship Type="http://schemas.openxmlformats.org/officeDocument/2006/relationships/hyperlink" Id="rId37" Target="./0goodlab.qmd" TargetMode="External" /><Relationship Type="http://schemas.openxmlformats.org/officeDocument/2006/relationships/hyperlink" Id="rId40" Target="./0microscope.qmd" TargetMode="External" /><Relationship Type="http://schemas.openxmlformats.org/officeDocument/2006/relationships/hyperlink" Id="rId120" Target="./assets/Experiment1protocols.pdf" TargetMode="External" /><Relationship Type="http://schemas.openxmlformats.org/officeDocument/2006/relationships/hyperlink" Id="rId147" Target="./assets/Experiment2protocols.pdf" TargetMode="External" /><Relationship Type="http://schemas.openxmlformats.org/officeDocument/2006/relationships/hyperlink" Id="rId172" Target="./assets/Experiment3protocols.pdf" TargetMode="External" /><Relationship Type="http://schemas.openxmlformats.org/officeDocument/2006/relationships/hyperlink" Id="rId190" Target="./assets/Experiment4protocols.pdf" TargetMode="External" /><Relationship Type="http://schemas.openxmlformats.org/officeDocument/2006/relationships/hyperlink" Id="rId207" Target="./assets/Experiment5protocols.pdf" TargetMode="External" /><Relationship Type="http://schemas.openxmlformats.org/officeDocument/2006/relationships/hyperlink" Id="rId176" Target="https://ecocyc.org/" TargetMode="External" /><Relationship Type="http://schemas.openxmlformats.org/officeDocument/2006/relationships/hyperlink" Id="rId25" Target="https://github.com/mafeeney/BM327microS1/issues/new" TargetMode="External" /><Relationship Type="http://schemas.openxmlformats.org/officeDocument/2006/relationships/hyperlink" Id="rId42" Target="https://jb.asm.org/content/nomenclature" TargetMode="External" /><Relationship Type="http://schemas.openxmlformats.org/officeDocument/2006/relationships/hyperlink" Id="rId198" Target="https://rebase.neb.com/rebase/rebase.html" TargetMode="External" /><Relationship Type="http://schemas.openxmlformats.org/officeDocument/2006/relationships/hyperlink" Id="rId154" Target="https://schaechter.asmblog.org/schaechter/2020/06/mueller-hinton-medium.html" TargetMode="External" /><Relationship Type="http://schemas.openxmlformats.org/officeDocument/2006/relationships/hyperlink" Id="rId131" Target="https://www.biologysimulations.com/mutation" TargetMode="External" /><Relationship Type="http://schemas.openxmlformats.org/officeDocument/2006/relationships/hyperlink" Id="rId210" Target="https://www.ibiology.org/talks/light-microscopy/" TargetMode="External" /><Relationship Type="http://schemas.openxmlformats.org/officeDocument/2006/relationships/hyperlink" Id="rId179" Target="https://www.youtube.com/watch?v=5jV0KdnHiJM" TargetMode="External" /><Relationship Type="http://schemas.openxmlformats.org/officeDocument/2006/relationships/hyperlink" Id="rId156" Target="https://www.youtube.com/watch?v=BXr_kcki4Ag" TargetMode="External" /><Relationship Type="http://schemas.openxmlformats.org/officeDocument/2006/relationships/hyperlink" Id="rId180" Target="https://www.youtube.com/watch?v=TU44tR0hJ8A" TargetMode="External" /><Relationship Type="http://schemas.openxmlformats.org/officeDocument/2006/relationships/hyperlink" Id="rId158" Target="https://www.youtube.com/watch?v=XlRd1YSx8e8" TargetMode="External" /><Relationship Type="http://schemas.openxmlformats.org/officeDocument/2006/relationships/hyperlink" Id="rId155" Target="https://www.youtube.com/watch?v=jCShFlXPcmg" TargetMode="External" /><Relationship Type="http://schemas.openxmlformats.org/officeDocument/2006/relationships/hyperlink" Id="rId157" Target="https://www.youtube.com/watch?v=plVk4NVIUh8" TargetMode="External" /><Relationship Type="http://schemas.openxmlformats.org/officeDocument/2006/relationships/hyperlink" Id="rId195" Target="https://www.youtube.com/watch?v=uNvF9ZBufTk" TargetMode="External" /><Relationship Type="http://schemas.openxmlformats.org/officeDocument/2006/relationships/hyperlink" Id="rId130"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2025-09-22T12:33:32Z</dcterms:created>
  <dcterms:modified xsi:type="dcterms:W3CDTF">2025-09-22T12:33:32Z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