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 textbook such as [add refs]).</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two workshops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r>
        <w:t xml:space="preserve"> </w:t>
      </w:r>
      <w:r>
        <w:t xml:space="preserve">* Performing data analysis</w:t>
      </w:r>
    </w:p>
    <w:p>
      <w:pPr>
        <w:numPr>
          <w:ilvl w:val="0"/>
          <w:numId w:val="1003"/>
        </w:numPr>
      </w:pPr>
      <w:r>
        <w:t xml:space="preserve">Performing basic lab calculations, e.g. serial dilutions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r>
        <w:t xml:space="preserve"> </w:t>
      </w:r>
      <w:r>
        <w:t xml:space="preserve">* Performing data analysis</w:t>
      </w:r>
    </w:p>
    <w:p>
      <w:pPr>
        <w:numPr>
          <w:ilvl w:val="0"/>
          <w:numId w:val="1004"/>
        </w:numPr>
      </w:pPr>
      <w:r>
        <w:t xml:space="preserve">Calculating antibiotic MBC and MIC values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3</w:t>
      </w:r>
      <w:r>
        <w:t xml:space="preserve"> </w:t>
      </w:r>
      <w:r>
        <w:t xml:space="preserve">* Performing data analysis</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r>
        <w:t xml:space="preserve"> </w:t>
      </w:r>
      <w:r>
        <w:t xml:space="preserve">* Performing calculations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Using databases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r>
        <w:t xml:space="preserve"> </w:t>
      </w:r>
      <w:r>
        <w:t xml:space="preserve">* Using appropriate software to visualize and analyze microscopy data</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6"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(Figure 1). It is therefore essential that you keep careful track of all experimental tasks: e.g., carefully labelling your cultures and taking care to read all the relevant sections of the lab manual.</w:t>
      </w:r>
    </w:p>
    <w:p>
      <w:pPr>
        <w:pStyle w:val="BodyText"/>
      </w:pPr>
      <w:r>
        <w:t xml:space="preserve">Before attending the practical lab, you should ensure that you have read and understood:</w:t>
      </w:r>
    </w:p>
    <w:p>
      <w:pPr>
        <w:numPr>
          <w:ilvl w:val="0"/>
          <w:numId w:val="1009"/>
        </w:numPr>
      </w:pPr>
      <w:r>
        <w:t xml:space="preserve">The introductory sections covering</w:t>
      </w:r>
      <w:r>
        <w:t xml:space="preserve"> </w:t>
      </w:r>
      <w:hyperlink r:id="rId32">
        <w:r>
          <w:rPr>
            <w:rStyle w:val="Hyperlink"/>
          </w:rPr>
          <w:t xml:space="preserve">Good Lab Practice</w:t>
        </w:r>
      </w:hyperlink>
      <w:r>
        <w:t xml:space="preserve"> </w:t>
      </w:r>
      <w:r>
        <w:t xml:space="preserve">and</w:t>
      </w:r>
      <w:r>
        <w:t xml:space="preserve"> </w:t>
      </w:r>
      <w:hyperlink r:id="rId33">
        <w:r>
          <w:rPr>
            <w:rStyle w:val="Hyperlink"/>
          </w:rPr>
          <w:t xml:space="preserve">Aseptic Technique</w:t>
        </w:r>
      </w:hyperlink>
    </w:p>
    <w:p>
      <w:pPr>
        <w:numPr>
          <w:ilvl w:val="0"/>
          <w:numId w:val="1009"/>
        </w:numPr>
      </w:pPr>
      <w:r>
        <w:t xml:space="preserve">The introductory sections covering the theory on</w:t>
      </w:r>
      <w:r>
        <w:t xml:space="preserve"> </w:t>
      </w:r>
      <w:hyperlink r:id="rId34">
        <w:r>
          <w:rPr>
            <w:rStyle w:val="Hyperlink"/>
          </w:rPr>
          <w:t xml:space="preserve">Axenic culture</w:t>
        </w:r>
      </w:hyperlink>
      <w:r>
        <w:t xml:space="preserve">,</w:t>
      </w:r>
    </w:p>
    <w:p>
      <w:pPr>
        <w:numPr>
          <w:ilvl w:val="0"/>
          <w:numId w:val="1009"/>
        </w:numPr>
      </w:pPr>
      <w:r>
        <w:t xml:space="preserve">The</w:t>
      </w:r>
      <w:r>
        <w:t xml:space="preserve"> </w:t>
      </w:r>
      <w:hyperlink r:id="rId35">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36"/>
    <w:bookmarkStart w:id="39" w:name="formative-assessment"/>
    <w:p>
      <w:pPr>
        <w:pStyle w:val="Heading1"/>
      </w:pPr>
      <w:r>
        <w:t xml:space="preserve">3. Formative assessment</w:t>
      </w:r>
    </w:p>
    <w:bookmarkStart w:id="38" w:name="summative-assessment-online-quiz"/>
    <w:p>
      <w:pPr>
        <w:pStyle w:val="Heading2"/>
      </w:pPr>
      <w:r>
        <w:t xml:space="preserve">3.1 Summative assessment: Online Quiz</w:t>
      </w:r>
    </w:p>
    <w:bookmarkStart w:id="37" w:name="contribution-to-overall-class-assessment"/>
    <w:p>
      <w:pPr>
        <w:pStyle w:val="Heading3"/>
      </w:pPr>
      <w:r>
        <w:t xml:space="preserve">3.1.1 Contribution to overall class assessment</w:t>
      </w:r>
    </w:p>
    <w:p>
      <w:pPr>
        <w:pStyle w:val="FirstParagraph"/>
      </w:pPr>
      <w:r>
        <w:t xml:space="preserve">The BM327 semester 1 microbiology assessment comprises 25% of the overall BM327 class assessment.</w:t>
      </w:r>
    </w:p>
    <w:bookmarkEnd w:id="37"/>
    <w:bookmarkEnd w:id="38"/>
    <w:bookmarkEnd w:id="39"/>
    <w:bookmarkStart w:id="43" w:name="section-1"/>
    <w:p>
      <w:pPr>
        <w:pStyle w:val="Heading1"/>
      </w:pPr>
      <w:r>
        <w:t xml:space="preserve">4.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tc>
      </w:tr>
    </w:tbl>
    <w:bookmarkEnd w:id="43"/>
    <w:bookmarkStart w:id="44" w:name="good-laboratory-practice"/>
    <w:p>
      <w:pPr>
        <w:pStyle w:val="Heading1"/>
      </w:pPr>
      <w:r>
        <w:t xml:space="preserve">5. Good Laboratory Practice</w:t>
      </w:r>
    </w:p>
    <w:bookmarkEnd w:id="44"/>
    <w:bookmarkStart w:id="53"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2"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7" w:name="X34d6cb7f13d0e1987e4e8af45cc18c924b0c895"/>
    <w:p>
      <w:pPr>
        <w:pStyle w:val="Heading3"/>
      </w:pPr>
      <w:r>
        <w:t xml:space="preserve">6.1.1 Some guidelines for keeping a good lab notebook:</w:t>
      </w:r>
    </w:p>
    <w:p>
      <w:pPr>
        <w:numPr>
          <w:ilvl w:val="0"/>
          <w:numId w:val="1010"/>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0"/>
        </w:numPr>
      </w:pPr>
      <w:r>
        <w:t xml:space="preserve">Include the date for each entry.</w:t>
      </w:r>
    </w:p>
    <w:p>
      <w:pPr>
        <w:numPr>
          <w:ilvl w:val="0"/>
          <w:numId w:val="1010"/>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0"/>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0"/>
        </w:numPr>
      </w:pPr>
      <w:r>
        <w:t xml:space="preserve">Any mistakes should be crossed out and explained (not erased).</w:t>
      </w:r>
    </w:p>
    <w:p>
      <w:pPr>
        <w:numPr>
          <w:ilvl w:val="0"/>
          <w:numId w:val="1010"/>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1"/>
              </w:numPr>
            </w:pPr>
            <w:r>
              <w:t xml:space="preserve">You can join Benchling by creating an account at http://benchling.com/signup</w:t>
            </w:r>
          </w:p>
          <w:p>
            <w:pPr>
              <w:numPr>
                <w:ilvl w:val="0"/>
                <w:numId w:val="1011"/>
              </w:numPr>
            </w:pPr>
            <w:r>
              <w:t xml:space="preserve">For help with Benchling, including training kits and best practice guides, please see https://help.benchling.com/hc/en-us.</w:t>
            </w:r>
          </w:p>
        </w:tc>
      </w:tr>
    </w:tbl>
    <w:bookmarkEnd w:id="47"/>
    <w:bookmarkStart w:id="50"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2"/>
        </w:numPr>
      </w:pPr>
      <w:r>
        <w:t xml:space="preserve">Include your initials and the date of the experiment (if directed by your instructors, also include your bench number).</w:t>
      </w:r>
    </w:p>
    <w:p>
      <w:pPr>
        <w:numPr>
          <w:ilvl w:val="0"/>
          <w:numId w:val="1012"/>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2"/>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t xml:space="preserve">Label around the rim of the Petri plate - not across the centre</w:t>
      </w:r>
      <w:bookmarkEnd w:id="48"/>
      <w:r>
        <w:t xml:space="preserve"> </w:t>
      </w:r>
      <w:bookmarkStart w:id="49" w:name="fig-platelid"/>
      <w:r>
        <w:t xml:space="preserve">Label the bottom of the Petri plate, not the lid</w:t>
      </w:r>
      <w:bookmarkEnd w:id="49"/>
    </w:p>
    <w:bookmarkEnd w:id="50"/>
    <w:bookmarkStart w:id="51" w:name="other-tips-for-good-lab-practice"/>
    <w:p>
      <w:pPr>
        <w:pStyle w:val="Heading3"/>
      </w:pPr>
      <w:r>
        <w:t xml:space="preserve">6.1.3 Other tips for good lab practice</w:t>
      </w:r>
    </w:p>
    <w:p>
      <w:pPr>
        <w:numPr>
          <w:ilvl w:val="0"/>
          <w:numId w:val="1013"/>
        </w:numPr>
      </w:pPr>
      <w:r>
        <w:t xml:space="preserve">Read through each protocol thoroughly before beginning an experiment. Label all tubes and prepare any reagents needed before you begin. Stay organised and keep your space clean.</w:t>
      </w:r>
    </w:p>
    <w:p>
      <w:pPr>
        <w:numPr>
          <w:ilvl w:val="0"/>
          <w:numId w:val="1013"/>
        </w:numPr>
      </w:pPr>
      <w:r>
        <w:t xml:space="preserve">Turn off your Bunsen burner (or set it to a visible orange flame) if you are not working aseptically.</w:t>
      </w:r>
    </w:p>
    <w:p>
      <w:pPr>
        <w:numPr>
          <w:ilvl w:val="0"/>
          <w:numId w:val="1013"/>
        </w:numPr>
      </w:pPr>
      <w:r>
        <w:t xml:space="preserve">Never walk away from your bench and leave a lit Bunsen burner unattended.</w:t>
      </w:r>
    </w:p>
    <w:p>
      <w:pPr>
        <w:numPr>
          <w:ilvl w:val="0"/>
          <w:numId w:val="1013"/>
        </w:numPr>
      </w:pPr>
      <w:r>
        <w:t xml:space="preserve">Never wear gloves when working with a Bunsen burner.</w:t>
      </w:r>
    </w:p>
    <w:p>
      <w:pPr>
        <w:numPr>
          <w:ilvl w:val="0"/>
          <w:numId w:val="1013"/>
        </w:numPr>
      </w:pPr>
      <w:r>
        <w:t xml:space="preserve">Pipet as accurately as possible:</w:t>
      </w:r>
    </w:p>
    <w:p>
      <w:pPr>
        <w:pStyle w:val="Compact"/>
        <w:numPr>
          <w:ilvl w:val="1"/>
          <w:numId w:val="1014"/>
        </w:numPr>
      </w:pPr>
      <w:r>
        <w:t xml:space="preserve">Use the correct pipet for the volume you intend to pipet and make sure it is set correctly (if uncertain, ask a demonstrator or member of staff)</w:t>
      </w:r>
    </w:p>
    <w:p>
      <w:pPr>
        <w:pStyle w:val="Compact"/>
        <w:numPr>
          <w:ilvl w:val="1"/>
          <w:numId w:val="1014"/>
        </w:numPr>
      </w:pPr>
      <w:r>
        <w:t xml:space="preserve">Pipet down to the first stop when drawing up liquid into the pipet; pipet down to the second stop when expelling liquid.</w:t>
      </w:r>
    </w:p>
    <w:p>
      <w:pPr>
        <w:pStyle w:val="Compact"/>
        <w:numPr>
          <w:ilvl w:val="1"/>
          <w:numId w:val="1014"/>
        </w:numPr>
      </w:pPr>
      <w:r>
        <w:t xml:space="preserve">Avoid bubbles when pipetting.</w:t>
      </w:r>
    </w:p>
    <w:p>
      <w:pPr>
        <w:pStyle w:val="Compact"/>
        <w:numPr>
          <w:ilvl w:val="1"/>
          <w:numId w:val="1014"/>
        </w:numPr>
      </w:pPr>
      <w:r>
        <w:t xml:space="preserve">Only insert the very tip of the pipet into the liquid when pipetting particularly viscous mixtures (e.g., polymerase or enzyme stocks).</w:t>
      </w:r>
    </w:p>
    <w:bookmarkEnd w:id="51"/>
    <w:bookmarkEnd w:id="52"/>
    <w:bookmarkEnd w:id="53"/>
    <w:bookmarkStart w:id="67" w:name="aseptic-technique"/>
    <w:p>
      <w:pPr>
        <w:pStyle w:val="Heading1"/>
      </w:pPr>
      <w:r>
        <w:t xml:space="preserve">7. Aseptic Technique</w:t>
      </w:r>
    </w:p>
    <w:bookmarkStart w:id="66"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56" w:name="fig-autoclavetape"/>
                <w:p>
                  <w:pPr>
                    <w:pStyle w:val="Compact"/>
                    <w:jc w:val="center"/>
                  </w:pPr>
                </w:p>
                <w:p>
                  <w:pPr>
                    <w:jc w:val="center"/>
                  </w:pPr>
                  <w:pPr>
                    <w:jc w:val="star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56"/>
              </w:tc>
            </w:tr>
          </w:tbl>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59" w:name="fig-pipettips"/>
            <w:r>
              <w:t xml:space="preserve">A box of pipet tips that are no longer sterile. Image credit:</w:t>
            </w:r>
            <w:r>
              <w:t xml:space="preserve"> </w:t>
            </w:r>
            <w:r>
              <w:t xml:space="preserve">Starlab</w:t>
            </w:r>
            <w:bookmarkEnd w:id="59"/>
            <w:r>
              <w:t xml:space="preserve"> </w:t>
            </w:r>
            <w:r>
              <w:t xml:space="preserve">You should therefore always: 1. Open tip box –&gt; 2. Take pipet tip –&gt; 3. Close tip box –&gt; 4. Use pipet tip</w:t>
            </w:r>
          </w:p>
        </w:tc>
      </w:tr>
    </w:tbl>
    <w:bookmarkStart w:id="64"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60" w:name="fig-bunsen"/>
          <w:p>
            <w:pPr>
              <w:pStyle w:val="Compact"/>
              <w:jc w:val="center"/>
            </w:pPr>
          </w:p>
          <w:p>
            <w:pPr>
              <w:jc w:val="center"/>
            </w:pPr>
            <w:pPr>
              <w:jc w:val="start"/>
              <w:spacing w:before="200"/>
              <w:pStyle w:val="ImageCaption"/>
            </w:pPr>
            <w:r>
              <w:t xml:space="preserve">Figure 7.2: A Bunsen burner set to a blue flame. Image credit:</w:t>
            </w:r>
            <w:r>
              <w:t xml:space="preserve"> </w:t>
            </w:r>
            <w:r>
              <w:t xml:space="preserve">Encyclopedia Britannica</w:t>
            </w:r>
          </w:p>
          <w:bookmarkEnd w:id="60"/>
        </w:tc>
      </w:tr>
    </w:tbl>
    <w:p>
      <w:pPr>
        <w:pStyle w:val="BodyText"/>
      </w:pPr>
      <w:r>
        <w:t xml:space="preserve">When working with a Bunsen burner, however, it is essential that you follow the following safety guidelines, for the safety of yourself and those working near you:</w:t>
      </w:r>
    </w:p>
    <w:p>
      <w:pPr>
        <w:numPr>
          <w:ilvl w:val="0"/>
          <w:numId w:val="1015"/>
        </w:numPr>
      </w:pPr>
      <w:r>
        <w:t xml:space="preserve">Turn off your Bunsen burner (or set it to a visible orange flame) if you are not actively using it.</w:t>
      </w:r>
    </w:p>
    <w:p>
      <w:pPr>
        <w:numPr>
          <w:ilvl w:val="0"/>
          <w:numId w:val="1015"/>
        </w:numPr>
      </w:pPr>
      <w:r>
        <w:t xml:space="preserve">Never walk away from your bench and leave a lit Bunsen burner unattended.</w:t>
      </w:r>
    </w:p>
    <w:p>
      <w:pPr>
        <w:numPr>
          <w:ilvl w:val="0"/>
          <w:numId w:val="1015"/>
        </w:numPr>
      </w:pPr>
      <w:r>
        <w:t xml:space="preserve">Never wear gloves when working with a Bunsen burner.</w:t>
      </w:r>
    </w:p>
    <w:bookmarkStart w:id="63"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important.png" id="6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tc>
      </w:tr>
    </w:tbl>
    <w:p>
      <w:pPr>
        <w:pStyle w:val="BodyText"/>
      </w:pPr>
      <w:r>
        <w:t xml:space="preserve">The procedure for flaming an inoculating loop is:</w:t>
      </w:r>
    </w:p>
    <w:p>
      <w:pPr>
        <w:numPr>
          <w:ilvl w:val="0"/>
          <w:numId w:val="1016"/>
        </w:numPr>
      </w:pPr>
      <w:r>
        <w:t xml:space="preserve">Place the loop in the flame of the Bunsen burner at an angle, so that the length of the loop lies along the surface between the inner and outer cones in the flame (the hottest part of the flame).</w:t>
      </w:r>
    </w:p>
    <w:p>
      <w:pPr>
        <w:numPr>
          <w:ilvl w:val="0"/>
          <w:numId w:val="1016"/>
        </w:numPr>
      </w:pPr>
      <w:r>
        <w:t xml:space="preserve">Hold the loop in the flame until the entirety of the loop turns cherry-red. It is not necessary to hold the loop there any longer than that: you are not trying to melt the metal!</w:t>
      </w:r>
    </w:p>
    <w:p>
      <w:pPr>
        <w:numPr>
          <w:ilvl w:val="0"/>
          <w:numId w:val="1016"/>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63"/>
    <w:bookmarkEnd w:id="64"/>
    <w:bookmarkStart w:id="65" w:name="X03d803cf731376395ef86c43e50327b41274108"/>
    <w:p>
      <w:pPr>
        <w:pStyle w:val="Heading3"/>
      </w:pPr>
      <w:r>
        <w:t xml:space="preserve">7.1.2 Top tips for working with good aseptic technique:</w:t>
      </w:r>
    </w:p>
    <w:p>
      <w:pPr>
        <w:numPr>
          <w:ilvl w:val="0"/>
          <w:numId w:val="1017"/>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7"/>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7"/>
        </w:numPr>
      </w:pPr>
      <w:r>
        <w:t xml:space="preserve">Be careful not to allow your pipet tips to come into contact with any non-sterile surfaces (i.e., your bench top, fingers, the lids or outsides of bottles).</w:t>
      </w:r>
    </w:p>
    <w:bookmarkEnd w:id="65"/>
    <w:bookmarkEnd w:id="66"/>
    <w:bookmarkEnd w:id="67"/>
    <w:bookmarkStart w:id="74" w:name="using-a-microscope"/>
    <w:p>
      <w:pPr>
        <w:pStyle w:val="Heading1"/>
      </w:pPr>
      <w:r>
        <w:t xml:space="preserve">8. Using a Microscope</w:t>
      </w:r>
    </w:p>
    <w:bookmarkStart w:id="73"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important.png" id="69"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tc>
      </w:tr>
    </w:tbl>
    <w:p>
      <w:pPr>
        <w:pStyle w:val="BodyText"/>
      </w:pPr>
      <w:r>
        <w:t xml:space="preserve">You should begin by placing a slide onto the stage and aligning the lowest power objective (usually the 10X objective) over it.</w:t>
      </w:r>
    </w:p>
    <w:p>
      <w:pPr>
        <w:numPr>
          <w:ilvl w:val="0"/>
          <w:numId w:val="1018"/>
        </w:numPr>
      </w:pPr>
      <w:r>
        <w:t xml:space="preserve">Raise the stage using the coarse focusing knob so that the slide is about 5 mm away from the objective.</w:t>
      </w:r>
    </w:p>
    <w:p>
      <w:pPr>
        <w:numPr>
          <w:ilvl w:val="0"/>
          <w:numId w:val="1018"/>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8"/>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tc>
      </w:tr>
    </w:tbl>
    <w:p>
      <w:pPr>
        <w:pStyle w:val="BodyText"/>
      </w:pPr>
      <w:r>
        <w:t xml:space="preserve">At any point while using the microscope, you may wish to:</w:t>
      </w:r>
    </w:p>
    <w:p>
      <w:pPr>
        <w:numPr>
          <w:ilvl w:val="0"/>
          <w:numId w:val="1019"/>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19"/>
        </w:numPr>
      </w:pPr>
      <w:r>
        <w:t xml:space="preserve">Adjust the lamp voltage at any time when using a microscope in order to get a comfortable level of light.</w:t>
      </w:r>
    </w:p>
    <w:bookmarkStart w:id="72" w:name="use-of-oil-with-the-microscope"/>
    <w:p>
      <w:pPr>
        <w:pStyle w:val="Heading3"/>
      </w:pPr>
      <w:r>
        <w:t xml:space="preserve">8.1.1 Use of oil with the microscope:</w:t>
      </w:r>
    </w:p>
    <w:p>
      <w:pPr>
        <w:numPr>
          <w:ilvl w:val="0"/>
          <w:numId w:val="1020"/>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0"/>
        </w:numPr>
      </w:pPr>
      <w:r>
        <w:t xml:space="preserve">Never use oil with any objective other than the 100x. Once you have added oil to your sample, never return to using a smaller magnification objective!</w:t>
      </w:r>
    </w:p>
    <w:p>
      <w:pPr>
        <w:numPr>
          <w:ilvl w:val="0"/>
          <w:numId w:val="1020"/>
        </w:numPr>
      </w:pPr>
      <w:r>
        <w:t xml:space="preserve">Only a very small amount of oil is needed, only add a tiny drop. Don’t flood the slide!</w:t>
      </w:r>
    </w:p>
    <w:p>
      <w:pPr>
        <w:numPr>
          <w:ilvl w:val="0"/>
          <w:numId w:val="1020"/>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0"/>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0"/>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72"/>
    <w:bookmarkEnd w:id="73"/>
    <w:bookmarkEnd w:id="74"/>
    <w:bookmarkStart w:id="80" w:name="experiment-1-aims-and-overview"/>
    <w:p>
      <w:pPr>
        <w:pStyle w:val="Heading1"/>
      </w:pPr>
      <w:r>
        <w:t xml:space="preserve">9. Experiment 1 Aims and Overview</w:t>
      </w:r>
    </w:p>
    <w:bookmarkStart w:id="75" w:name="aims"/>
    <w:p>
      <w:pPr>
        <w:pStyle w:val="Heading2"/>
      </w:pPr>
      <w:r>
        <w:t xml:space="preserve">9.1 Aims</w:t>
      </w:r>
    </w:p>
    <w:bookmarkEnd w:id="75"/>
    <w:bookmarkStart w:id="76" w:name="learning-outcomes"/>
    <w:p>
      <w:pPr>
        <w:pStyle w:val="Heading2"/>
      </w:pPr>
      <w:r>
        <w:t xml:space="preserve">9.2 Learning Outcomes</w:t>
      </w:r>
    </w:p>
    <w:p>
      <w:pPr>
        <w:pStyle w:val="FirstParagraph"/>
      </w:pPr>
      <w:r>
        <w:t xml:space="preserve">At the end of this laboratory session, you should understand:</w:t>
      </w:r>
    </w:p>
    <w:bookmarkEnd w:id="76"/>
    <w:bookmarkStart w:id="77" w:name="competencies"/>
    <w:p>
      <w:pPr>
        <w:pStyle w:val="Heading2"/>
      </w:pPr>
      <w:r>
        <w:t xml:space="preserve">9.3 Competencies</w:t>
      </w:r>
    </w:p>
    <w:p>
      <w:pPr>
        <w:numPr>
          <w:ilvl w:val="0"/>
          <w:numId w:val="1022"/>
        </w:numPr>
      </w:pPr>
      <w:r>
        <w:t xml:space="preserve">Performing data analysis</w:t>
      </w:r>
    </w:p>
    <w:p>
      <w:pPr>
        <w:numPr>
          <w:ilvl w:val="0"/>
          <w:numId w:val="1022"/>
        </w:numPr>
      </w:pPr>
      <w:r>
        <w:t xml:space="preserve">Performing basic lab calculations, e.g. serial dilutions</w:t>
      </w:r>
    </w:p>
    <w:p>
      <w:pPr>
        <w:numPr>
          <w:ilvl w:val="0"/>
          <w:numId w:val="1022"/>
        </w:numPr>
      </w:pPr>
      <w:r>
        <w:t xml:space="preserve">Interpreting phenotypic and genotypic data</w:t>
      </w:r>
    </w:p>
    <w:p>
      <w:pPr>
        <w:numPr>
          <w:ilvl w:val="0"/>
          <w:numId w:val="1022"/>
        </w:numPr>
      </w:pPr>
      <w:r>
        <w:t xml:space="preserve">Teamwork</w:t>
      </w:r>
    </w:p>
    <w:p>
      <w:pPr>
        <w:numPr>
          <w:ilvl w:val="0"/>
          <w:numId w:val="1022"/>
        </w:numPr>
      </w:pPr>
      <w:r>
        <w:t xml:space="preserve">Keeping detailed and accurate records</w:t>
      </w:r>
    </w:p>
    <w:bookmarkEnd w:id="77"/>
    <w:bookmarkStart w:id="78" w:name="importance"/>
    <w:p>
      <w:pPr>
        <w:pStyle w:val="Heading2"/>
      </w:pPr>
      <w:r>
        <w:t xml:space="preserve">9.4 Importance</w:t>
      </w:r>
    </w:p>
    <w:p>
      <w:pPr>
        <w:pStyle w:val="FirstParagraph"/>
      </w:pPr>
      <w:r>
        <w:t xml:space="preserve">This laboratory session</w:t>
      </w:r>
    </w:p>
    <w:bookmarkEnd w:id="78"/>
    <w:bookmarkStart w:id="79" w:name="overview-of-experiment-1"/>
    <w:p>
      <w:pPr>
        <w:pStyle w:val="Heading2"/>
      </w:pPr>
      <w:r>
        <w:t xml:space="preserve">9.5 Overview of Experiment 1</w:t>
      </w:r>
    </w:p>
    <w:p>
      <w:pPr>
        <w:pStyle w:val="FirstParagraph"/>
      </w:pPr>
      <w:r>
        <w:t xml:space="preserve">In this experiment, you will be :</w:t>
      </w:r>
    </w:p>
    <w:bookmarkEnd w:id="79"/>
    <w:bookmarkEnd w:id="80"/>
    <w:bookmarkStart w:id="81" w:name="experiment-1---intro"/>
    <w:p>
      <w:pPr>
        <w:pStyle w:val="Heading1"/>
      </w:pPr>
      <w:r>
        <w:t xml:space="preserve">10. Experiment 1 - Intro</w:t>
      </w:r>
    </w:p>
    <w:bookmarkEnd w:id="81"/>
    <w:bookmarkStart w:id="83" w:name="experiment-1-protocols"/>
    <w:p>
      <w:pPr>
        <w:pStyle w:val="Heading1"/>
      </w:pPr>
      <w:r>
        <w:t xml:space="preserve">11. Experiment 1 Protocols</w:t>
      </w:r>
    </w:p>
    <w:p>
      <w:pPr>
        <w:pStyle w:val="FirstParagraph"/>
      </w:pPr>
      <w:r>
        <w:t xml:space="preserve">You can view the handout for lab 1 below, or download it</w:t>
      </w:r>
      <w:r>
        <w:t xml:space="preserve"> </w:t>
      </w:r>
      <w:hyperlink r:id="rId82">
        <w:r>
          <w:rPr>
            <w:rStyle w:val="Hyperlink"/>
          </w:rPr>
          <w:t xml:space="preserve">here</w:t>
        </w:r>
      </w:hyperlink>
      <w:r>
        <w:t xml:space="preserve">.</w:t>
      </w:r>
    </w:p>
    <w:bookmarkEnd w:id="83"/>
    <w:bookmarkStart w:id="94" w:name="experiment-1---data-analysis"/>
    <w:p>
      <w:pPr>
        <w:pStyle w:val="Heading1"/>
      </w:pPr>
      <w:r>
        <w:t xml:space="preserve">12. Experiment 1 - Data Analysis</w:t>
      </w:r>
    </w:p>
    <w:p>
      <w:pPr>
        <w:pStyle w:val="FirstParagraph"/>
      </w:pPr>
      <w:r>
        <w:t xml:space="preserve">After completing all of the practical lab tasks for this experiment, you should:</w:t>
      </w:r>
    </w:p>
    <w:bookmarkStart w:id="90" w:name="sec-1Adata"/>
    <w:p>
      <w:pPr>
        <w:pStyle w:val="Heading2"/>
      </w:pPr>
      <w:r>
        <w:t xml:space="preserve">12.1 Task 1A</w:t>
      </w:r>
    </w:p>
    <w:p>
      <w:pPr>
        <w:pStyle w:val="FirstParagraph"/>
      </w:pPr>
      <w:r>
        <w:t xml:space="preserve">In the lab session,</w:t>
      </w:r>
    </w:p>
    <w:bookmarkStart w:id="85" w:name="task-1a---evaluating-your-streak-plates"/>
    <w:p>
      <w:pPr>
        <w:pStyle w:val="Heading3"/>
      </w:pPr>
      <w:r>
        <w:t xml:space="preserve">12.1.1 Task 1A - Evaluating your Streak Plates</w:t>
      </w:r>
    </w:p>
    <w:bookmarkStart w:id="84" w:name="discussion-streak"/>
    <w:bookmarkEnd w:id="84"/>
    <w:bookmarkEnd w:id="85"/>
    <w:bookmarkStart w:id="89" w:name="sec-ennumeration"/>
    <w:p>
      <w:pPr>
        <w:pStyle w:val="Heading3"/>
      </w:pPr>
      <w:r>
        <w:t xml:space="preserve">12.1.2 Task 1A - Quantifying the Number of Microbes in a Sample: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12.1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86" w:name="fig-serialdilplated"/>
          <w:p>
            <w:pPr>
              <w:pStyle w:val="Compact"/>
              <w:jc w:val="center"/>
            </w:pPr>
          </w:p>
          <w:p>
            <w:pPr>
              <w:jc w:val="center"/>
            </w:pPr>
            <w:pPr>
              <w:jc w:val="start"/>
              <w:spacing w:before="200"/>
              <w:pStyle w:val="ImageCaption"/>
            </w:pPr>
            <w:r>
              <w:t xml:space="preserve">Figure 12.1: Examples of plating and counting colonies from a decimal serial dilution</w:t>
            </w:r>
          </w:p>
          <w:bookmarkEnd w:id="86"/>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opt/quarto/share/formats/docx/tip.png" id="8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4"/>
              </w:numPr>
            </w:pPr>
            <w:r>
              <w:t xml:space="preserve">Make sure you label your plates with the dilution factor - you will need this for the calculations!</w:t>
            </w:r>
          </w:p>
          <w:p>
            <w:pPr>
              <w:numPr>
                <w:ilvl w:val="0"/>
                <w:numId w:val="1024"/>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4"/>
              </w:numPr>
            </w:pPr>
            <w:r>
              <w:t xml:space="preserve">Make sure you use the correct number of significant figures in your answer - you can’t be more precise than your initial measurement (number of colonies counted).</w:t>
            </w:r>
          </w:p>
          <w:p>
            <w:pPr>
              <w:numPr>
                <w:ilvl w:val="0"/>
                <w:numId w:val="1024"/>
              </w:numPr>
            </w:pPr>
            <w:r>
              <w:t xml:space="preserve">Make sure you express your answer in scientific notation (e.g., 1.73 * 10</w:t>
            </w:r>
            <w:r>
              <w:t xml:space="preserve">7</w:t>
            </w:r>
            <w:r>
              <w:t xml:space="preserve"> </w:t>
            </w:r>
            <w:r>
              <w:t xml:space="preserve">cfu/mL, not 17300000) and include units.</w:t>
            </w:r>
          </w:p>
          <w:p>
            <w:pPr>
              <w:numPr>
                <w:ilvl w:val="0"/>
                <w:numId w:val="1024"/>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tc>
      </w:tr>
    </w:tbl>
    <w:bookmarkEnd w:id="89"/>
    <w:bookmarkEnd w:id="90"/>
    <w:bookmarkStart w:id="93" w:name="sec-1Bdata"/>
    <w:p>
      <w:pPr>
        <w:pStyle w:val="Heading2"/>
      </w:pPr>
      <w:r>
        <w:t xml:space="preserve">12.2 Task 1B -</w:t>
      </w:r>
    </w:p>
    <w:p>
      <w:pPr>
        <w:pStyle w:val="FirstParagraph"/>
      </w:pPr>
      <w:r>
        <w:t xml:space="preserve">You should annotate your gel (label the DNA ladder and wells with their sample names), as for example in</w:t>
      </w:r>
      <w:r>
        <w:t xml:space="preserve"> </w:t>
      </w:r>
      <w:hyperlink w:anchor="fig-annotatedgel">
        <w:r>
          <w:rPr>
            <w:rStyle w:val="Hyperlink"/>
          </w:rPr>
          <w:t xml:space="preserve">Figure 12.2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1" w:name="fig-annotatedgel"/>
          <w:p>
            <w:pPr>
              <w:pStyle w:val="Compact"/>
              <w:jc w:val="center"/>
            </w:pPr>
          </w:p>
          <w:p>
            <w:pPr>
              <w:jc w:val="center"/>
            </w:pPr>
            <w:pPr>
              <w:jc w:val="start"/>
              <w:spacing w:before="200"/>
              <w:pStyle w:val="ImageCaption"/>
            </w:pPr>
            <w:r>
              <w:t xml:space="preserve">Figure 12.2: Example of an annotated gel.</w:t>
            </w:r>
          </w:p>
          <w:bookmarkEnd w:id="91"/>
        </w:tc>
      </w:tr>
    </w:tbl>
    <w:p>
      <w:pPr>
        <w:pStyle w:val="BodyText"/>
      </w:pPr>
      <w:r>
        <w:t xml:space="preserve">You can find the product information sheet for the DNA ladder which we used in this lab, including the size of each band, on the</w:t>
      </w:r>
      <w:r>
        <w:t xml:space="preserve"> </w:t>
      </w:r>
      <w:r>
        <w:t xml:space="preserve">manufacturer’s website</w:t>
      </w:r>
      <w:r>
        <w:t xml:space="preserve">.</w:t>
      </w:r>
    </w:p>
    <w:bookmarkStart w:id="92" w:name="discussion-streak"/>
    <w:p>
      <w:pPr>
        <w:pStyle w:val="BodyText"/>
      </w:pPr>
      <w:r>
        <w:rPr>
          <w:b/>
          <w:bCs/>
        </w:rPr>
        <w:t xml:space="preserve">Questions to consider/discuss with your lab partners:</w:t>
      </w:r>
    </w:p>
    <w:bookmarkEnd w:id="92"/>
    <w:bookmarkEnd w:id="93"/>
    <w:bookmarkEnd w:id="94"/>
    <w:bookmarkStart w:id="98" w:name="X0428a64e2e3d4a59a5b2e8ac972d8400ded9d5b"/>
    <w:p>
      <w:pPr>
        <w:pStyle w:val="Heading1"/>
      </w:pPr>
      <w:r>
        <w:t xml:space="preserve">13. Additional Resources/Further Reading for Experiment 1</w:t>
      </w:r>
    </w:p>
    <w:bookmarkStart w:id="95" w:name="microbiology-society-techniques-videos"/>
    <w:p>
      <w:pPr>
        <w:pStyle w:val="Heading2"/>
      </w:pPr>
      <w:r>
        <w:t xml:space="preserve">13.1 Microbiology Society</w:t>
      </w:r>
      <w:r>
        <w:t xml:space="preserve"> </w:t>
      </w:r>
      <w:r>
        <w:t xml:space="preserve">“Techniques”</w:t>
      </w:r>
      <w:r>
        <w:t xml:space="preserve"> </w:t>
      </w:r>
      <w:r>
        <w:t xml:space="preserve">videos</w:t>
      </w:r>
    </w:p>
    <w:p>
      <w:pPr>
        <w:pStyle w:val="FirstParagraph"/>
      </w:pPr>
      <w:r>
        <w:t xml:space="preserve">These videos illustrate many of the techniques used in this lab, you may find it helpful to watch them to prepare for the lab (or as review afterwards)</w:t>
      </w:r>
    </w:p>
    <w:p>
      <w:pPr>
        <w:numPr>
          <w:ilvl w:val="0"/>
          <w:numId w:val="1026"/>
        </w:numPr>
      </w:pPr>
      <w:r>
        <w:t xml:space="preserve">Transferring agar to a Petri dish</w:t>
      </w:r>
    </w:p>
    <w:p>
      <w:pPr>
        <w:numPr>
          <w:ilvl w:val="0"/>
          <w:numId w:val="1026"/>
        </w:numPr>
      </w:pPr>
      <w:r>
        <w:t xml:space="preserve">Using a sterile inoculating loop</w:t>
      </w:r>
    </w:p>
    <w:p>
      <w:pPr>
        <w:numPr>
          <w:ilvl w:val="0"/>
          <w:numId w:val="1026"/>
        </w:numPr>
      </w:pPr>
      <w:r>
        <w:t xml:space="preserve">Making a Streak Plate</w:t>
      </w:r>
    </w:p>
    <w:p>
      <w:pPr>
        <w:numPr>
          <w:ilvl w:val="0"/>
          <w:numId w:val="1026"/>
        </w:numPr>
      </w:pPr>
      <w:r>
        <w:t xml:space="preserve">Serial Dilution</w:t>
      </w:r>
    </w:p>
    <w:p>
      <w:pPr>
        <w:numPr>
          <w:ilvl w:val="0"/>
          <w:numId w:val="1026"/>
        </w:numPr>
      </w:pPr>
      <w:r>
        <w:t xml:space="preserve">Using a Pipette and Spreader</w:t>
      </w:r>
    </w:p>
    <w:bookmarkEnd w:id="95"/>
    <w:bookmarkStart w:id="96" w:name="streak-plates"/>
    <w:p>
      <w:pPr>
        <w:pStyle w:val="Heading2"/>
      </w:pPr>
      <w:r>
        <w:t xml:space="preserve">13.2 Streak Plates</w:t>
      </w:r>
    </w:p>
    <w:p>
      <w:pPr>
        <w:pStyle w:val="Compact"/>
        <w:numPr>
          <w:ilvl w:val="0"/>
          <w:numId w:val="1027"/>
        </w:numPr>
      </w:pPr>
      <w:r>
        <w:t xml:space="preserve">The Streak Plate Protocol (American Society for Microbiology)</w:t>
      </w:r>
      <w:r>
        <w:t xml:space="preserve">: Some good historical background and a detailed protocol</w:t>
      </w:r>
    </w:p>
    <w:bookmarkEnd w:id="96"/>
    <w:bookmarkStart w:id="97" w:name="bacterial-plasmids"/>
    <w:p>
      <w:pPr>
        <w:pStyle w:val="Heading2"/>
      </w:pPr>
      <w:r>
        <w:t xml:space="preserve">13.3 Bacterial Plasmids</w:t>
      </w:r>
    </w:p>
    <w:p>
      <w:pPr>
        <w:pStyle w:val="Compact"/>
        <w:numPr>
          <w:ilvl w:val="0"/>
          <w:numId w:val="1028"/>
        </w:numPr>
      </w:pPr>
      <w:r>
        <w:t xml:space="preserve">Addgene: Plasmids 101</w:t>
      </w:r>
      <w:r>
        <w:t xml:space="preserve">: helpful introduction to the basics of plasmid biology</w:t>
      </w:r>
    </w:p>
    <w:bookmarkEnd w:id="97"/>
    <w:bookmarkEnd w:id="98"/>
    <w:bookmarkStart w:id="104" w:name="experiment-2-aims-and-overview"/>
    <w:p>
      <w:pPr>
        <w:pStyle w:val="Heading1"/>
      </w:pPr>
      <w:r>
        <w:t xml:space="preserve">14. Experiment 2 Aims and Overview</w:t>
      </w:r>
    </w:p>
    <w:bookmarkStart w:id="99" w:name="aims-1"/>
    <w:p>
      <w:pPr>
        <w:pStyle w:val="Heading2"/>
      </w:pPr>
      <w:r>
        <w:t xml:space="preserve">14.1 Aims</w:t>
      </w:r>
    </w:p>
    <w:bookmarkEnd w:id="99"/>
    <w:bookmarkStart w:id="100" w:name="learning-outcomes-1"/>
    <w:p>
      <w:pPr>
        <w:pStyle w:val="Heading2"/>
      </w:pPr>
      <w:r>
        <w:t xml:space="preserve">14.2 Learning Outcomes</w:t>
      </w:r>
    </w:p>
    <w:p>
      <w:pPr>
        <w:pStyle w:val="FirstParagraph"/>
      </w:pPr>
      <w:r>
        <w:t xml:space="preserve">At the end of this laboratory session, you should understand:</w:t>
      </w:r>
    </w:p>
    <w:bookmarkEnd w:id="100"/>
    <w:bookmarkStart w:id="101" w:name="competencies-1"/>
    <w:p>
      <w:pPr>
        <w:pStyle w:val="Heading2"/>
      </w:pPr>
      <w:r>
        <w:t xml:space="preserve">14.3 Competencies</w:t>
      </w:r>
    </w:p>
    <w:p>
      <w:pPr>
        <w:numPr>
          <w:ilvl w:val="0"/>
          <w:numId w:val="1030"/>
        </w:numPr>
      </w:pPr>
      <w:r>
        <w:t xml:space="preserve">Performing data analysis</w:t>
      </w:r>
    </w:p>
    <w:p>
      <w:pPr>
        <w:numPr>
          <w:ilvl w:val="0"/>
          <w:numId w:val="1030"/>
        </w:numPr>
      </w:pPr>
      <w:r>
        <w:t xml:space="preserve">Calculating antibiotic MBC and MIC values</w:t>
      </w:r>
    </w:p>
    <w:p>
      <w:pPr>
        <w:numPr>
          <w:ilvl w:val="0"/>
          <w:numId w:val="1030"/>
        </w:numPr>
      </w:pPr>
      <w:r>
        <w:t xml:space="preserve">Teamwork</w:t>
      </w:r>
    </w:p>
    <w:p>
      <w:pPr>
        <w:numPr>
          <w:ilvl w:val="0"/>
          <w:numId w:val="1030"/>
        </w:numPr>
      </w:pPr>
      <w:r>
        <w:t xml:space="preserve">Keeping detailed and accurate records</w:t>
      </w:r>
    </w:p>
    <w:bookmarkEnd w:id="101"/>
    <w:bookmarkStart w:id="102" w:name="importance-1"/>
    <w:p>
      <w:pPr>
        <w:pStyle w:val="Heading2"/>
      </w:pPr>
      <w:r>
        <w:t xml:space="preserve">14.4 Importance</w:t>
      </w:r>
    </w:p>
    <w:p>
      <w:pPr>
        <w:pStyle w:val="FirstParagraph"/>
      </w:pPr>
      <w:r>
        <w:t xml:space="preserve">This laboratory session</w:t>
      </w:r>
    </w:p>
    <w:bookmarkEnd w:id="102"/>
    <w:bookmarkStart w:id="103" w:name="overview-of-experiment-2"/>
    <w:p>
      <w:pPr>
        <w:pStyle w:val="Heading2"/>
      </w:pPr>
      <w:r>
        <w:t xml:space="preserve">14.5 Overview of Experiment 2</w:t>
      </w:r>
    </w:p>
    <w:p>
      <w:pPr>
        <w:pStyle w:val="FirstParagraph"/>
      </w:pPr>
      <w:r>
        <w:t xml:space="preserve">In this experiment, you will be :</w:t>
      </w:r>
    </w:p>
    <w:bookmarkEnd w:id="103"/>
    <w:bookmarkEnd w:id="104"/>
    <w:bookmarkStart w:id="105" w:name="experiment-2---intro"/>
    <w:p>
      <w:pPr>
        <w:pStyle w:val="Heading1"/>
      </w:pPr>
      <w:r>
        <w:t xml:space="preserve">15. Experiment 2 - Intro</w:t>
      </w:r>
    </w:p>
    <w:bookmarkEnd w:id="105"/>
    <w:bookmarkStart w:id="107" w:name="experiment-2-protocols"/>
    <w:p>
      <w:pPr>
        <w:pStyle w:val="Heading1"/>
      </w:pPr>
      <w:r>
        <w:t xml:space="preserve">16. Experiment 2 Protocols</w:t>
      </w:r>
    </w:p>
    <w:p>
      <w:pPr>
        <w:pStyle w:val="FirstParagraph"/>
      </w:pPr>
      <w:r>
        <w:t xml:space="preserve">You can view the handout for lab 1 below, or download it</w:t>
      </w:r>
      <w:r>
        <w:t xml:space="preserve"> </w:t>
      </w:r>
      <w:hyperlink r:id="rId106">
        <w:r>
          <w:rPr>
            <w:rStyle w:val="Hyperlink"/>
          </w:rPr>
          <w:t xml:space="preserve">here</w:t>
        </w:r>
      </w:hyperlink>
      <w:r>
        <w:t xml:space="preserve">.</w:t>
      </w:r>
    </w:p>
    <w:bookmarkEnd w:id="107"/>
    <w:bookmarkStart w:id="108" w:name="experiment-2---data-analysis"/>
    <w:p>
      <w:pPr>
        <w:pStyle w:val="Heading1"/>
      </w:pPr>
      <w:r>
        <w:t xml:space="preserve">17. Experiment 2 - Data Analysis</w:t>
      </w:r>
    </w:p>
    <w:bookmarkEnd w:id="108"/>
    <w:bookmarkStart w:id="109" w:name="X56b444cfc7fe5578242590bcd0dc30283764e23"/>
    <w:p>
      <w:pPr>
        <w:pStyle w:val="Heading1"/>
      </w:pPr>
      <w:r>
        <w:t xml:space="preserve">18. Additional Resources/Further Reading for Experiment 2</w:t>
      </w:r>
    </w:p>
    <w:bookmarkEnd w:id="109"/>
    <w:bookmarkStart w:id="115" w:name="experiment-3-aims-and-overview"/>
    <w:p>
      <w:pPr>
        <w:pStyle w:val="Heading1"/>
      </w:pPr>
      <w:r>
        <w:t xml:space="preserve">19. Experiment 3 Aims and Overview</w:t>
      </w:r>
    </w:p>
    <w:bookmarkStart w:id="110" w:name="aims-2"/>
    <w:p>
      <w:pPr>
        <w:pStyle w:val="Heading2"/>
      </w:pPr>
      <w:r>
        <w:t xml:space="preserve">19.1 Aims</w:t>
      </w:r>
    </w:p>
    <w:bookmarkEnd w:id="110"/>
    <w:bookmarkStart w:id="111" w:name="learning-outcomes-2"/>
    <w:p>
      <w:pPr>
        <w:pStyle w:val="Heading2"/>
      </w:pPr>
      <w:r>
        <w:t xml:space="preserve">19.2 Learning Outcomes</w:t>
      </w:r>
    </w:p>
    <w:p>
      <w:pPr>
        <w:pStyle w:val="FirstParagraph"/>
      </w:pPr>
      <w:r>
        <w:t xml:space="preserve">At the end of this laboratory session, you should understand:</w:t>
      </w:r>
    </w:p>
    <w:bookmarkEnd w:id="111"/>
    <w:bookmarkStart w:id="112" w:name="competencies-2"/>
    <w:p>
      <w:pPr>
        <w:pStyle w:val="Heading2"/>
      </w:pPr>
      <w:r>
        <w:t xml:space="preserve">19.3 Competencies</w:t>
      </w:r>
    </w:p>
    <w:p>
      <w:pPr>
        <w:numPr>
          <w:ilvl w:val="0"/>
          <w:numId w:val="1032"/>
        </w:numPr>
      </w:pPr>
      <w:r>
        <w:t xml:space="preserve">Performing data analysis</w:t>
      </w:r>
    </w:p>
    <w:p>
      <w:pPr>
        <w:numPr>
          <w:ilvl w:val="0"/>
          <w:numId w:val="1032"/>
        </w:numPr>
      </w:pPr>
      <w:r>
        <w:t xml:space="preserve">Using online databases</w:t>
      </w:r>
    </w:p>
    <w:p>
      <w:pPr>
        <w:numPr>
          <w:ilvl w:val="0"/>
          <w:numId w:val="1032"/>
        </w:numPr>
      </w:pPr>
      <w:r>
        <w:t xml:space="preserve">Teamwork</w:t>
      </w:r>
    </w:p>
    <w:p>
      <w:pPr>
        <w:numPr>
          <w:ilvl w:val="0"/>
          <w:numId w:val="1032"/>
        </w:numPr>
      </w:pPr>
      <w:r>
        <w:t xml:space="preserve">Keeping detailed and accurate records</w:t>
      </w:r>
    </w:p>
    <w:bookmarkEnd w:id="112"/>
    <w:bookmarkStart w:id="113" w:name="importance-2"/>
    <w:p>
      <w:pPr>
        <w:pStyle w:val="Heading2"/>
      </w:pPr>
      <w:r>
        <w:t xml:space="preserve">19.4 Importance</w:t>
      </w:r>
    </w:p>
    <w:p>
      <w:pPr>
        <w:pStyle w:val="FirstParagraph"/>
      </w:pPr>
      <w:r>
        <w:t xml:space="preserve">This laboratory session</w:t>
      </w:r>
    </w:p>
    <w:bookmarkEnd w:id="113"/>
    <w:bookmarkStart w:id="114" w:name="overview-of-experiment-3"/>
    <w:p>
      <w:pPr>
        <w:pStyle w:val="Heading2"/>
      </w:pPr>
      <w:r>
        <w:t xml:space="preserve">19.5 Overview of Experiment 3</w:t>
      </w:r>
    </w:p>
    <w:p>
      <w:pPr>
        <w:pStyle w:val="FirstParagraph"/>
      </w:pPr>
      <w:r>
        <w:t xml:space="preserve">In this experiment, you will be :</w:t>
      </w:r>
    </w:p>
    <w:bookmarkEnd w:id="114"/>
    <w:bookmarkEnd w:id="115"/>
    <w:bookmarkStart w:id="116" w:name="experiment-3---intro"/>
    <w:p>
      <w:pPr>
        <w:pStyle w:val="Heading1"/>
      </w:pPr>
      <w:r>
        <w:t xml:space="preserve">20. Experiment 3 - Intro</w:t>
      </w:r>
    </w:p>
    <w:bookmarkEnd w:id="116"/>
    <w:bookmarkStart w:id="118" w:name="experiment-3-protocols"/>
    <w:p>
      <w:pPr>
        <w:pStyle w:val="Heading1"/>
      </w:pPr>
      <w:r>
        <w:t xml:space="preserve">21. Experiment 3 Protocols</w:t>
      </w:r>
    </w:p>
    <w:p>
      <w:pPr>
        <w:pStyle w:val="FirstParagraph"/>
      </w:pPr>
      <w:r>
        <w:t xml:space="preserve">You can view the handout for lab 3 below, or download it</w:t>
      </w:r>
      <w:r>
        <w:t xml:space="preserve"> </w:t>
      </w:r>
      <w:hyperlink r:id="rId117">
        <w:r>
          <w:rPr>
            <w:rStyle w:val="Hyperlink"/>
          </w:rPr>
          <w:t xml:space="preserve">here</w:t>
        </w:r>
      </w:hyperlink>
      <w:r>
        <w:t xml:space="preserve">.</w:t>
      </w:r>
    </w:p>
    <w:bookmarkEnd w:id="118"/>
    <w:bookmarkStart w:id="119" w:name="experiment-3---data-analysis"/>
    <w:p>
      <w:pPr>
        <w:pStyle w:val="Heading1"/>
      </w:pPr>
      <w:r>
        <w:t xml:space="preserve">22. Experiment 3 - Data Analysis</w:t>
      </w:r>
    </w:p>
    <w:bookmarkEnd w:id="119"/>
    <w:bookmarkStart w:id="120" w:name="X91f6e6dd546528cc7cba6ac658aa9c8366de79c"/>
    <w:p>
      <w:pPr>
        <w:pStyle w:val="Heading1"/>
      </w:pPr>
      <w:r>
        <w:t xml:space="preserve">23. Additional Resources/Further Reading for Experiment 3</w:t>
      </w:r>
    </w:p>
    <w:bookmarkEnd w:id="120"/>
    <w:bookmarkStart w:id="126" w:name="experiment-4-aims-and-overview"/>
    <w:p>
      <w:pPr>
        <w:pStyle w:val="Heading1"/>
      </w:pPr>
      <w:r>
        <w:t xml:space="preserve">24. Experiment 4 Aims and Overview</w:t>
      </w:r>
    </w:p>
    <w:bookmarkStart w:id="121" w:name="aims-3"/>
    <w:p>
      <w:pPr>
        <w:pStyle w:val="Heading2"/>
      </w:pPr>
      <w:r>
        <w:t xml:space="preserve">24.1 Aims</w:t>
      </w:r>
    </w:p>
    <w:bookmarkEnd w:id="121"/>
    <w:bookmarkStart w:id="122" w:name="learning-outcomes-3"/>
    <w:p>
      <w:pPr>
        <w:pStyle w:val="Heading2"/>
      </w:pPr>
      <w:r>
        <w:t xml:space="preserve">24.2 Learning Outcomes</w:t>
      </w:r>
    </w:p>
    <w:p>
      <w:pPr>
        <w:pStyle w:val="FirstParagraph"/>
      </w:pPr>
      <w:r>
        <w:t xml:space="preserve">At the end of this laboratory session, you should understand:</w:t>
      </w:r>
    </w:p>
    <w:bookmarkEnd w:id="122"/>
    <w:bookmarkStart w:id="123" w:name="competencies-3"/>
    <w:p>
      <w:pPr>
        <w:pStyle w:val="Heading2"/>
      </w:pPr>
      <w:r>
        <w:t xml:space="preserve">24.3 Competencies</w:t>
      </w:r>
    </w:p>
    <w:p>
      <w:pPr>
        <w:numPr>
          <w:ilvl w:val="0"/>
          <w:numId w:val="1034"/>
        </w:numPr>
      </w:pPr>
      <w:r>
        <w:t xml:space="preserve">Performing calculations</w:t>
      </w:r>
    </w:p>
    <w:p>
      <w:pPr>
        <w:numPr>
          <w:ilvl w:val="0"/>
          <w:numId w:val="1034"/>
        </w:numPr>
      </w:pPr>
      <w:r>
        <w:t xml:space="preserve">Performing data analysis</w:t>
      </w:r>
    </w:p>
    <w:p>
      <w:pPr>
        <w:numPr>
          <w:ilvl w:val="0"/>
          <w:numId w:val="1034"/>
        </w:numPr>
      </w:pPr>
      <w:r>
        <w:t xml:space="preserve">Formulating hypotheses</w:t>
      </w:r>
    </w:p>
    <w:p>
      <w:pPr>
        <w:numPr>
          <w:ilvl w:val="0"/>
          <w:numId w:val="1034"/>
        </w:numPr>
      </w:pPr>
      <w:r>
        <w:t xml:space="preserve">Using databases</w:t>
      </w:r>
    </w:p>
    <w:p>
      <w:pPr>
        <w:numPr>
          <w:ilvl w:val="0"/>
          <w:numId w:val="1034"/>
        </w:numPr>
      </w:pPr>
      <w:r>
        <w:t xml:space="preserve">Teamwork</w:t>
      </w:r>
    </w:p>
    <w:p>
      <w:pPr>
        <w:numPr>
          <w:ilvl w:val="0"/>
          <w:numId w:val="1034"/>
        </w:numPr>
      </w:pPr>
      <w:r>
        <w:t xml:space="preserve">Keeping detailed and accurate records</w:t>
      </w:r>
    </w:p>
    <w:bookmarkEnd w:id="123"/>
    <w:bookmarkStart w:id="124" w:name="importance-3"/>
    <w:p>
      <w:pPr>
        <w:pStyle w:val="Heading2"/>
      </w:pPr>
      <w:r>
        <w:t xml:space="preserve">24.4 Importance</w:t>
      </w:r>
    </w:p>
    <w:p>
      <w:pPr>
        <w:pStyle w:val="FirstParagraph"/>
      </w:pPr>
      <w:r>
        <w:t xml:space="preserve">This laboratory session</w:t>
      </w:r>
    </w:p>
    <w:bookmarkEnd w:id="124"/>
    <w:bookmarkStart w:id="125" w:name="overview-of-experiment-4"/>
    <w:p>
      <w:pPr>
        <w:pStyle w:val="Heading2"/>
      </w:pPr>
      <w:r>
        <w:t xml:space="preserve">24.5 Overview of Experiment 4</w:t>
      </w:r>
    </w:p>
    <w:p>
      <w:pPr>
        <w:pStyle w:val="FirstParagraph"/>
      </w:pPr>
      <w:r>
        <w:t xml:space="preserve">In this experiment, you will be :</w:t>
      </w:r>
    </w:p>
    <w:bookmarkEnd w:id="125"/>
    <w:bookmarkEnd w:id="126"/>
    <w:bookmarkStart w:id="127" w:name="experiment-4---intro"/>
    <w:p>
      <w:pPr>
        <w:pStyle w:val="Heading1"/>
      </w:pPr>
      <w:r>
        <w:t xml:space="preserve">25. Experiment 4 - Intro</w:t>
      </w:r>
    </w:p>
    <w:bookmarkEnd w:id="127"/>
    <w:bookmarkStart w:id="129" w:name="experiment-4-protocols"/>
    <w:p>
      <w:pPr>
        <w:pStyle w:val="Heading1"/>
      </w:pPr>
      <w:r>
        <w:t xml:space="preserve">26. Experiment 4 Protocols</w:t>
      </w:r>
    </w:p>
    <w:p>
      <w:pPr>
        <w:pStyle w:val="FirstParagraph"/>
      </w:pPr>
      <w:r>
        <w:t xml:space="preserve">You can view the handout for lab 4 below, or download it</w:t>
      </w:r>
      <w:r>
        <w:t xml:space="preserve"> </w:t>
      </w:r>
      <w:hyperlink r:id="rId128">
        <w:r>
          <w:rPr>
            <w:rStyle w:val="Hyperlink"/>
          </w:rPr>
          <w:t xml:space="preserve">here</w:t>
        </w:r>
      </w:hyperlink>
      <w:r>
        <w:t xml:space="preserve">.</w:t>
      </w:r>
    </w:p>
    <w:bookmarkEnd w:id="129"/>
    <w:bookmarkStart w:id="130" w:name="experiment-4---data-analysis"/>
    <w:p>
      <w:pPr>
        <w:pStyle w:val="Heading1"/>
      </w:pPr>
      <w:r>
        <w:t xml:space="preserve">27. Experiment 4 - Data Analysis</w:t>
      </w:r>
    </w:p>
    <w:bookmarkEnd w:id="130"/>
    <w:bookmarkStart w:id="131" w:name="X87d1c92cdaa4bfc4a1397f03be225ead1a245a0"/>
    <w:p>
      <w:pPr>
        <w:pStyle w:val="Heading1"/>
      </w:pPr>
      <w:r>
        <w:t xml:space="preserve">28. Additional Resources/Further Reading for Experiment 4</w:t>
      </w:r>
    </w:p>
    <w:bookmarkEnd w:id="131"/>
    <w:bookmarkStart w:id="137" w:name="experiment-5-aims-and-overview"/>
    <w:p>
      <w:pPr>
        <w:pStyle w:val="Heading1"/>
      </w:pPr>
      <w:r>
        <w:t xml:space="preserve">29. Experiment 5 Aims and Overview</w:t>
      </w:r>
    </w:p>
    <w:bookmarkStart w:id="132" w:name="aims-4"/>
    <w:p>
      <w:pPr>
        <w:pStyle w:val="Heading2"/>
      </w:pPr>
      <w:r>
        <w:t xml:space="preserve">29.1 Aims</w:t>
      </w:r>
    </w:p>
    <w:bookmarkEnd w:id="132"/>
    <w:bookmarkStart w:id="133" w:name="learning-outcomes-4"/>
    <w:p>
      <w:pPr>
        <w:pStyle w:val="Heading2"/>
      </w:pPr>
      <w:r>
        <w:t xml:space="preserve">29.2 Learning Outcomes</w:t>
      </w:r>
    </w:p>
    <w:p>
      <w:pPr>
        <w:pStyle w:val="FirstParagraph"/>
      </w:pPr>
      <w:r>
        <w:t xml:space="preserve">At the end of this laboratory session, you should understand:</w:t>
      </w:r>
    </w:p>
    <w:bookmarkEnd w:id="133"/>
    <w:bookmarkStart w:id="134" w:name="competencies-4"/>
    <w:p>
      <w:pPr>
        <w:pStyle w:val="Heading2"/>
      </w:pPr>
      <w:r>
        <w:t xml:space="preserve">29.3 Competencies</w:t>
      </w:r>
    </w:p>
    <w:p>
      <w:pPr>
        <w:numPr>
          <w:ilvl w:val="0"/>
          <w:numId w:val="1036"/>
        </w:numPr>
      </w:pPr>
      <w:r>
        <w:t xml:space="preserve">Using appropriate software to visualize and analyze microscopy data</w:t>
      </w:r>
    </w:p>
    <w:p>
      <w:pPr>
        <w:numPr>
          <w:ilvl w:val="0"/>
          <w:numId w:val="1036"/>
        </w:numPr>
      </w:pPr>
      <w:r>
        <w:t xml:space="preserve">Data analysis</w:t>
      </w:r>
    </w:p>
    <w:p>
      <w:pPr>
        <w:numPr>
          <w:ilvl w:val="0"/>
          <w:numId w:val="1036"/>
        </w:numPr>
      </w:pPr>
      <w:r>
        <w:t xml:space="preserve">Data presentation</w:t>
      </w:r>
    </w:p>
    <w:p>
      <w:pPr>
        <w:numPr>
          <w:ilvl w:val="0"/>
          <w:numId w:val="1036"/>
        </w:numPr>
      </w:pPr>
      <w:r>
        <w:t xml:space="preserve">Teamwork</w:t>
      </w:r>
    </w:p>
    <w:p>
      <w:pPr>
        <w:numPr>
          <w:ilvl w:val="0"/>
          <w:numId w:val="1036"/>
        </w:numPr>
      </w:pPr>
      <w:r>
        <w:t xml:space="preserve">Keeping detailed and accurate records</w:t>
      </w:r>
    </w:p>
    <w:bookmarkEnd w:id="134"/>
    <w:bookmarkStart w:id="135" w:name="importance-4"/>
    <w:p>
      <w:pPr>
        <w:pStyle w:val="Heading2"/>
      </w:pPr>
      <w:r>
        <w:t xml:space="preserve">29.4 Importance</w:t>
      </w:r>
    </w:p>
    <w:p>
      <w:pPr>
        <w:pStyle w:val="FirstParagraph"/>
      </w:pPr>
      <w:r>
        <w:t xml:space="preserve">This laboratory session</w:t>
      </w:r>
    </w:p>
    <w:bookmarkEnd w:id="135"/>
    <w:bookmarkStart w:id="136" w:name="overview-of-experiment-5"/>
    <w:p>
      <w:pPr>
        <w:pStyle w:val="Heading2"/>
      </w:pPr>
      <w:r>
        <w:t xml:space="preserve">29.5 Overview of Experiment 5</w:t>
      </w:r>
    </w:p>
    <w:p>
      <w:pPr>
        <w:pStyle w:val="FirstParagraph"/>
      </w:pPr>
      <w:r>
        <w:t xml:space="preserve">In this experiment, you will be :</w:t>
      </w:r>
    </w:p>
    <w:bookmarkEnd w:id="136"/>
    <w:bookmarkEnd w:id="137"/>
    <w:bookmarkStart w:id="138" w:name="experiment-5---intro"/>
    <w:p>
      <w:pPr>
        <w:pStyle w:val="Heading1"/>
      </w:pPr>
      <w:r>
        <w:t xml:space="preserve">30. Experiment 5 - Intro</w:t>
      </w:r>
    </w:p>
    <w:bookmarkEnd w:id="138"/>
    <w:bookmarkStart w:id="140" w:name="experiment-5-protocols"/>
    <w:p>
      <w:pPr>
        <w:pStyle w:val="Heading1"/>
      </w:pPr>
      <w:r>
        <w:t xml:space="preserve">31. Experiment 5 Protocols</w:t>
      </w:r>
    </w:p>
    <w:p>
      <w:pPr>
        <w:pStyle w:val="FirstParagraph"/>
      </w:pPr>
      <w:r>
        <w:t xml:space="preserve">You can view the handout for lab 5 below, or download it</w:t>
      </w:r>
      <w:r>
        <w:t xml:space="preserve"> </w:t>
      </w:r>
      <w:hyperlink r:id="rId139">
        <w:r>
          <w:rPr>
            <w:rStyle w:val="Hyperlink"/>
          </w:rPr>
          <w:t xml:space="preserve">here</w:t>
        </w:r>
      </w:hyperlink>
      <w:r>
        <w:t xml:space="preserve">.</w:t>
      </w:r>
    </w:p>
    <w:bookmarkEnd w:id="140"/>
    <w:bookmarkStart w:id="141" w:name="data"/>
    <w:p>
      <w:pPr>
        <w:pStyle w:val="Heading1"/>
      </w:pPr>
      <w:r>
        <w:t xml:space="preserve">32. 5data</w:t>
      </w:r>
    </w:p>
    <w:p>
      <w:pPr>
        <w:pStyle w:val="FirstParagraph"/>
      </w:pPr>
      <w:r>
        <w:t xml:space="preserve">Write your content here.</w:t>
      </w:r>
    </w:p>
    <w:bookmarkEnd w:id="141"/>
    <w:bookmarkStart w:id="142" w:name="X731eb4f2bf49ce4e251e33bc8cd794f988f515f"/>
    <w:p>
      <w:pPr>
        <w:pStyle w:val="Heading1"/>
      </w:pPr>
      <w:r>
        <w:t xml:space="preserve">33. Additional Resources/Further Reading for Experiment 5</w:t>
      </w:r>
    </w:p>
    <w:bookmarkEnd w:id="1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33" Target="./0aseptic.qmd" TargetMode="External" /><Relationship Type="http://schemas.openxmlformats.org/officeDocument/2006/relationships/hyperlink" Id="rId32" Target="./0goodlab.qmd" TargetMode="External" /><Relationship Type="http://schemas.openxmlformats.org/officeDocument/2006/relationships/hyperlink" Id="rId34" Target="./1intro1.qmd" TargetMode="External" /><Relationship Type="http://schemas.openxmlformats.org/officeDocument/2006/relationships/hyperlink" Id="rId35" Target="./1protocols.qmd" TargetMode="External" /><Relationship Type="http://schemas.openxmlformats.org/officeDocument/2006/relationships/hyperlink" Id="rId82" Target="./handouts/Lab1.pdf" TargetMode="External" /><Relationship Type="http://schemas.openxmlformats.org/officeDocument/2006/relationships/hyperlink" Id="rId106" Target="./handouts/Lab2.pdf" TargetMode="External" /><Relationship Type="http://schemas.openxmlformats.org/officeDocument/2006/relationships/hyperlink" Id="rId117" Target="./handouts/Lab3.pdf" TargetMode="External" /><Relationship Type="http://schemas.openxmlformats.org/officeDocument/2006/relationships/hyperlink" Id="rId128" Target="./handouts/Lab4.pdf" TargetMode="External" /><Relationship Type="http://schemas.openxmlformats.org/officeDocument/2006/relationships/hyperlink" Id="rId139" Target="./handouts/Lab5.pdf" TargetMode="External" /><Relationship Type="http://schemas.openxmlformats.org/officeDocument/2006/relationships/hyperlink" Id="rId25" Target="https://github.com/mafeeney/BM327microS1/issues/new" TargetMode="External" /></Relationships>
</file>

<file path=word/_rels/footnotes.xml.rels><?xml version="1.0" encoding="UTF-8"?><Relationships xmlns="http://schemas.openxmlformats.org/package/2006/relationships"><Relationship Type="http://schemas.openxmlformats.org/officeDocument/2006/relationships/hyperlink" Id="rId33" Target="./0aseptic.qmd" TargetMode="External" /><Relationship Type="http://schemas.openxmlformats.org/officeDocument/2006/relationships/hyperlink" Id="rId32" Target="./0goodlab.qmd" TargetMode="External" /><Relationship Type="http://schemas.openxmlformats.org/officeDocument/2006/relationships/hyperlink" Id="rId34" Target="./1intro1.qmd" TargetMode="External" /><Relationship Type="http://schemas.openxmlformats.org/officeDocument/2006/relationships/hyperlink" Id="rId35" Target="./1protocols.qmd" TargetMode="External" /><Relationship Type="http://schemas.openxmlformats.org/officeDocument/2006/relationships/hyperlink" Id="rId82" Target="./handouts/Lab1.pdf" TargetMode="External" /><Relationship Type="http://schemas.openxmlformats.org/officeDocument/2006/relationships/hyperlink" Id="rId106" Target="./handouts/Lab2.pdf" TargetMode="External" /><Relationship Type="http://schemas.openxmlformats.org/officeDocument/2006/relationships/hyperlink" Id="rId117" Target="./handouts/Lab3.pdf" TargetMode="External" /><Relationship Type="http://schemas.openxmlformats.org/officeDocument/2006/relationships/hyperlink" Id="rId128" Target="./handouts/Lab4.pdf" TargetMode="External" /><Relationship Type="http://schemas.openxmlformats.org/officeDocument/2006/relationships/hyperlink" Id="rId139" Target="./handouts/Lab5.pdf" TargetMode="External" /><Relationship Type="http://schemas.openxmlformats.org/officeDocument/2006/relationships/hyperlink" Id="rId25" Target="https://github.com/mafeeney/BM327microS1/issues/n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2025-07-10T13:32:12Z</dcterms:created>
  <dcterms:modified xsi:type="dcterms:W3CDTF">2025-07-10T13:32:12Z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