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167.png" ContentType="image/pn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 or by flipping through the pages (forward/reverse arrows at the bottom of each page.</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for that experiment, and an explanation of any data analysis tasks that need to be performed after the lab sessions. Links to the protocols (handouts) for each experiment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1"/>
              </w:numPr>
            </w:pPr>
            <w:r>
              <w:t xml:space="preserve">You will also find callout boxes (such as this one) throughout this lab manual with Tips, Important notes, Discussion Questions, To Do Lists, etc. These are intended to help you prepare for each lab (and for the assessment), so you should make sure to read through all the material.</w:t>
            </w:r>
          </w:p>
          <w:p>
            <w:pPr>
              <w:numPr>
                <w:ilvl w:val="0"/>
                <w:numId w:val="1001"/>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2"/>
        </w:numPr>
      </w:pPr>
      <w:r>
        <w:t xml:space="preserve">Good laboratory practice (labelling, pipetting, aseptic technique)</w:t>
      </w:r>
    </w:p>
    <w:p>
      <w:pPr>
        <w:numPr>
          <w:ilvl w:val="0"/>
          <w:numId w:val="1002"/>
        </w:numPr>
      </w:pPr>
      <w:r>
        <w:t xml:space="preserve">Performing basic lab calculations, e.g. serial dilutions</w:t>
      </w:r>
    </w:p>
    <w:p>
      <w:pPr>
        <w:numPr>
          <w:ilvl w:val="0"/>
          <w:numId w:val="1002"/>
        </w:numPr>
      </w:pPr>
      <w:r>
        <w:t xml:space="preserve">Performing data analysis</w:t>
      </w:r>
    </w:p>
    <w:p>
      <w:pPr>
        <w:numPr>
          <w:ilvl w:val="0"/>
          <w:numId w:val="1002"/>
        </w:numPr>
      </w:pPr>
      <w:r>
        <w:t xml:space="preserve">Interpreting phenotypic and genotypic data</w:t>
      </w:r>
    </w:p>
    <w:p>
      <w:pPr>
        <w:numPr>
          <w:ilvl w:val="0"/>
          <w:numId w:val="1002"/>
        </w:numPr>
      </w:pPr>
      <w:r>
        <w:t xml:space="preserve">Teamwork</w:t>
      </w:r>
    </w:p>
    <w:p>
      <w:pPr>
        <w:numPr>
          <w:ilvl w:val="0"/>
          <w:numId w:val="1002"/>
        </w:numPr>
      </w:pPr>
      <w:r>
        <w:t xml:space="preserve">Keeping detailed and accurate records</w:t>
      </w:r>
    </w:p>
    <w:p>
      <w:pPr>
        <w:pStyle w:val="FirstParagraph"/>
      </w:pPr>
      <w:r>
        <w:rPr>
          <w:i/>
          <w:iCs/>
        </w:rPr>
        <w:t xml:space="preserve">Lab 2</w:t>
      </w:r>
    </w:p>
    <w:p>
      <w:pPr>
        <w:numPr>
          <w:ilvl w:val="0"/>
          <w:numId w:val="1003"/>
        </w:numPr>
      </w:pPr>
      <w:r>
        <w:t xml:space="preserve">Good laboratory practice (aseptic technique, pipetting, spreading plates)</w:t>
      </w:r>
    </w:p>
    <w:p>
      <w:pPr>
        <w:numPr>
          <w:ilvl w:val="0"/>
          <w:numId w:val="1003"/>
        </w:numPr>
      </w:pPr>
      <w:r>
        <w:t xml:space="preserve">Experimentally determining antibiotic MBC and MIC values</w:t>
      </w:r>
    </w:p>
    <w:p>
      <w:pPr>
        <w:numPr>
          <w:ilvl w:val="0"/>
          <w:numId w:val="1003"/>
        </w:numPr>
      </w:pPr>
      <w:r>
        <w:t xml:space="preserve">Teamwork</w:t>
      </w:r>
    </w:p>
    <w:p>
      <w:pPr>
        <w:numPr>
          <w:ilvl w:val="0"/>
          <w:numId w:val="1003"/>
        </w:numPr>
      </w:pPr>
      <w:r>
        <w:t xml:space="preserve">Keeping detailed and accurate records</w:t>
      </w:r>
    </w:p>
    <w:p>
      <w:pPr>
        <w:numPr>
          <w:ilvl w:val="0"/>
          <w:numId w:val="1003"/>
        </w:numPr>
      </w:pPr>
      <w:r>
        <w:t xml:space="preserve">Performing data analysis</w:t>
      </w:r>
    </w:p>
    <w:p>
      <w:pPr>
        <w:pStyle w:val="FirstParagraph"/>
      </w:pPr>
      <w:r>
        <w:rPr>
          <w:i/>
          <w:iCs/>
        </w:rPr>
        <w:t xml:space="preserve">Lab 3</w:t>
      </w:r>
    </w:p>
    <w:p>
      <w:pPr>
        <w:numPr>
          <w:ilvl w:val="0"/>
          <w:numId w:val="1004"/>
        </w:numPr>
      </w:pPr>
      <w:r>
        <w:t xml:space="preserve">Good laboratory practice (aseptic technique, pipetting, labelling, spreading plates)</w:t>
      </w:r>
    </w:p>
    <w:p>
      <w:pPr>
        <w:numPr>
          <w:ilvl w:val="0"/>
          <w:numId w:val="1004"/>
        </w:numPr>
      </w:pPr>
      <w:r>
        <w:t xml:space="preserve">Performing data analysis (mapping loci on a bacterial chromosome)</w:t>
      </w:r>
    </w:p>
    <w:p>
      <w:pPr>
        <w:numPr>
          <w:ilvl w:val="0"/>
          <w:numId w:val="1004"/>
        </w:numPr>
      </w:pPr>
      <w:r>
        <w:t xml:space="preserve">Using online databases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4</w:t>
      </w:r>
    </w:p>
    <w:p>
      <w:pPr>
        <w:numPr>
          <w:ilvl w:val="0"/>
          <w:numId w:val="1005"/>
        </w:numPr>
      </w:pPr>
      <w:r>
        <w:t xml:space="preserve">Performing basic lab calculations</w:t>
      </w:r>
    </w:p>
    <w:p>
      <w:pPr>
        <w:numPr>
          <w:ilvl w:val="0"/>
          <w:numId w:val="1005"/>
        </w:numPr>
      </w:pPr>
      <w:r>
        <w:t xml:space="preserve">Good laboratory practice (pipetting, labelling, handling DNA, gel electrophoresis)</w:t>
      </w:r>
    </w:p>
    <w:p>
      <w:pPr>
        <w:numPr>
          <w:ilvl w:val="0"/>
          <w:numId w:val="1005"/>
        </w:numPr>
      </w:pPr>
      <w:r>
        <w:t xml:space="preserve">Performing data analysis</w:t>
      </w:r>
    </w:p>
    <w:p>
      <w:pPr>
        <w:numPr>
          <w:ilvl w:val="0"/>
          <w:numId w:val="1005"/>
        </w:numPr>
      </w:pPr>
      <w:r>
        <w:t xml:space="preserve">Formulating hypotheses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5</w:t>
      </w:r>
    </w:p>
    <w:p>
      <w:pPr>
        <w:numPr>
          <w:ilvl w:val="0"/>
          <w:numId w:val="1006"/>
        </w:numPr>
      </w:pPr>
      <w:r>
        <w:t xml:space="preserve">Good laboratory practice (microscopy)</w:t>
      </w:r>
    </w:p>
    <w:p>
      <w:pPr>
        <w:numPr>
          <w:ilvl w:val="0"/>
          <w:numId w:val="1006"/>
        </w:numPr>
      </w:pPr>
      <w:r>
        <w:t xml:space="preserve">Data analysis</w:t>
      </w:r>
    </w:p>
    <w:p>
      <w:pPr>
        <w:numPr>
          <w:ilvl w:val="0"/>
          <w:numId w:val="1006"/>
        </w:numPr>
      </w:pPr>
      <w:r>
        <w:t xml:space="preserve">Data presentation</w:t>
      </w:r>
    </w:p>
    <w:p>
      <w:pPr>
        <w:numPr>
          <w:ilvl w:val="0"/>
          <w:numId w:val="1006"/>
        </w:numPr>
      </w:pPr>
      <w:r>
        <w:t xml:space="preserve">Teamwork</w:t>
      </w:r>
    </w:p>
    <w:p>
      <w:pPr>
        <w:numPr>
          <w:ilvl w:val="0"/>
          <w:numId w:val="1006"/>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7"/>
        </w:numPr>
      </w:pPr>
      <w:r>
        <w:t xml:space="preserve">To understand how exposure to UV radiation can affect the ability of microorganisms to survive and produce antibiotics.</w:t>
      </w:r>
    </w:p>
    <w:p>
      <w:pPr>
        <w:numPr>
          <w:ilvl w:val="0"/>
          <w:numId w:val="1007"/>
        </w:numPr>
      </w:pPr>
      <w:r>
        <w:t xml:space="preserve">To understand how genetic elements are transferred between bacteria.</w:t>
      </w:r>
    </w:p>
    <w:p>
      <w:pPr>
        <w:numPr>
          <w:ilvl w:val="0"/>
          <w:numId w:val="1007"/>
        </w:numPr>
      </w:pPr>
      <w:r>
        <w:t xml:space="preserve">To understand how the susceptibility of bacteria to certain antibiotics is determined.</w:t>
      </w:r>
    </w:p>
    <w:p>
      <w:pPr>
        <w:numPr>
          <w:ilvl w:val="0"/>
          <w:numId w:val="1007"/>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8"/>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8"/>
              </w:numPr>
            </w:pPr>
            <w:r>
              <w:t xml:space="preserve">The introductory sections covering the theory underpinning each experiment</w:t>
            </w:r>
          </w:p>
          <w:p>
            <w:pPr>
              <w:numPr>
                <w:ilvl w:val="0"/>
                <w:numId w:val="1008"/>
              </w:numPr>
            </w:pPr>
            <w:r>
              <w:t xml:space="preserve">The protocols we will be using in that lab (you do not need to print these out - we will provide you with a handout)</w:t>
            </w:r>
          </w:p>
          <w:p>
            <w:pPr>
              <w:numPr>
                <w:ilvl w:val="0"/>
                <w:numId w:val="1008"/>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tbl>
      <w:tblPr>
        <w:tblStyle w:val="Table"/>
        <w:tblW w:type="pct" w:w="5000"/>
        <w:tblLayout w:type="fixed"/>
        <w:tblLook w:firstRow="0" w:lastRow="0" w:firstColumn="0" w:lastColumn="0" w:noHBand="0" w:noVBand="0" w:val="0000"/>
      </w:tblPr>
      <w:tblGrid>
        <w:gridCol w:w="7920"/>
      </w:tblGrid>
      <w:tr>
        <w:tc>
          <w:tcPr/>
          <w:bookmarkStart w:id="58" w:name="fig-platelabelling"/>
          <w:p>
            <w:pPr>
              <w:pStyle w:val="Compact"/>
              <w:jc w:val="center"/>
            </w:pPr>
            <w:r>
              <w:drawing>
                <wp:inline>
                  <wp:extent cx="5334000" cy="2759137"/>
                  <wp:effectExtent b="0" l="0" r="0" t="0"/>
                  <wp:docPr descr=""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Label around the rim of the Petri plate - not across the centre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platelid"/>
          <w:p>
            <w:pPr>
              <w:pStyle w:val="Compact"/>
              <w:jc w:val="center"/>
            </w:pPr>
            <w:r>
              <w:drawing>
                <wp:inline>
                  <wp:extent cx="5334000" cy="1657261"/>
                  <wp:effectExtent b="0" l="0" r="0" t="0"/>
                  <wp:docPr descr=""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Label the bottom of the Petri plate, not the lid</w:t>
            </w:r>
          </w:p>
          <w:bookmarkEnd w:id="62"/>
        </w:tc>
      </w:tr>
    </w:tbl>
    <w:p>
      <w:pPr>
        <w:pStyle w:val="BodyText"/>
      </w:pPr>
      <w:r>
        <w:rPr>
          <w:b/>
          <w:bCs/>
        </w:rP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hyperlink w:anchor="fig-platelabelling">
        <w:r>
          <w:rPr>
            <w:rStyle w:val="Hyperlink"/>
          </w:rPr>
          <w:t xml:space="preserve">Figure 7.1</w:t>
        </w:r>
      </w:hyperlink>
      <w:r>
        <w:t xml:space="preserve">. You should also be sure to label the</w:t>
      </w:r>
      <w:r>
        <w:t xml:space="preserve"> </w:t>
      </w:r>
      <w:r>
        <w:rPr>
          <w:i/>
          <w:iCs/>
        </w:rPr>
        <w:t xml:space="preserve">bottom</w:t>
      </w:r>
      <w:r>
        <w:t xml:space="preserve"> </w:t>
      </w:r>
      <w:r>
        <w:t xml:space="preserve">of the plate (</w:t>
      </w:r>
      <w:hyperlink w:anchor="fig-platelid">
        <w:r>
          <w:rPr>
            <w:rStyle w:val="Hyperlink"/>
          </w:rPr>
          <w:t xml:space="preserve">Figure 7.2</w:t>
        </w:r>
      </w:hyperlink>
      <w:r>
        <w:t xml:space="preserve">). The bottom and lid may become separated, so labeling the lid is a bad idea!</w:t>
      </w:r>
    </w:p>
    <w:bookmarkEnd w:id="63"/>
    <w:bookmarkStart w:id="64" w:name="other-tips-for-good-lab-practice"/>
    <w:p>
      <w:pPr>
        <w:pStyle w:val="Heading3"/>
      </w:pPr>
      <w:r>
        <w:t xml:space="preserve">7.1.3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tbl>
            <w:tblPr>
              <w:tblStyle w:val="Table"/>
              <w:tblW w:type="pct" w:w="5000"/>
              <w:tblLayout w:type="fixed"/>
              <w:tblLook w:firstRow="0" w:lastRow="0" w:firstColumn="0" w:lastColumn="0" w:noHBand="0" w:noVBand="0" w:val="0000"/>
            </w:tblPr>
            <w:tblGrid>
              <w:gridCol w:w="7920"/>
            </w:tblGrid>
            <w:tr>
              <w:tc>
                <w:tcPr/>
                <w:bookmarkStart w:id="78" w:name="fig-pipettips"/>
                <w:p>
                  <w:pPr>
                    <w:pStyle w:val="Compact"/>
                    <w:jc w:val="center"/>
                  </w:pPr>
                  <w:r>
                    <w:drawing>
                      <wp:inline>
                        <wp:extent cx="3340100" cy="3238500"/>
                        <wp:effectExtent b="0" l="0" r="0" t="0"/>
                        <wp:docPr descr=""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box of pipet tips that are no longer sterile. Image credit:</w:t>
                  </w:r>
                  <w:r>
                    <w:t xml:space="preserve"> </w:t>
                  </w:r>
                  <w:r>
                    <w:t xml:space="preserve">Starlab</w:t>
                  </w:r>
                </w:p>
                <w:bookmarkEnd w:id="78"/>
              </w:tc>
            </w:tr>
          </w:tbl>
          <w:p>
            <w:pPr>
              <w:pStyle w:val="BodyText"/>
            </w:pPr>
            <w:pPr>
              <w:spacing w:after="16"/>
            </w:pP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8.3</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8.3: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3"/>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105"/>
    <w:bookmarkStart w:id="106" w:name="competencies"/>
    <w:p>
      <w:pPr>
        <w:pStyle w:val="Heading2"/>
      </w:pPr>
      <w:r>
        <w:t xml:space="preserve">11.3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6"/>
              </w:numPr>
            </w:pPr>
            <w:r>
              <w:t xml:space="preserve">Why does the UV dose (</w:t>
            </w:r>
            <w:r>
              <w:t xml:space="preserve">“kill curve”</w:t>
            </w:r>
            <w:r>
              <w:t xml:space="preserve">) need to be determined experimentally for each particular bacterial species or strain?</w:t>
            </w:r>
          </w:p>
          <w:p>
            <w:pPr>
              <w:numPr>
                <w:ilvl w:val="0"/>
                <w:numId w:val="1026"/>
              </w:numPr>
            </w:pPr>
            <w:r>
              <w:t xml:space="preserve">When carrying out a bacterial mutagenesis experiment, would you prefer to screen or select for a phenotype of interest? Why?</w:t>
            </w:r>
          </w:p>
          <w:p>
            <w:pPr>
              <w:numPr>
                <w:ilvl w:val="0"/>
                <w:numId w:val="1026"/>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7"/>
              </w:numPr>
            </w:pPr>
            <w:r>
              <w:t xml:space="preserve">Colony counts from the caffeine mutagenesis experiment (your data/class data on MyPlace)</w:t>
            </w:r>
          </w:p>
          <w:p>
            <w:pPr>
              <w:numPr>
                <w:ilvl w:val="0"/>
                <w:numId w:val="1027"/>
              </w:numPr>
            </w:pPr>
            <w:r>
              <w:t xml:space="preserve">Colony counts from the UV mutagenesis data (experiment performed for you and data posted on MyPlace).</w:t>
            </w:r>
          </w:p>
          <w:p>
            <w:pPr>
              <w:pStyle w:val="FirstParagraph"/>
            </w:pPr>
            <w:pPr>
              <w:spacing w:after="16"/>
            </w:pPr>
            <w:r>
              <w:t xml:space="preserve">The UV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min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8"/>
        </w:numPr>
      </w:pPr>
      <w:r>
        <w:t xml:space="preserve">You should make the following calculations:</w:t>
      </w:r>
    </w:p>
    <w:p>
      <w:pPr>
        <w:numPr>
          <w:ilvl w:val="0"/>
          <w:numId w:val="1029"/>
        </w:numPr>
      </w:pPr>
      <w:r>
        <w:t xml:space="preserve">Using the triplicate counts for each time point, work out the mean CFU survival following UV irradiation or caffeine treatment of the spores for each time point.</w:t>
      </w:r>
    </w:p>
    <w:p>
      <w:pPr>
        <w:numPr>
          <w:ilvl w:val="0"/>
          <w:numId w:val="1029"/>
        </w:numPr>
      </w:pPr>
      <w:r>
        <w:t xml:space="preserve">Using these data plot a UV dose versus survival graph of your data (x-axis = time; y-axis = CFU/ml).</w:t>
      </w:r>
    </w:p>
    <w:p>
      <w:pPr>
        <w:pStyle w:val="Compact"/>
        <w:numPr>
          <w:ilvl w:val="0"/>
          <w:numId w:val="1030"/>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1"/>
        </w:numPr>
      </w:pPr>
      <w:r>
        <w:t xml:space="preserve">Compare the colonies obtained on the UV-irradiated plates with those on the equivalent dilutions of unirradiated plates (data available on MyPlace).</w:t>
      </w:r>
    </w:p>
    <w:p>
      <w:pPr>
        <w:numPr>
          <w:ilvl w:val="0"/>
          <w:numId w:val="1031"/>
        </w:numPr>
      </w:pPr>
      <w:r>
        <w:t xml:space="preserve">Carefully record your data (observations) in an appropriate format.</w:t>
      </w:r>
    </w:p>
    <w:p>
      <w:pPr>
        <w:numPr>
          <w:ilvl w:val="0"/>
          <w:numId w:val="1031"/>
        </w:numPr>
      </w:pPr>
      <w:r>
        <w:t xml:space="preserve">Can you identify over-producing mutants of the pigmented antibiotic Actinorhodin (Blue) or undecylprodigiosin (Red)? Do the colonies look different after UV mutagenesis? after caffeine mutagenesis?</w:t>
      </w:r>
    </w:p>
    <w:p>
      <w:pPr>
        <w:numPr>
          <w:ilvl w:val="0"/>
          <w:numId w:val="1031"/>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2"/>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2"/>
              </w:numPr>
            </w:pPr>
            <w:r>
              <w:t xml:space="preserve">Which colonies would you select for further analysis?</w:t>
            </w:r>
          </w:p>
          <w:p>
            <w:pPr>
              <w:numPr>
                <w:ilvl w:val="0"/>
                <w:numId w:val="1032"/>
              </w:numPr>
            </w:pPr>
            <w:r>
              <w:t xml:space="preserve">What experiments would you like to do to characterize these mutant strains?</w:t>
            </w:r>
          </w:p>
          <w:p>
            <w:pPr>
              <w:numPr>
                <w:ilvl w:val="0"/>
                <w:numId w:val="1032"/>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3"/>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3"/>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3"/>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3"/>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4"/>
        </w:numPr>
      </w:pPr>
      <w:r>
        <w:t xml:space="preserve">Nolan LM, Webber MA, Filloux A. Throwing a spotlight on genomic dark matter: The power and potential of transposon-insertion sequencing. J Biol Chem. 2025;301(6):110231. doi:10.1016/j.jbc.2025.110231</w:t>
      </w:r>
    </w:p>
    <w:p>
      <w:pPr>
        <w:numPr>
          <w:ilvl w:val="0"/>
          <w:numId w:val="1034"/>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4"/>
        </w:numPr>
      </w:pPr>
      <w:r>
        <w:t xml:space="preserve">Cronan JE. Approaches to Study Proteins Encoded by Essential Genes. Proteins. Published online August 15, 2025. doi:10.1002/prot.70039</w:t>
      </w:r>
    </w:p>
    <w:p>
      <w:pPr>
        <w:numPr>
          <w:ilvl w:val="0"/>
          <w:numId w:val="1034"/>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4"/>
        </w:numPr>
      </w:pPr>
      <w:r>
        <w:t xml:space="preserve">Craney A, Ahmed S, Nodwell J. Towards a new science of secondary metabolism. J Antibiot (Tokyo). 2013;66(7):387-400. doi:10.1038/ja.2013.25</w:t>
      </w:r>
    </w:p>
    <w:p>
      <w:pPr>
        <w:numPr>
          <w:ilvl w:val="0"/>
          <w:numId w:val="1034"/>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4"/>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4"/>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5"/>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6"/>
        </w:numPr>
      </w:pPr>
      <w:r>
        <w:t xml:space="preserve">How the susceptibility of bacteria to certain antibiotics is determined.</w:t>
      </w:r>
    </w:p>
    <w:p>
      <w:pPr>
        <w:numPr>
          <w:ilvl w:val="0"/>
          <w:numId w:val="1036"/>
        </w:numPr>
      </w:pPr>
      <w:r>
        <w:t xml:space="preserve">How to design an experiment to determine the MIC of an antibacterial agent.</w:t>
      </w:r>
    </w:p>
    <w:p>
      <w:pPr>
        <w:numPr>
          <w:ilvl w:val="0"/>
          <w:numId w:val="1036"/>
        </w:numPr>
      </w:pPr>
      <w:r>
        <w:t xml:space="preserve">How to be able to calculate MIC and MBC.</w:t>
      </w:r>
    </w:p>
    <w:bookmarkEnd w:id="136"/>
    <w:bookmarkStart w:id="137" w:name="competencies-1"/>
    <w:p>
      <w:pPr>
        <w:pStyle w:val="Heading2"/>
      </w:pPr>
      <w:r>
        <w:t xml:space="preserve">21.3 Competencies</w:t>
      </w:r>
    </w:p>
    <w:p>
      <w:pPr>
        <w:numPr>
          <w:ilvl w:val="0"/>
          <w:numId w:val="1037"/>
        </w:numPr>
      </w:pPr>
      <w:r>
        <w:t xml:space="preserve">Good laboratory practice (aseptic technique, pipetting, spreading plates)</w:t>
      </w:r>
    </w:p>
    <w:p>
      <w:pPr>
        <w:numPr>
          <w:ilvl w:val="0"/>
          <w:numId w:val="1037"/>
        </w:numPr>
      </w:pPr>
      <w:r>
        <w:t xml:space="preserve">Experimentally determining antibiotic MBC and MIC values</w:t>
      </w:r>
    </w:p>
    <w:p>
      <w:pPr>
        <w:numPr>
          <w:ilvl w:val="0"/>
          <w:numId w:val="1037"/>
        </w:numPr>
      </w:pPr>
      <w:r>
        <w:t xml:space="preserve">Teamwork</w:t>
      </w:r>
    </w:p>
    <w:p>
      <w:pPr>
        <w:numPr>
          <w:ilvl w:val="0"/>
          <w:numId w:val="1037"/>
        </w:numPr>
      </w:pPr>
      <w:r>
        <w:t xml:space="preserve">Keeping detailed and accurate records</w:t>
      </w:r>
    </w:p>
    <w:p>
      <w:pPr>
        <w:numPr>
          <w:ilvl w:val="0"/>
          <w:numId w:val="1037"/>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8"/>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8"/>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8"/>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w:t>
      </w:r>
    </w:p>
    <w:p>
      <w:pPr>
        <w:numPr>
          <w:ilvl w:val="0"/>
          <w:numId w:val="1039"/>
        </w:numPr>
      </w:pPr>
      <w:r>
        <w:t xml:space="preserve">MIC/MBC data for antibiotic X against mutant</w:t>
      </w:r>
      <w:r>
        <w:t xml:space="preserve"> </w:t>
      </w:r>
      <w:r>
        <w:rPr>
          <w:i/>
          <w:iCs/>
        </w:rPr>
        <w:t xml:space="preserve">E. coli</w:t>
      </w:r>
      <w:r>
        <w:t xml:space="preserve"> </w:t>
      </w:r>
      <w:r>
        <w:t xml:space="preserve">strains - you will use these data in</w:t>
      </w:r>
      <w:r>
        <w:t xml:space="preserve"> </w:t>
      </w:r>
      <w:hyperlink w:anchor="sec-task2C">
        <w:r>
          <w:rPr>
            <w:rStyle w:val="Hyperlink"/>
          </w:rPr>
          <w:t xml:space="preserve">Section 26.3</w:t>
        </w:r>
      </w:hyperlink>
      <w:r>
        <w:t xml:space="preserve">.</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5"/>
        </w:numPr>
      </w:pPr>
      <w:hyperlink r:id="rId154">
        <w:r>
          <w:rPr>
            <w:rStyle w:val="Hyperlink"/>
          </w:rPr>
          <w:t xml:space="preserve">Mueller-Hinton Medium (Small Things Considered blog post)</w:t>
        </w:r>
      </w:hyperlink>
    </w:p>
    <w:p>
      <w:pPr>
        <w:numPr>
          <w:ilvl w:val="0"/>
          <w:numId w:val="1045"/>
        </w:numPr>
      </w:pPr>
      <w:hyperlink r:id="rId155">
        <w:r>
          <w:rPr>
            <w:rStyle w:val="Hyperlink"/>
          </w:rPr>
          <w:t xml:space="preserve">Video demonstration - determining MIC and MBC for hydrogen peroxide</w:t>
        </w:r>
      </w:hyperlink>
    </w:p>
    <w:p>
      <w:pPr>
        <w:numPr>
          <w:ilvl w:val="0"/>
          <w:numId w:val="1045"/>
        </w:numPr>
      </w:pPr>
      <w:hyperlink r:id="rId156">
        <w:r>
          <w:rPr>
            <w:rStyle w:val="Hyperlink"/>
          </w:rPr>
          <w:t xml:space="preserve">Video demonstration - Kirby Bauer disk diffusion method</w:t>
        </w:r>
      </w:hyperlink>
    </w:p>
    <w:p>
      <w:pPr>
        <w:numPr>
          <w:ilvl w:val="0"/>
          <w:numId w:val="1045"/>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6"/>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71"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w:t>
      </w:r>
      <w:r>
        <w:t xml:space="preserve"> </w:t>
      </w:r>
      <w:r>
        <w:rPr>
          <w:i/>
          <w:iCs/>
        </w:rPr>
        <w:t xml:space="preserve">Escherichia coli</w:t>
      </w:r>
      <w:r>
        <w:t xml:space="preserve">,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bookmarkStart w:id="170" w:name="fig-HfrCross"/>
      <w:r>
        <w:drawing>
          <wp:inline>
            <wp:extent cx="5334000" cy="3000375"/>
            <wp:effectExtent b="0" l="0" r="0" t="0"/>
            <wp:docPr descr="Schematic illustration of the cross between Hfr donor and recipient strains" title="" id="168" name="Picture"/>
            <a:graphic>
              <a:graphicData uri="http://schemas.openxmlformats.org/drawingml/2006/picture">
                <pic:pic>
                  <pic:nvPicPr>
                    <pic:cNvPr descr="images/HfrCross.png" id="169" name="Picture"/>
                    <pic:cNvPicPr>
                      <a:picLocks noChangeArrowheads="1" noChangeAspect="1"/>
                    </pic:cNvPicPr>
                  </pic:nvPicPr>
                  <pic:blipFill>
                    <a:blip r:embed="rId167"/>
                    <a:stretch>
                      <a:fillRect/>
                    </a:stretch>
                  </pic:blipFill>
                  <pic:spPr bwMode="auto">
                    <a:xfrm>
                      <a:off x="0" y="0"/>
                      <a:ext cx="5334000" cy="3000375"/>
                    </a:xfrm>
                    <a:prstGeom prst="rect">
                      <a:avLst/>
                    </a:prstGeom>
                    <a:noFill/>
                    <a:ln w="9525">
                      <a:noFill/>
                      <a:headEnd/>
                      <a:tailEnd/>
                    </a:ln>
                  </pic:spPr>
                </pic:pic>
              </a:graphicData>
            </a:graphic>
          </wp:inline>
        </w:drawing>
      </w:r>
      <w:bookmarkEnd w:id="170"/>
      <w:r>
        <w:t xml:space="preserve"> </w:t>
      </w:r>
      <w:r>
        <w:t xml:space="preserve">When the Hfr and F- strains are mixed together, mating occurs and conjugation tubes are formed between strains (</w:t>
      </w:r>
      <w:r>
        <w:rPr>
          <w:b/>
          <w:bCs/>
        </w:rPr>
        <w:t xml:space="preserve">?@fig-HfrCross</w:t>
      </w:r>
      <w:r>
        <w:t xml:space="preserve">).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w:t>
      </w:r>
      <w:r>
        <w:rPr>
          <w:i/>
          <w:iCs/>
        </w:rPr>
        <w:t xml:space="preserve">5</w:t>
      </w:r>
      <w:r>
        <w:t xml:space="preserve">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71"/>
    <w:bookmarkStart w:id="173"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72">
        <w:r>
          <w:rPr>
            <w:rStyle w:val="Hyperlink"/>
          </w:rPr>
          <w:t xml:space="preserve">here</w:t>
        </w:r>
      </w:hyperlink>
      <w:r>
        <w:t xml:space="preserve">.</w:t>
      </w:r>
    </w:p>
    <w:bookmarkEnd w:id="173"/>
    <w:bookmarkStart w:id="174" w:name="experiment-3---data-analysis"/>
    <w:p>
      <w:pPr>
        <w:pStyle w:val="Heading1"/>
      </w:pPr>
      <w:r>
        <w:t xml:space="preserve">31. Experiment 3 - Data Analysis</w:t>
      </w:r>
    </w:p>
    <w:bookmarkEnd w:id="174"/>
    <w:bookmarkStart w:id="178"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75" w:name="sec-task3A"/>
    <w:p>
      <w:pPr>
        <w:pStyle w:val="Heading2"/>
      </w:pPr>
      <w:r>
        <w:t xml:space="preserve">32.1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5"/>
    <w:bookmarkStart w:id="177"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76">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77"/>
    <w:bookmarkEnd w:id="178"/>
    <w:bookmarkStart w:id="181" w:name="X91f6e6dd546528cc7cba6ac658aa9c8366de79c"/>
    <w:p>
      <w:pPr>
        <w:pStyle w:val="Heading1"/>
      </w:pPr>
      <w:r>
        <w:t xml:space="preserve">33. Additional Resources/Further Reading for Experiment 3</w:t>
      </w:r>
    </w:p>
    <w:p>
      <w:pPr>
        <w:numPr>
          <w:ilvl w:val="0"/>
          <w:numId w:val="1053"/>
        </w:numPr>
      </w:pPr>
      <w:hyperlink r:id="rId179">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80">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81"/>
    <w:bookmarkStart w:id="187" w:name="experiment-4-aims-and-overview"/>
    <w:p>
      <w:pPr>
        <w:pStyle w:val="Heading1"/>
      </w:pPr>
      <w:r>
        <w:t xml:space="preserve">34. Experiment 4 Aims and Overview</w:t>
      </w:r>
    </w:p>
    <w:bookmarkStart w:id="182" w:name="aims-3"/>
    <w:p>
      <w:pPr>
        <w:pStyle w:val="Heading2"/>
      </w:pPr>
      <w:r>
        <w:t xml:space="preserve">34.1 Aims</w:t>
      </w:r>
    </w:p>
    <w:p>
      <w:pPr>
        <w:pStyle w:val="Compact"/>
        <w:numPr>
          <w:ilvl w:val="0"/>
          <w:numId w:val="1054"/>
        </w:numPr>
      </w:pPr>
      <w:r>
        <w:t xml:space="preserve">To understand how mutagenesis can be used in the laboratory to understand the phenotype of a microorganism</w:t>
      </w:r>
    </w:p>
    <w:bookmarkEnd w:id="182"/>
    <w:bookmarkStart w:id="183"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83"/>
    <w:bookmarkStart w:id="184" w:name="competencies-3"/>
    <w:p>
      <w:pPr>
        <w:pStyle w:val="Heading2"/>
      </w:pPr>
      <w:r>
        <w:t xml:space="preserve">34.3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84"/>
    <w:bookmarkStart w:id="185"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We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We have also isolated</w:t>
      </w:r>
      <w:r>
        <w:t xml:space="preserve"> </w:t>
      </w:r>
      <w:r>
        <w:rPr>
          <w:i/>
          <w:iCs/>
        </w:rPr>
        <w:t xml:space="preserve">E. coli</w:t>
      </w:r>
      <w:r>
        <w:t xml:space="preserve"> </w:t>
      </w:r>
      <w:r>
        <w:t xml:space="preserve">strains that are resistant to this particular antibiotic and, in the previous labs, you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w:t>
      </w:r>
      <w:r>
        <w:rPr>
          <w:i/>
          <w:iCs/>
        </w:rPr>
        <w:t xml:space="preserve">5</w:t>
      </w:r>
      <w:r>
        <w:t xml:space="preserve"> </w:t>
      </w:r>
      <w:r>
        <w:t xml:space="preserve">transposon in your mutant strain. You will map the plasmid by using restriction digest (Protocol 4.1 and Task 4A).</w:t>
      </w:r>
    </w:p>
    <w:p>
      <w:pPr>
        <w:pStyle w:val="BodyText"/>
      </w:pPr>
      <w:r>
        <w:t xml:space="preserve">To</w:t>
      </w:r>
      <w:r>
        <w:t xml:space="preserve"> </w:t>
      </w:r>
      <w:r>
        <w:t xml:space="preserve">“rescue”</w:t>
      </w:r>
      <w:r>
        <w:t xml:space="preserve"> </w:t>
      </w:r>
      <w:r>
        <w:t xml:space="preserve">the Tn</w:t>
      </w:r>
      <w:r>
        <w:rPr>
          <w:i/>
          <w:iCs/>
        </w:rPr>
        <w:t xml:space="preserve">5</w:t>
      </w:r>
      <w:r>
        <w:t xml:space="preserve"> </w:t>
      </w:r>
      <w:r>
        <w:t xml:space="preserve">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w:t>
      </w:r>
      <w:r>
        <w:rPr>
          <w:i/>
          <w:iCs/>
        </w:rPr>
        <w:t xml:space="preserve">5</w:t>
      </w:r>
      <w:r>
        <w:t xml:space="preserve"> </w:t>
      </w:r>
      <w:r>
        <w:t xml:space="preserve">sequence.</w:t>
      </w:r>
    </w:p>
    <w:p>
      <w:pPr>
        <w:pStyle w:val="BodyText"/>
      </w:pPr>
      <w:r>
        <w:t xml:space="preserve">Once we have verified that the isolated plasmids contain the</w:t>
      </w:r>
      <w:r>
        <w:t xml:space="preserve"> </w:t>
      </w:r>
      <w:r>
        <w:t xml:space="preserve">“rescued”</w:t>
      </w:r>
      <w:r>
        <w:t xml:space="preserve"> </w:t>
      </w:r>
      <w:r>
        <w:t xml:space="preserve">Tn</w:t>
      </w:r>
      <w:r>
        <w:rPr>
          <w:i/>
          <w:iCs/>
        </w:rPr>
        <w:t xml:space="preserve">5</w:t>
      </w:r>
      <w:r>
        <w:t xml:space="preserve">s, you will then analyse DNA sequences derived from the plasmid (Task 4B) to identify the insertion site and generate a hypothesis as to why your mutant strain is resistant to the antibiotic (Task 4C).</w:t>
      </w:r>
    </w:p>
    <w:bookmarkEnd w:id="185"/>
    <w:bookmarkStart w:id="186"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6"/>
    <w:bookmarkEnd w:id="187"/>
    <w:bookmarkStart w:id="189" w:name="experiment-4---background"/>
    <w:p>
      <w:pPr>
        <w:pStyle w:val="Heading1"/>
      </w:pPr>
      <w:r>
        <w:t xml:space="preserve">35. Experiment 4 - Background</w:t>
      </w:r>
    </w:p>
    <w:bookmarkStart w:id="188"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where we will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8"/>
    <w:bookmarkEnd w:id="189"/>
    <w:bookmarkStart w:id="191"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90">
        <w:r>
          <w:rPr>
            <w:rStyle w:val="Hyperlink"/>
          </w:rPr>
          <w:t xml:space="preserve">here</w:t>
        </w:r>
      </w:hyperlink>
      <w:r>
        <w:t xml:space="preserve">.</w:t>
      </w:r>
    </w:p>
    <w:bookmarkEnd w:id="191"/>
    <w:bookmarkStart w:id="192" w:name="experiment-4---data-analysis"/>
    <w:p>
      <w:pPr>
        <w:pStyle w:val="Heading1"/>
      </w:pPr>
      <w:r>
        <w:t xml:space="preserve">37. Experiment 4 - Data Analysis</w:t>
      </w:r>
    </w:p>
    <w:bookmarkEnd w:id="192"/>
    <w:bookmarkStart w:id="197" w:name="sec-data4"/>
    <w:p>
      <w:pPr>
        <w:pStyle w:val="Heading1"/>
      </w:pPr>
      <w:r>
        <w:t xml:space="preserve">38.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7"/>
        </w:numPr>
      </w:pPr>
      <w:r>
        <w:t xml:space="preserve">Sequence data from these plasmids (available for you on MyPlace) - You will use these data in workshop 3.</w:t>
      </w:r>
    </w:p>
    <w:bookmarkStart w:id="196" w:name="sec-task4A"/>
    <w:p>
      <w:pPr>
        <w:pStyle w:val="Heading2"/>
      </w:pPr>
      <w:r>
        <w:t xml:space="preserve">38.1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59"/>
              </w:numPr>
            </w:pPr>
            <w:r>
              <w:t xml:space="preserve">Think logically - e.g., if a circular piece of DNA is cut once, how many bands will it produce? What if it is cut twice?</w:t>
            </w:r>
          </w:p>
          <w:p>
            <w:pPr>
              <w:numPr>
                <w:ilvl w:val="0"/>
                <w:numId w:val="1059"/>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59"/>
              </w:numPr>
            </w:pPr>
            <w:r>
              <w:t xml:space="preserve">Check out a</w:t>
            </w:r>
            <w:r>
              <w:t xml:space="preserve"> </w:t>
            </w:r>
            <w:hyperlink r:id="rId195">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0"/>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0"/>
              </w:numPr>
            </w:pPr>
            <w:r>
              <w:t xml:space="preserve">Are there any other techniques or methods you could use to identify the Tn location (instead of plasmid rescue and sequencing)?</w:t>
            </w:r>
          </w:p>
          <w:p>
            <w:pPr>
              <w:numPr>
                <w:ilvl w:val="0"/>
                <w:numId w:val="1060"/>
              </w:numPr>
            </w:pPr>
            <w:r>
              <w:t xml:space="preserve">What conclusions can you draw based upon the experiments performed in this lab?</w:t>
            </w:r>
          </w:p>
          <w:p>
            <w:pPr>
              <w:numPr>
                <w:ilvl w:val="0"/>
                <w:numId w:val="1060"/>
              </w:numPr>
            </w:pPr>
            <w:r>
              <w:t xml:space="preserve">What further experiments might you do (and why?)</w:t>
            </w:r>
          </w:p>
          <w:p/>
        </w:tc>
      </w:tr>
    </w:tbl>
    <w:bookmarkEnd w:id="196"/>
    <w:bookmarkEnd w:id="197"/>
    <w:bookmarkStart w:id="199" w:name="X87d1c92cdaa4bfc4a1397f03be225ead1a245a0"/>
    <w:p>
      <w:pPr>
        <w:pStyle w:val="Heading1"/>
      </w:pPr>
      <w:r>
        <w:t xml:space="preserve">39. Additional Resources/Further Reading for Experiment 4</w:t>
      </w:r>
    </w:p>
    <w:p>
      <w:pPr>
        <w:numPr>
          <w:ilvl w:val="0"/>
          <w:numId w:val="1061"/>
        </w:numPr>
      </w:pPr>
      <w:hyperlink r:id="rId195">
        <w:r>
          <w:rPr>
            <w:rStyle w:val="Hyperlink"/>
          </w:rPr>
          <w:t xml:space="preserve">Introduction to transposable elements (Susan Wessler lecture)</w:t>
        </w:r>
      </w:hyperlink>
    </w:p>
    <w:p>
      <w:pPr>
        <w:numPr>
          <w:ilvl w:val="0"/>
          <w:numId w:val="1061"/>
        </w:numPr>
      </w:pPr>
      <w:r>
        <w:t xml:space="preserve">Cain AK, Barquist L, Goodman AL, Paulsen IT, Parkhill J, van Opijnen T. A decade of advances in transposon-insertion sequencing. Nat Rev Genet. 2020;21(9):526-540. doi:10.1038/s41576-020-0244-x</w:t>
      </w:r>
    </w:p>
    <w:p>
      <w:pPr>
        <w:numPr>
          <w:ilvl w:val="0"/>
          <w:numId w:val="1061"/>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1"/>
        </w:numPr>
      </w:pPr>
      <w:r>
        <w:t xml:space="preserve">Roberts RJ. How restriction enzymes became the workhorses of molecular biology. Proc Natl Acad Sci U S A. 2005;102(17):5905-5908. doi:10.1073/pnas.0500923102</w:t>
      </w:r>
    </w:p>
    <w:p>
      <w:pPr>
        <w:numPr>
          <w:ilvl w:val="0"/>
          <w:numId w:val="1061"/>
        </w:numPr>
      </w:pPr>
      <w:hyperlink r:id="rId198">
        <w:r>
          <w:rPr>
            <w:rStyle w:val="Hyperlink"/>
          </w:rPr>
          <w:t xml:space="preserve">REBASE The Restriction Enzyme Database</w:t>
        </w:r>
      </w:hyperlink>
    </w:p>
    <w:bookmarkEnd w:id="199"/>
    <w:bookmarkStart w:id="205" w:name="experiment-5-aims-and-overview"/>
    <w:p>
      <w:pPr>
        <w:pStyle w:val="Heading1"/>
      </w:pPr>
      <w:r>
        <w:t xml:space="preserve">40. Experiment 5 Aims and Overview</w:t>
      </w:r>
    </w:p>
    <w:bookmarkStart w:id="200"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200"/>
    <w:bookmarkStart w:id="201"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201"/>
    <w:bookmarkStart w:id="202"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202"/>
    <w:bookmarkStart w:id="203"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203"/>
    <w:bookmarkStart w:id="204"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4"/>
    <w:bookmarkEnd w:id="205"/>
    <w:bookmarkStart w:id="206"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6"/>
    <w:bookmarkStart w:id="208"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7">
        <w:r>
          <w:rPr>
            <w:rStyle w:val="Hyperlink"/>
          </w:rPr>
          <w:t xml:space="preserve">here</w:t>
        </w:r>
      </w:hyperlink>
      <w:r>
        <w:t xml:space="preserve">.</w:t>
      </w:r>
    </w:p>
    <w:bookmarkEnd w:id="208"/>
    <w:bookmarkStart w:id="209" w:name="experiment-5-data-analysis"/>
    <w:p>
      <w:pPr>
        <w:pStyle w:val="Heading1"/>
      </w:pPr>
      <w:r>
        <w:t xml:space="preserve">43. Experiment 5 Data Analysis</w:t>
      </w:r>
    </w:p>
    <w:bookmarkEnd w:id="209"/>
    <w:bookmarkStart w:id="214"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5"/>
        </w:numPr>
      </w:pPr>
      <w:r>
        <w:t xml:space="preserve">You have been provided with a set of data for each task (available on MyPlace).</w:t>
      </w:r>
    </w:p>
    <w:p>
      <w:pPr>
        <w:pStyle w:val="Compact"/>
        <w:numPr>
          <w:ilvl w:val="0"/>
          <w:numId w:val="1065"/>
        </w:numPr>
      </w:pPr>
      <w:r>
        <w:t xml:space="preserve">You should also download the program ImageJ (instructions available on MyPlace).</w:t>
      </w:r>
    </w:p>
    <w:p>
      <w:pPr>
        <w:pStyle w:val="Compact"/>
        <w:numPr>
          <w:ilvl w:val="0"/>
          <w:numId w:val="1065"/>
        </w:numPr>
      </w:pPr>
      <w:r>
        <w:t xml:space="preserve">Open each image in ImageJ.</w:t>
      </w:r>
    </w:p>
    <w:p>
      <w:pPr>
        <w:pStyle w:val="Compact"/>
        <w:numPr>
          <w:ilvl w:val="0"/>
          <w:numId w:val="1065"/>
        </w:numPr>
      </w:pPr>
      <w:r>
        <w:t xml:space="preserve">You may wish to rotate or zoom to adjust the image.</w:t>
      </w:r>
    </w:p>
    <w:p>
      <w:pPr>
        <w:pStyle w:val="Compact"/>
        <w:numPr>
          <w:ilvl w:val="0"/>
          <w:numId w:val="1065"/>
        </w:numPr>
      </w:pPr>
      <w:r>
        <w:t xml:space="preserve">Set a scale bar.</w:t>
      </w:r>
    </w:p>
    <w:p>
      <w:pPr>
        <w:pStyle w:val="Compact"/>
        <w:numPr>
          <w:ilvl w:val="0"/>
          <w:numId w:val="1065"/>
        </w:numPr>
      </w:pPr>
      <w:r>
        <w:t xml:space="preserve">Measure cell lengths in μm.</w:t>
      </w:r>
    </w:p>
    <w:p>
      <w:pPr>
        <w:pStyle w:val="Compact"/>
        <w:numPr>
          <w:ilvl w:val="0"/>
          <w:numId w:val="1065"/>
        </w:numPr>
      </w:pPr>
      <w:r>
        <w:t xml:space="preserve">Determine the best way to present your data. Are any statistical tests needed? How will you format and present any images?</w:t>
      </w:r>
    </w:p>
    <w:p>
      <w:pPr>
        <w:pStyle w:val="Compact"/>
        <w:numPr>
          <w:ilvl w:val="0"/>
          <w:numId w:val="1065"/>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6"/>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6"/>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6"/>
              </w:numPr>
            </w:pPr>
            <w:r>
              <w:t xml:space="preserve">What conclusions can you draw based upon all of the experiments that you have performed (labs and workshops)?</w:t>
            </w:r>
          </w:p>
          <w:p>
            <w:pPr>
              <w:numPr>
                <w:ilvl w:val="0"/>
                <w:numId w:val="1066"/>
              </w:numPr>
            </w:pPr>
            <w:r>
              <w:t xml:space="preserve">What further experiments might you do (and why?)</w:t>
            </w:r>
          </w:p>
          <w:bookmarkStart w:id="213" w:name="X731eb4f2bf49ce4e251e33bc8cd794f988f515f"/>
          <w:p>
            <w:pPr>
              <w:pStyle w:val="Heading1"/>
            </w:pPr>
            <w:r>
              <w:t xml:space="preserve">45. Additional Resources/Further Reading for Experiment 5</w:t>
            </w:r>
          </w:p>
          <w:bookmarkStart w:id="211" w:name="microscopy"/>
          <w:p>
            <w:pPr>
              <w:pStyle w:val="Heading2"/>
            </w:pPr>
            <w:r>
              <w:t xml:space="preserve">45.1 Microscopy</w:t>
            </w:r>
          </w:p>
          <w:p>
            <w:pPr>
              <w:numPr>
                <w:ilvl w:val="0"/>
                <w:numId w:val="1067"/>
              </w:numPr>
            </w:pPr>
            <w:hyperlink r:id="rId210">
              <w:r>
                <w:rPr>
                  <w:rStyle w:val="Hyperlink"/>
                </w:rPr>
                <w:t xml:space="preserve">Historical contributions from light microscopy: What can you learn with a light microscope?</w:t>
              </w:r>
            </w:hyperlink>
          </w:p>
          <w:p>
            <w:pPr>
              <w:numPr>
                <w:ilvl w:val="0"/>
                <w:numId w:val="1067"/>
              </w:numPr>
            </w:pPr>
            <w:r>
              <w:t xml:space="preserve">Cromey DW. Digital images are data: and should be treated as such. Methods Mol Biol. 2013;931:1-27. doi:10.1007/978-1-62703-056-4_1</w:t>
            </w:r>
          </w:p>
          <w:p>
            <w:pPr>
              <w:numPr>
                <w:ilvl w:val="0"/>
                <w:numId w:val="1067"/>
              </w:numPr>
            </w:pPr>
            <w:r>
              <w:t xml:space="preserve">Hartig SM. Basic image analysis and manipulation in ImageJ. Curr Protoc Mol Biol. 2013;Chapter 14:Unit14.15. doi:10.1002/0471142727.mb1415s102</w:t>
            </w:r>
          </w:p>
          <w:bookmarkEnd w:id="211"/>
          <w:bookmarkStart w:id="212" w:name="cell-shape"/>
          <w:p>
            <w:pPr>
              <w:pStyle w:val="Heading2"/>
            </w:pPr>
            <w:r>
              <w:t xml:space="preserve">45.2 Cell Shape</w:t>
            </w:r>
          </w:p>
          <w:p>
            <w:pPr>
              <w:numPr>
                <w:ilvl w:val="0"/>
                <w:numId w:val="1068"/>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8"/>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8"/>
              </w:numPr>
            </w:pPr>
            <w:r>
              <w:t xml:space="preserve">Cylke C, Si F, Banerjee S. Effects of antibiotics on bacterial cell morphology and their physiological origins. Biochem Soc Trans. 2022;50(5):1269-1279. doi:10.1042/BST20210894</w:t>
            </w:r>
          </w:p>
          <w:p/>
        </w:tc>
      </w:tr>
    </w:tbl>
    <w:bookmarkEnd w:id="212"/>
    <w:bookmarkEnd w:id="213"/>
    <w:bookmarkEnd w:id="2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167" Target="media/rId167.pn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2025-09-22T12:06:23Z</dcterms:created>
  <dcterms:modified xsi:type="dcterms:W3CDTF">2025-09-22T12:06:23Z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