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28F5BD" w14:textId="1A0CB90D" w:rsidR="000C2AE8" w:rsidRDefault="00BE32B1" w:rsidP="00606034">
      <w:pPr>
        <w:pStyle w:val="Heading1"/>
        <w:jc w:val="center"/>
      </w:pPr>
      <w:r>
        <w:t>Writing exercise 0</w:t>
      </w:r>
      <w:r w:rsidR="00856D56">
        <w:t>8</w:t>
      </w:r>
      <w:r>
        <w:t xml:space="preserve">: </w:t>
      </w:r>
      <w:r w:rsidR="00856D56">
        <w:t>Jargon, Acronyms, and Abbreviations</w:t>
      </w:r>
    </w:p>
    <w:p w14:paraId="673E1915" w14:textId="72A83370" w:rsidR="00BE32B1" w:rsidRDefault="00BE32B1" w:rsidP="00BE32B1">
      <w:pPr>
        <w:pStyle w:val="Heading2"/>
        <w:jc w:val="center"/>
      </w:pPr>
      <w:proofErr w:type="spellStart"/>
      <w:r>
        <w:t>Dr.</w:t>
      </w:r>
      <w:proofErr w:type="spellEnd"/>
      <w:r>
        <w:t xml:space="preserve"> Morgan Feeney, AY 2024-25</w:t>
      </w:r>
    </w:p>
    <w:p w14:paraId="1E59D2C1" w14:textId="6446B187" w:rsidR="00BE32B1" w:rsidRPr="00856D56" w:rsidRDefault="00BE32B1" w:rsidP="00BE32B1">
      <w:pPr>
        <w:rPr>
          <w:sz w:val="24"/>
          <w:szCs w:val="24"/>
        </w:rPr>
      </w:pPr>
    </w:p>
    <w:p w14:paraId="72CD3FE4" w14:textId="3D8BDF15" w:rsidR="0074467A" w:rsidRDefault="00856D56" w:rsidP="00856D56">
      <w:r w:rsidRPr="00856D56">
        <w:t xml:space="preserve">Avoid using jargon and too many abbreviations or acronyms – they add to the cognitive burden for your reader, and even commonly used abbreviations can have multiple meanings (for example, DNA can mean Deoxyribonucleic acid, </w:t>
      </w:r>
      <w:proofErr w:type="spellStart"/>
      <w:r w:rsidRPr="00856D56">
        <w:t>Difco</w:t>
      </w:r>
      <w:proofErr w:type="spellEnd"/>
      <w:r w:rsidRPr="00856D56">
        <w:t xml:space="preserve"> Nutrient Agar, Dynamic Network Analysis, Data Not Available, etc….). In some </w:t>
      </w:r>
      <w:proofErr w:type="gramStart"/>
      <w:r w:rsidRPr="00856D56">
        <w:t>cases</w:t>
      </w:r>
      <w:proofErr w:type="gramEnd"/>
      <w:r w:rsidRPr="00856D56">
        <w:t xml:space="preserve"> it may be necessary/preferable to use an acronym (e.g., for a word commonly repeated throughout the paper), b</w:t>
      </w:r>
      <w:r>
        <w:t>ut you should exercise cauti</w:t>
      </w:r>
      <w:r w:rsidR="00065A7B">
        <w:t xml:space="preserve">on whenever choosing to use one – and when using any new acronym/abbreviation for the first time, you should write it out in full (e.g., </w:t>
      </w:r>
      <w:r w:rsidR="000549AA">
        <w:t>acyl-</w:t>
      </w:r>
      <w:proofErr w:type="spellStart"/>
      <w:r w:rsidR="000549AA">
        <w:t>homoserine</w:t>
      </w:r>
      <w:proofErr w:type="spellEnd"/>
      <w:r w:rsidR="000549AA">
        <w:t xml:space="preserve"> lactones (AHLs).</w:t>
      </w:r>
    </w:p>
    <w:p w14:paraId="4C831565" w14:textId="417CB289" w:rsidR="000F0A8B" w:rsidRDefault="00856D56" w:rsidP="00087E20">
      <w:r>
        <w:t>Similarly, jargon can exclude readers who are outside of a particular field (or subfield, or group). While you might say, in casual conversation, that you “spun the cells down”, in formal academic writing it would be better to say that the cells were pelleted by centrifugation</w:t>
      </w:r>
      <w:r w:rsidR="003B0F8F">
        <w:t>.</w:t>
      </w:r>
    </w:p>
    <w:p w14:paraId="5ED1903A" w14:textId="5E652A53" w:rsidR="0074467A" w:rsidRPr="0034372C" w:rsidRDefault="0074467A" w:rsidP="00087E20"/>
    <w:p w14:paraId="7BA81DCA" w14:textId="29112C84" w:rsidR="00BE32B1" w:rsidRPr="00714EA4" w:rsidRDefault="00B82D0F" w:rsidP="001A6A63">
      <w:pPr>
        <w:pStyle w:val="Heading3"/>
        <w:spacing w:before="0"/>
        <w:rPr>
          <w:u w:val="single"/>
        </w:rPr>
      </w:pPr>
      <w:r w:rsidRPr="00714EA4">
        <w:rPr>
          <w:u w:val="single"/>
        </w:rPr>
        <w:t xml:space="preserve">Exercise </w:t>
      </w:r>
      <w:r w:rsidR="007B3776">
        <w:rPr>
          <w:u w:val="single"/>
        </w:rPr>
        <w:t>8</w:t>
      </w:r>
      <w:r w:rsidRPr="00714EA4">
        <w:rPr>
          <w:u w:val="single"/>
        </w:rPr>
        <w:t>A.</w:t>
      </w:r>
    </w:p>
    <w:p w14:paraId="7AAD12FE" w14:textId="0301E43C" w:rsidR="009D29D9" w:rsidRPr="009D29D9" w:rsidRDefault="009D29D9" w:rsidP="009D29D9">
      <w:r w:rsidRPr="009D29D9">
        <w:t>Read each exam</w:t>
      </w:r>
      <w:r w:rsidR="0074467A">
        <w:t xml:space="preserve">ple and </w:t>
      </w:r>
      <w:r w:rsidR="007B3776">
        <w:t>consider the use of acronyms/abbreviation/jargon,</w:t>
      </w:r>
      <w:r w:rsidR="0074467A">
        <w:t xml:space="preserve"> evaluating whether they are necessary/unnecessary, and identify any places whe</w:t>
      </w:r>
      <w:r w:rsidR="007B3776">
        <w:t>re the writing could be improved</w:t>
      </w:r>
      <w:r w:rsidR="0074467A">
        <w:t>.</w:t>
      </w:r>
    </w:p>
    <w:p w14:paraId="65F53A65" w14:textId="608EF575" w:rsidR="0074467A" w:rsidRDefault="0074467A" w:rsidP="000B3121">
      <w:pPr>
        <w:rPr>
          <w:b/>
          <w:bCs/>
          <w:u w:val="single"/>
        </w:rPr>
      </w:pPr>
    </w:p>
    <w:p w14:paraId="77E87516" w14:textId="19681BB7" w:rsidR="000B3121" w:rsidRPr="000B3121" w:rsidRDefault="000B3121" w:rsidP="000B3121">
      <w:r w:rsidRPr="000B3121">
        <w:rPr>
          <w:b/>
          <w:bCs/>
          <w:u w:val="single"/>
        </w:rPr>
        <w:t xml:space="preserve">Sample </w:t>
      </w:r>
      <w:r w:rsidR="000C11FF">
        <w:rPr>
          <w:b/>
          <w:bCs/>
          <w:u w:val="single"/>
        </w:rPr>
        <w:t>8</w:t>
      </w:r>
      <w:r w:rsidRPr="000B3121">
        <w:rPr>
          <w:b/>
          <w:bCs/>
          <w:u w:val="single"/>
        </w:rPr>
        <w:t>.1</w:t>
      </w:r>
      <w:r w:rsidRPr="000B3121">
        <w:rPr>
          <w:u w:val="single"/>
        </w:rPr>
        <w:t xml:space="preserve"> </w:t>
      </w:r>
      <w:r w:rsidR="00087E20">
        <w:rPr>
          <w:vertAlign w:val="superscript"/>
        </w:rPr>
        <w:t>1</w:t>
      </w:r>
      <w:r w:rsidRPr="000B3121">
        <w:t> </w:t>
      </w:r>
    </w:p>
    <w:p w14:paraId="6D85BC87" w14:textId="60313E40" w:rsidR="00E851B1" w:rsidRPr="00E851B1" w:rsidRDefault="000C11FF" w:rsidP="00E851B1">
      <w:r w:rsidRPr="000C11FF">
        <w:t>Non-spore-forming Gram-negative bacilli (NGNB) have been classified as non-fermentative Gram-negative bacilli (NFGNB) or fermentative Gram-negative bacilli (FGNB). Non-spore forming Gram-negative bacteria are heterogeneous and composed of many medical important species, of which </w:t>
      </w:r>
      <w:r w:rsidRPr="000C11FF">
        <w:rPr>
          <w:i/>
          <w:iCs/>
        </w:rPr>
        <w:t>Pseudomonas aeruginosa</w:t>
      </w:r>
      <w:r w:rsidRPr="000C11FF">
        <w:t>, </w:t>
      </w:r>
      <w:proofErr w:type="spellStart"/>
      <w:r w:rsidRPr="000C11FF">
        <w:rPr>
          <w:i/>
          <w:iCs/>
        </w:rPr>
        <w:t>Acinetobacter</w:t>
      </w:r>
      <w:proofErr w:type="spellEnd"/>
      <w:r w:rsidRPr="000C11FF">
        <w:rPr>
          <w:i/>
          <w:iCs/>
        </w:rPr>
        <w:t xml:space="preserve"> </w:t>
      </w:r>
      <w:proofErr w:type="spellStart"/>
      <w:r w:rsidRPr="000C11FF">
        <w:rPr>
          <w:i/>
          <w:iCs/>
        </w:rPr>
        <w:t>baumannii</w:t>
      </w:r>
      <w:proofErr w:type="spellEnd"/>
      <w:r w:rsidRPr="000C11FF">
        <w:rPr>
          <w:i/>
          <w:iCs/>
        </w:rPr>
        <w:t xml:space="preserve">, </w:t>
      </w:r>
      <w:proofErr w:type="spellStart"/>
      <w:r w:rsidRPr="000C11FF">
        <w:rPr>
          <w:i/>
          <w:iCs/>
        </w:rPr>
        <w:t>Klebsiella</w:t>
      </w:r>
      <w:proofErr w:type="spellEnd"/>
      <w:r w:rsidRPr="000C11FF">
        <w:rPr>
          <w:i/>
          <w:iCs/>
        </w:rPr>
        <w:t xml:space="preserve"> </w:t>
      </w:r>
      <w:proofErr w:type="spellStart"/>
      <w:r w:rsidRPr="000C11FF">
        <w:rPr>
          <w:i/>
          <w:iCs/>
        </w:rPr>
        <w:t>pneumoniae</w:t>
      </w:r>
      <w:proofErr w:type="spellEnd"/>
      <w:r w:rsidRPr="000C11FF">
        <w:rPr>
          <w:i/>
          <w:iCs/>
        </w:rPr>
        <w:t xml:space="preserve">, </w:t>
      </w:r>
      <w:proofErr w:type="spellStart"/>
      <w:r w:rsidRPr="000C11FF">
        <w:rPr>
          <w:i/>
          <w:iCs/>
        </w:rPr>
        <w:t>Enterobacter</w:t>
      </w:r>
      <w:proofErr w:type="spellEnd"/>
      <w:r w:rsidRPr="000C11FF">
        <w:t> species, </w:t>
      </w:r>
      <w:r w:rsidRPr="000C11FF">
        <w:rPr>
          <w:i/>
          <w:iCs/>
        </w:rPr>
        <w:t xml:space="preserve">Escherichia coli, and Enterococcus </w:t>
      </w:r>
      <w:proofErr w:type="spellStart"/>
      <w:r w:rsidRPr="000C11FF">
        <w:rPr>
          <w:i/>
          <w:iCs/>
        </w:rPr>
        <w:t>faecium</w:t>
      </w:r>
      <w:proofErr w:type="spellEnd"/>
      <w:r w:rsidRPr="000C11FF">
        <w:rPr>
          <w:i/>
          <w:iCs/>
        </w:rPr>
        <w:t xml:space="preserve"> are</w:t>
      </w:r>
      <w:r w:rsidRPr="000C11FF">
        <w:t> a few among the list. Most of the above-listed bacteria are members of the dangerous small group of pathogens called the ESKAPE bugs, which stand for </w:t>
      </w:r>
      <w:r w:rsidRPr="000C11FF">
        <w:rPr>
          <w:i/>
          <w:iCs/>
        </w:rPr>
        <w:t xml:space="preserve">Enterococcus </w:t>
      </w:r>
      <w:proofErr w:type="spellStart"/>
      <w:r w:rsidRPr="000C11FF">
        <w:rPr>
          <w:i/>
          <w:iCs/>
        </w:rPr>
        <w:t>faecium</w:t>
      </w:r>
      <w:proofErr w:type="spellEnd"/>
      <w:r w:rsidRPr="000C11FF">
        <w:rPr>
          <w:i/>
          <w:iCs/>
        </w:rPr>
        <w:t xml:space="preserve">, Staphylococcus aureus, K. </w:t>
      </w:r>
      <w:proofErr w:type="spellStart"/>
      <w:r w:rsidRPr="000C11FF">
        <w:rPr>
          <w:i/>
          <w:iCs/>
        </w:rPr>
        <w:t>pneumoniae</w:t>
      </w:r>
      <w:proofErr w:type="spellEnd"/>
      <w:r w:rsidRPr="000C11FF">
        <w:rPr>
          <w:i/>
          <w:iCs/>
        </w:rPr>
        <w:t xml:space="preserve">, A. </w:t>
      </w:r>
      <w:proofErr w:type="spellStart"/>
      <w:r w:rsidRPr="000C11FF">
        <w:rPr>
          <w:i/>
          <w:iCs/>
        </w:rPr>
        <w:t>baumannii</w:t>
      </w:r>
      <w:proofErr w:type="spellEnd"/>
      <w:r w:rsidRPr="000C11FF">
        <w:rPr>
          <w:i/>
          <w:iCs/>
        </w:rPr>
        <w:t xml:space="preserve">, P. aeruginosa, and </w:t>
      </w:r>
      <w:proofErr w:type="spellStart"/>
      <w:r w:rsidRPr="000C11FF">
        <w:rPr>
          <w:i/>
          <w:iCs/>
        </w:rPr>
        <w:t>Enterobacter</w:t>
      </w:r>
      <w:proofErr w:type="spellEnd"/>
      <w:r w:rsidRPr="000C11FF">
        <w:t> species (</w:t>
      </w:r>
      <w:hyperlink r:id="rId6" w:anchor="B42" w:history="1">
        <w:r w:rsidRPr="000C11FF">
          <w:rPr>
            <w:rStyle w:val="Hyperlink"/>
          </w:rPr>
          <w:t>Rice, 2008</w:t>
        </w:r>
      </w:hyperlink>
      <w:r w:rsidRPr="000C11FF">
        <w:t>). According to </w:t>
      </w:r>
      <w:hyperlink r:id="rId7" w:anchor="B42" w:history="1">
        <w:r w:rsidRPr="000C11FF">
          <w:rPr>
            <w:rStyle w:val="Hyperlink"/>
          </w:rPr>
          <w:t>Rice, 2008</w:t>
        </w:r>
      </w:hyperlink>
      <w:r w:rsidRPr="000C11FF">
        <w:t xml:space="preserve">, the ESKAPE bugs are extremely important bacteria as they account for the largest proportion of hospital-acquired infections, are more virulent, easily communicable, and develop resistance against most antibacterial drugs. The ubiquitous and intrinsic resistance characteristics of Gram-negative bacteria (GNB) to the commonly used antiseptics are responsible for their ability to occupy a wide range of hospital environments, including </w:t>
      </w:r>
      <w:proofErr w:type="spellStart"/>
      <w:r w:rsidRPr="000C11FF">
        <w:t>anesthesia</w:t>
      </w:r>
      <w:proofErr w:type="spellEnd"/>
      <w:r w:rsidRPr="000C11FF">
        <w:t xml:space="preserve"> equipment, sinks, intravenous fluids, and fomites, or the hands of medical staff, causing device-associated hospital infections (</w:t>
      </w:r>
      <w:hyperlink r:id="rId8" w:anchor="B15" w:history="1">
        <w:r w:rsidRPr="000C11FF">
          <w:rPr>
            <w:rStyle w:val="Hyperlink"/>
          </w:rPr>
          <w:t>Gales et al., 2001</w:t>
        </w:r>
      </w:hyperlink>
      <w:r w:rsidRPr="000C11FF">
        <w:t>; </w:t>
      </w:r>
      <w:proofErr w:type="spellStart"/>
      <w:r w:rsidRPr="000C11FF">
        <w:fldChar w:fldCharType="begin"/>
      </w:r>
      <w:r w:rsidRPr="000C11FF">
        <w:instrText xml:space="preserve"> HYPERLINK "https://www.frontiersin.org/journals/antibiotics/articles/10.3389/frabi.2023.1155005/full" \l "B30" </w:instrText>
      </w:r>
      <w:r w:rsidRPr="000C11FF">
        <w:fldChar w:fldCharType="separate"/>
      </w:r>
      <w:r w:rsidRPr="000C11FF">
        <w:rPr>
          <w:rStyle w:val="Hyperlink"/>
        </w:rPr>
        <w:t>Mellmann</w:t>
      </w:r>
      <w:proofErr w:type="spellEnd"/>
      <w:r w:rsidRPr="000C11FF">
        <w:rPr>
          <w:rStyle w:val="Hyperlink"/>
        </w:rPr>
        <w:t xml:space="preserve"> et al., 2009</w:t>
      </w:r>
      <w:r w:rsidRPr="000C11FF">
        <w:fldChar w:fldCharType="end"/>
      </w:r>
      <w:r w:rsidRPr="000C11FF">
        <w:t>; </w:t>
      </w:r>
      <w:proofErr w:type="spellStart"/>
      <w:r w:rsidRPr="000C11FF">
        <w:fldChar w:fldCharType="begin"/>
      </w:r>
      <w:r w:rsidRPr="000C11FF">
        <w:instrText xml:space="preserve"> HYPERLINK "https://www.frontiersin.org/journals/antibiotics/articles/10.3389/frabi.2023.1155005/full" \l "B21" </w:instrText>
      </w:r>
      <w:r w:rsidRPr="000C11FF">
        <w:fldChar w:fldCharType="separate"/>
      </w:r>
      <w:r w:rsidRPr="000C11FF">
        <w:rPr>
          <w:rStyle w:val="Hyperlink"/>
        </w:rPr>
        <w:t>Kakati</w:t>
      </w:r>
      <w:proofErr w:type="spellEnd"/>
      <w:r w:rsidRPr="000C11FF">
        <w:rPr>
          <w:rStyle w:val="Hyperlink"/>
        </w:rPr>
        <w:t xml:space="preserve"> et al., 2015</w:t>
      </w:r>
      <w:r w:rsidRPr="000C11FF">
        <w:fldChar w:fldCharType="end"/>
      </w:r>
      <w:r w:rsidRPr="000C11FF">
        <w:t>). Another feature of GNB is their relative ease of acquiring plasmid-containing genes that encode for Extended Spectrum β-Lactam Enzymes (</w:t>
      </w:r>
      <w:proofErr w:type="spellStart"/>
      <w:r w:rsidRPr="000C11FF">
        <w:t>ESBLase</w:t>
      </w:r>
      <w:proofErr w:type="spellEnd"/>
      <w:r w:rsidRPr="000C11FF">
        <w:t>) and other resistance genes that confer resistance to many other classes of antibiotics (</w:t>
      </w:r>
      <w:proofErr w:type="spellStart"/>
      <w:r w:rsidRPr="000C11FF">
        <w:fldChar w:fldCharType="begin"/>
      </w:r>
      <w:r w:rsidRPr="000C11FF">
        <w:instrText xml:space="preserve"> HYPERLINK "https://www.frontiersin.org/journals/antibiotics/articles/10.3389/frabi.2023.1155005/full" \l "B9" </w:instrText>
      </w:r>
      <w:r w:rsidRPr="000C11FF">
        <w:fldChar w:fldCharType="separate"/>
      </w:r>
      <w:r w:rsidRPr="000C11FF">
        <w:rPr>
          <w:rStyle w:val="Hyperlink"/>
        </w:rPr>
        <w:t>Brolund</w:t>
      </w:r>
      <w:proofErr w:type="spellEnd"/>
      <w:r w:rsidRPr="000C11FF">
        <w:rPr>
          <w:rStyle w:val="Hyperlink"/>
        </w:rPr>
        <w:t>, 2014</w:t>
      </w:r>
      <w:r w:rsidRPr="000C11FF">
        <w:fldChar w:fldCharType="end"/>
      </w:r>
      <w:r w:rsidRPr="000C11FF">
        <w:t>).</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5"/>
        <w:gridCol w:w="4755"/>
      </w:tblGrid>
      <w:tr w:rsidR="000B3121" w:rsidRPr="000B3121" w14:paraId="058CE734" w14:textId="77777777" w:rsidTr="009D29D9">
        <w:trPr>
          <w:trHeight w:val="300"/>
        </w:trPr>
        <w:tc>
          <w:tcPr>
            <w:tcW w:w="4245" w:type="dxa"/>
            <w:tcBorders>
              <w:top w:val="single" w:sz="6" w:space="0" w:color="auto"/>
              <w:left w:val="single" w:sz="6" w:space="0" w:color="auto"/>
              <w:bottom w:val="single" w:sz="6" w:space="0" w:color="auto"/>
              <w:right w:val="single" w:sz="6" w:space="0" w:color="auto"/>
            </w:tcBorders>
            <w:shd w:val="clear" w:color="auto" w:fill="auto"/>
            <w:hideMark/>
          </w:tcPr>
          <w:p w14:paraId="6A2FA8B4" w14:textId="1708FC59" w:rsidR="000B3121" w:rsidRPr="000B3121" w:rsidRDefault="00D925CF" w:rsidP="000B3121">
            <w:r>
              <w:rPr>
                <w:u w:val="single"/>
              </w:rPr>
              <w:t>Necessary/unnecessary acronyms or jargon</w:t>
            </w:r>
            <w:r w:rsidR="009D29D9">
              <w:rPr>
                <w:u w:val="single"/>
              </w:rPr>
              <w:t>?</w:t>
            </w:r>
            <w:r w:rsidR="000B3121" w:rsidRPr="000B3121">
              <w:t> </w:t>
            </w:r>
          </w:p>
          <w:p w14:paraId="2E566930" w14:textId="77777777" w:rsidR="000B3121" w:rsidRDefault="000B3121" w:rsidP="000B3121"/>
          <w:p w14:paraId="4D629DC7" w14:textId="570D2522" w:rsidR="00D925CF" w:rsidRPr="000B3121" w:rsidRDefault="00D925CF" w:rsidP="000B3121"/>
        </w:tc>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24508F19" w14:textId="011E2A34" w:rsidR="000B3121" w:rsidRDefault="00D925CF" w:rsidP="000B3121">
            <w:r>
              <w:rPr>
                <w:u w:val="single"/>
              </w:rPr>
              <w:t>Suggested improvements?</w:t>
            </w:r>
          </w:p>
          <w:p w14:paraId="418E816E" w14:textId="782F96D4" w:rsidR="00D64122" w:rsidRPr="000B3121" w:rsidRDefault="00D64122" w:rsidP="00D64122"/>
          <w:p w14:paraId="5B4BC9E3" w14:textId="7C183D93" w:rsidR="0091168C" w:rsidRPr="000B3121" w:rsidRDefault="0091168C" w:rsidP="0091168C"/>
        </w:tc>
      </w:tr>
    </w:tbl>
    <w:p w14:paraId="0456771D" w14:textId="77777777" w:rsidR="00083F34" w:rsidRDefault="00083F34" w:rsidP="00083F34">
      <w:pPr>
        <w:spacing w:after="0"/>
      </w:pPr>
    </w:p>
    <w:p w14:paraId="5B825496" w14:textId="77777777" w:rsidR="00087E20" w:rsidRDefault="00087E20" w:rsidP="000B3121">
      <w:pPr>
        <w:rPr>
          <w:b/>
          <w:bCs/>
          <w:u w:val="single"/>
        </w:rPr>
      </w:pPr>
    </w:p>
    <w:p w14:paraId="7390DD1B" w14:textId="77777777" w:rsidR="00087E20" w:rsidRDefault="00087E20" w:rsidP="000B3121">
      <w:pPr>
        <w:rPr>
          <w:b/>
          <w:bCs/>
          <w:u w:val="single"/>
        </w:rPr>
      </w:pPr>
    </w:p>
    <w:p w14:paraId="38C31D6E" w14:textId="31F3DDCD" w:rsidR="000B3121" w:rsidRDefault="000B3121" w:rsidP="000B3121">
      <w:r w:rsidRPr="000B3121">
        <w:rPr>
          <w:b/>
          <w:bCs/>
          <w:u w:val="single"/>
        </w:rPr>
        <w:lastRenderedPageBreak/>
        <w:t xml:space="preserve">Sample </w:t>
      </w:r>
      <w:r w:rsidR="00D925CF">
        <w:rPr>
          <w:b/>
          <w:bCs/>
          <w:u w:val="single"/>
        </w:rPr>
        <w:t>8</w:t>
      </w:r>
      <w:r w:rsidRPr="000B3121">
        <w:rPr>
          <w:b/>
          <w:bCs/>
          <w:u w:val="single"/>
        </w:rPr>
        <w:t>.2.</w:t>
      </w:r>
      <w:r w:rsidRPr="000B3121">
        <w:t xml:space="preserve"> </w:t>
      </w:r>
      <w:r w:rsidR="00087E20">
        <w:rPr>
          <w:vertAlign w:val="superscript"/>
        </w:rPr>
        <w:t>2</w:t>
      </w:r>
      <w:r w:rsidRPr="000B3121">
        <w:t> </w:t>
      </w:r>
    </w:p>
    <w:p w14:paraId="21DF2C96" w14:textId="2129AE37" w:rsidR="00D925CF" w:rsidRPr="00E851B1" w:rsidRDefault="00D925CF" w:rsidP="00D925CF">
      <w:r w:rsidRPr="00D925CF">
        <w:t xml:space="preserve">The combined-culture technique involves co-culturing </w:t>
      </w:r>
      <w:proofErr w:type="spellStart"/>
      <w:r w:rsidRPr="00D925CF">
        <w:t>actinomycetes</w:t>
      </w:r>
      <w:proofErr w:type="spellEnd"/>
      <w:r w:rsidRPr="00D925CF">
        <w:t xml:space="preserve"> with mycolic acid-containing bacteria (MACB); e.g., </w:t>
      </w:r>
      <w:proofErr w:type="spellStart"/>
      <w:r w:rsidRPr="00D925CF">
        <w:rPr>
          <w:i/>
          <w:iCs/>
        </w:rPr>
        <w:t>Tsukamurella</w:t>
      </w:r>
      <w:proofErr w:type="spellEnd"/>
      <w:r w:rsidRPr="00D925CF">
        <w:rPr>
          <w:i/>
          <w:iCs/>
        </w:rPr>
        <w:t xml:space="preserve"> </w:t>
      </w:r>
      <w:proofErr w:type="spellStart"/>
      <w:r w:rsidRPr="00D925CF">
        <w:rPr>
          <w:i/>
          <w:iCs/>
        </w:rPr>
        <w:t>pulmonis</w:t>
      </w:r>
      <w:proofErr w:type="spellEnd"/>
      <w:r w:rsidRPr="00D925CF">
        <w:t xml:space="preserve"> TP-B0596, which has been used to stimulate SM production in </w:t>
      </w:r>
      <w:proofErr w:type="spellStart"/>
      <w:r w:rsidRPr="00D925CF">
        <w:t>actinomycetes</w:t>
      </w:r>
      <w:proofErr w:type="spellEnd"/>
      <w:r w:rsidRPr="00D925CF">
        <w:t xml:space="preserve"> (</w:t>
      </w:r>
      <w:proofErr w:type="spellStart"/>
      <w:r w:rsidRPr="00D925CF">
        <w:fldChar w:fldCharType="begin"/>
      </w:r>
      <w:r w:rsidRPr="00D925CF">
        <w:instrText xml:space="preserve"> HYPERLINK "https://www.frontiersin.org/journals/microbiology/articles/10.3389/fmicb.2024.1422977/full" \l "B33" </w:instrText>
      </w:r>
      <w:r w:rsidRPr="00D925CF">
        <w:fldChar w:fldCharType="separate"/>
      </w:r>
      <w:r w:rsidRPr="00D925CF">
        <w:rPr>
          <w:rStyle w:val="Hyperlink"/>
        </w:rPr>
        <w:t>Onaka</w:t>
      </w:r>
      <w:proofErr w:type="spellEnd"/>
      <w:r w:rsidRPr="00D925CF">
        <w:rPr>
          <w:rStyle w:val="Hyperlink"/>
        </w:rPr>
        <w:t xml:space="preserve"> et al., 2011</w:t>
      </w:r>
      <w:r w:rsidRPr="00D925CF">
        <w:fldChar w:fldCharType="end"/>
      </w:r>
      <w:r w:rsidRPr="00D925CF">
        <w:t>; </w:t>
      </w:r>
      <w:proofErr w:type="spellStart"/>
      <w:r w:rsidRPr="00D925CF">
        <w:fldChar w:fldCharType="begin"/>
      </w:r>
      <w:r w:rsidRPr="00D925CF">
        <w:instrText xml:space="preserve"> HYPERLINK "https://www.frontiersin.org/journals/microbiology/articles/10.3389/fmicb.2024.1422977/full" \l "B3" </w:instrText>
      </w:r>
      <w:r w:rsidRPr="00D925CF">
        <w:fldChar w:fldCharType="separate"/>
      </w:r>
      <w:r w:rsidRPr="00D925CF">
        <w:rPr>
          <w:rStyle w:val="Hyperlink"/>
        </w:rPr>
        <w:t>Asamizu</w:t>
      </w:r>
      <w:proofErr w:type="spellEnd"/>
      <w:r w:rsidRPr="00D925CF">
        <w:rPr>
          <w:rStyle w:val="Hyperlink"/>
        </w:rPr>
        <w:t xml:space="preserve"> et al., 2015</w:t>
      </w:r>
      <w:r w:rsidRPr="00D925CF">
        <w:fldChar w:fldCharType="end"/>
      </w:r>
      <w:r w:rsidRPr="00D925CF">
        <w:t>; </w:t>
      </w:r>
      <w:hyperlink r:id="rId9" w:anchor="B24" w:history="1">
        <w:r w:rsidRPr="00D925CF">
          <w:rPr>
            <w:rStyle w:val="Hyperlink"/>
          </w:rPr>
          <w:t>Kato et al., 2022</w:t>
        </w:r>
      </w:hyperlink>
      <w:r w:rsidRPr="00D925CF">
        <w:t xml:space="preserve">). This method yielded significant success and resulted in the isolation of 44 new SMs from 15 different </w:t>
      </w:r>
      <w:proofErr w:type="spellStart"/>
      <w:r w:rsidRPr="00D925CF">
        <w:t>actinomycetes</w:t>
      </w:r>
      <w:proofErr w:type="spellEnd"/>
      <w:r w:rsidRPr="00D925CF">
        <w:t xml:space="preserve"> so far (</w:t>
      </w:r>
      <w:hyperlink r:id="rId10" w:anchor="SM1" w:history="1">
        <w:r w:rsidRPr="00D925CF">
          <w:rPr>
            <w:rStyle w:val="Hyperlink"/>
          </w:rPr>
          <w:t>Supplementary Table S1</w:t>
        </w:r>
      </w:hyperlink>
      <w:r w:rsidRPr="00D925CF">
        <w:t>). In a previous study, we documented the creation of a mutant library of </w:t>
      </w:r>
      <w:r w:rsidRPr="00D925CF">
        <w:rPr>
          <w:i/>
          <w:iCs/>
        </w:rPr>
        <w:t xml:space="preserve">S. </w:t>
      </w:r>
      <w:proofErr w:type="spellStart"/>
      <w:r w:rsidRPr="00D925CF">
        <w:rPr>
          <w:i/>
          <w:iCs/>
        </w:rPr>
        <w:t>coelicolor</w:t>
      </w:r>
      <w:proofErr w:type="spellEnd"/>
      <w:r w:rsidRPr="00D925CF">
        <w:t> JCM4020 using a carbon ion (</w:t>
      </w:r>
      <w:r w:rsidRPr="00D925CF">
        <w:rPr>
          <w:vertAlign w:val="superscript"/>
        </w:rPr>
        <w:t>12</w:t>
      </w:r>
      <w:r w:rsidRPr="00D925CF">
        <w:t>C</w:t>
      </w:r>
      <w:r w:rsidRPr="00D925CF">
        <w:rPr>
          <w:vertAlign w:val="superscript"/>
        </w:rPr>
        <w:t>5+</w:t>
      </w:r>
      <w:r w:rsidRPr="00D925CF">
        <w:t xml:space="preserve">) beam to screen for mutants displaying varying levels of </w:t>
      </w:r>
      <w:proofErr w:type="spellStart"/>
      <w:r w:rsidRPr="00D925CF">
        <w:t>undecylprodigiosin</w:t>
      </w:r>
      <w:proofErr w:type="spellEnd"/>
      <w:r w:rsidRPr="00D925CF">
        <w:t xml:space="preserve"> (RED) production (</w:t>
      </w:r>
      <w:hyperlink r:id="rId11" w:anchor="B57" w:history="1">
        <w:r w:rsidRPr="00D925CF">
          <w:rPr>
            <w:rStyle w:val="Hyperlink"/>
          </w:rPr>
          <w:t>Yanagisawa et al., 2022</w:t>
        </w:r>
      </w:hyperlink>
      <w:r w:rsidRPr="00D925CF">
        <w:t>). This approach was used to identify the genes responsible for RED production during interactions with </w:t>
      </w:r>
      <w:r w:rsidRPr="00D925CF">
        <w:rPr>
          <w:i/>
          <w:iCs/>
        </w:rPr>
        <w:t xml:space="preserve">T. </w:t>
      </w:r>
      <w:proofErr w:type="spellStart"/>
      <w:r w:rsidRPr="00D925CF">
        <w:rPr>
          <w:i/>
          <w:iCs/>
        </w:rPr>
        <w:t>pulmonis</w:t>
      </w:r>
      <w:proofErr w:type="spellEnd"/>
      <w:r w:rsidRPr="00D925CF">
        <w:t>, which could contain a yet-unknown regulation system. Out of ~152,000 irradiated spores, we identified 86 mutants that exhibited a phenotype characterized by decreased RED production while maintaining apparent normal growth on minimal medium (</w:t>
      </w:r>
      <w:hyperlink r:id="rId12" w:anchor="B57" w:history="1">
        <w:r w:rsidRPr="00D925CF">
          <w:rPr>
            <w:rStyle w:val="Hyperlink"/>
          </w:rPr>
          <w:t>Yanagisawa et al., 2022</w:t>
        </w:r>
      </w:hyperlink>
      <w:r w:rsidRPr="00D925CF">
        <w:t xml:space="preserve">). We </w:t>
      </w:r>
      <w:proofErr w:type="spellStart"/>
      <w:r w:rsidRPr="00D925CF">
        <w:t>analyzed</w:t>
      </w:r>
      <w:proofErr w:type="spellEnd"/>
      <w:r w:rsidRPr="00D925CF">
        <w:t xml:space="preserve"> point mutations induced by carbon-ion beam irradiation in 16 randomly selected mutants and revealed that the inactivation of genes such as </w:t>
      </w:r>
      <w:proofErr w:type="spellStart"/>
      <w:r w:rsidRPr="00D925CF">
        <w:rPr>
          <w:i/>
          <w:iCs/>
        </w:rPr>
        <w:t>gltB</w:t>
      </w:r>
      <w:proofErr w:type="spellEnd"/>
      <w:r w:rsidRPr="00D925CF">
        <w:t> (glutamate synthase, </w:t>
      </w:r>
      <w:r w:rsidRPr="00D925CF">
        <w:rPr>
          <w:i/>
          <w:iCs/>
        </w:rPr>
        <w:t>sco2026</w:t>
      </w:r>
      <w:r w:rsidRPr="00D925CF">
        <w:t>), </w:t>
      </w:r>
      <w:proofErr w:type="spellStart"/>
      <w:r w:rsidRPr="00D925CF">
        <w:rPr>
          <w:i/>
          <w:iCs/>
        </w:rPr>
        <w:t>fusA</w:t>
      </w:r>
      <w:proofErr w:type="spellEnd"/>
      <w:r w:rsidRPr="00D925CF">
        <w:t> (elongation factor G, </w:t>
      </w:r>
      <w:r w:rsidRPr="00D925CF">
        <w:rPr>
          <w:i/>
          <w:iCs/>
        </w:rPr>
        <w:t>sco4661</w:t>
      </w:r>
      <w:r w:rsidRPr="00D925CF">
        <w:t>), and </w:t>
      </w:r>
      <w:proofErr w:type="spellStart"/>
      <w:r w:rsidRPr="00D925CF">
        <w:rPr>
          <w:i/>
          <w:iCs/>
        </w:rPr>
        <w:t>sarA</w:t>
      </w:r>
      <w:proofErr w:type="spellEnd"/>
      <w:r w:rsidRPr="00D925CF">
        <w:t> (a hypothetical membrane protein, </w:t>
      </w:r>
      <w:r w:rsidRPr="00D925CF">
        <w:rPr>
          <w:i/>
          <w:iCs/>
        </w:rPr>
        <w:t>sco4069</w:t>
      </w:r>
      <w:r w:rsidRPr="00D925CF">
        <w:t>) led to reduced RED production (</w:t>
      </w:r>
      <w:hyperlink r:id="rId13" w:anchor="B57" w:history="1">
        <w:r w:rsidRPr="00D925CF">
          <w:rPr>
            <w:rStyle w:val="Hyperlink"/>
          </w:rPr>
          <w:t>Yanagisawa et al., 2022</w:t>
        </w:r>
      </w:hyperlink>
      <w:r w:rsidRPr="00D925CF">
        <w:t>). Additionally, further investigation of remaining mutants revealed that inactivation of </w:t>
      </w:r>
      <w:r w:rsidRPr="00D925CF">
        <w:rPr>
          <w:i/>
          <w:iCs/>
        </w:rPr>
        <w:t>sco1718</w:t>
      </w:r>
      <w:r w:rsidRPr="00D925CF">
        <w:t xml:space="preserve"> (a </w:t>
      </w:r>
      <w:proofErr w:type="spellStart"/>
      <w:r w:rsidRPr="00D925CF">
        <w:t>TetR</w:t>
      </w:r>
      <w:proofErr w:type="spellEnd"/>
      <w:r w:rsidRPr="00D925CF">
        <w:t xml:space="preserve"> family transcriptional regulator, TFR) leads to reduced production of SMs, including RED, which is caused by overexpression of adjacent </w:t>
      </w:r>
      <w:r w:rsidRPr="00D925CF">
        <w:rPr>
          <w:i/>
          <w:iCs/>
        </w:rPr>
        <w:t>sco1719-20</w:t>
      </w:r>
      <w:r w:rsidRPr="00D925CF">
        <w:t> genes encoding ATP-binding cassette (ABC) transporters (</w:t>
      </w:r>
      <w:hyperlink r:id="rId14" w:anchor="B27" w:history="1">
        <w:r w:rsidRPr="00D925CF">
          <w:rPr>
            <w:rStyle w:val="Hyperlink"/>
          </w:rPr>
          <w:t>Lei et al., 2023</w:t>
        </w:r>
      </w:hyperlink>
      <w:r w:rsidRPr="00D925CF">
        <w:t>). Furthermore, we also found two other TFR-ABC transporter gene sets (</w:t>
      </w:r>
      <w:r w:rsidRPr="00D925CF">
        <w:rPr>
          <w:i/>
          <w:iCs/>
        </w:rPr>
        <w:t>sco4358-4360</w:t>
      </w:r>
      <w:r w:rsidRPr="00D925CF">
        <w:t> and </w:t>
      </w:r>
      <w:r w:rsidRPr="00D925CF">
        <w:rPr>
          <w:i/>
          <w:iCs/>
        </w:rPr>
        <w:t>sco5384-5382</w:t>
      </w:r>
      <w:r w:rsidRPr="00D925CF">
        <w:t>) in the genome that can affect SM production (</w:t>
      </w:r>
      <w:hyperlink r:id="rId15" w:anchor="B27" w:history="1">
        <w:r w:rsidRPr="00D925CF">
          <w:rPr>
            <w:rStyle w:val="Hyperlink"/>
          </w:rPr>
          <w:t>Lei et al., 2023</w:t>
        </w:r>
      </w:hyperlink>
      <w:r w:rsidRPr="00D925CF">
        <w:t>). In this study, we used a forward genetics approach to further investigate the acquired mutants and identified </w:t>
      </w:r>
      <w:r w:rsidRPr="00D925CF">
        <w:rPr>
          <w:i/>
          <w:iCs/>
        </w:rPr>
        <w:t>ccr1</w:t>
      </w:r>
      <w:r w:rsidRPr="00D925CF">
        <w:t> (</w:t>
      </w:r>
      <w:r w:rsidRPr="00D925CF">
        <w:rPr>
          <w:i/>
          <w:iCs/>
        </w:rPr>
        <w:t>sco1842</w:t>
      </w:r>
      <w:r w:rsidRPr="00D925CF">
        <w:t>) as the causative factor behind the observed reduction in RED production. We report the impact of </w:t>
      </w:r>
      <w:r w:rsidRPr="00D925CF">
        <w:rPr>
          <w:i/>
          <w:iCs/>
        </w:rPr>
        <w:t>ccr1</w:t>
      </w:r>
      <w:r w:rsidRPr="00D925CF">
        <w:t> on SM production in two </w:t>
      </w:r>
      <w:r w:rsidRPr="00D925CF">
        <w:rPr>
          <w:i/>
          <w:iCs/>
        </w:rPr>
        <w:t>Streptomyces</w:t>
      </w:r>
      <w:r w:rsidRPr="00D925CF">
        <w:t> species: </w:t>
      </w:r>
      <w:r w:rsidRPr="00D925CF">
        <w:rPr>
          <w:i/>
          <w:iCs/>
        </w:rPr>
        <w:t xml:space="preserve">S. </w:t>
      </w:r>
      <w:proofErr w:type="spellStart"/>
      <w:r w:rsidRPr="00D925CF">
        <w:rPr>
          <w:i/>
          <w:iCs/>
        </w:rPr>
        <w:t>coelicolor</w:t>
      </w:r>
      <w:proofErr w:type="spellEnd"/>
      <w:r w:rsidRPr="00D925CF">
        <w:t> A3(2) and </w:t>
      </w:r>
      <w:r w:rsidRPr="00D925CF">
        <w:rPr>
          <w:i/>
          <w:iCs/>
        </w:rPr>
        <w:t xml:space="preserve">S. </w:t>
      </w:r>
      <w:proofErr w:type="spellStart"/>
      <w:r w:rsidRPr="00D925CF">
        <w:rPr>
          <w:i/>
          <w:iCs/>
        </w:rPr>
        <w:t>nigrescens</w:t>
      </w:r>
      <w:proofErr w:type="spellEnd"/>
      <w:r w:rsidRPr="00D925CF">
        <w:t xml:space="preserve"> HEK616. </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5"/>
        <w:gridCol w:w="4755"/>
      </w:tblGrid>
      <w:tr w:rsidR="00D925CF" w:rsidRPr="000B3121" w14:paraId="7FC29DFB" w14:textId="77777777" w:rsidTr="00B70D4E">
        <w:trPr>
          <w:trHeight w:val="300"/>
        </w:trPr>
        <w:tc>
          <w:tcPr>
            <w:tcW w:w="4245" w:type="dxa"/>
            <w:tcBorders>
              <w:top w:val="single" w:sz="6" w:space="0" w:color="auto"/>
              <w:left w:val="single" w:sz="6" w:space="0" w:color="auto"/>
              <w:bottom w:val="single" w:sz="6" w:space="0" w:color="auto"/>
              <w:right w:val="single" w:sz="6" w:space="0" w:color="auto"/>
            </w:tcBorders>
            <w:shd w:val="clear" w:color="auto" w:fill="auto"/>
            <w:hideMark/>
          </w:tcPr>
          <w:p w14:paraId="09BE2E78" w14:textId="77777777" w:rsidR="00D925CF" w:rsidRPr="000B3121" w:rsidRDefault="00D925CF" w:rsidP="00B70D4E">
            <w:r>
              <w:rPr>
                <w:u w:val="single"/>
              </w:rPr>
              <w:t>Necessary/unnecessary acronyms or jargon?</w:t>
            </w:r>
            <w:r w:rsidRPr="000B3121">
              <w:t> </w:t>
            </w:r>
          </w:p>
          <w:p w14:paraId="6B73B299" w14:textId="77777777" w:rsidR="00D925CF" w:rsidRDefault="00D925CF" w:rsidP="00B70D4E"/>
          <w:p w14:paraId="60095901" w14:textId="440E1620" w:rsidR="00D925CF" w:rsidRPr="000B3121" w:rsidRDefault="00D925CF" w:rsidP="00B70D4E"/>
        </w:tc>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61A86A08" w14:textId="77777777" w:rsidR="00D925CF" w:rsidRDefault="00D925CF" w:rsidP="00B70D4E">
            <w:r>
              <w:rPr>
                <w:u w:val="single"/>
              </w:rPr>
              <w:t>Suggested improvements?</w:t>
            </w:r>
          </w:p>
          <w:p w14:paraId="14F8999D" w14:textId="77777777" w:rsidR="00D925CF" w:rsidRPr="000B3121" w:rsidRDefault="00D925CF" w:rsidP="00B70D4E"/>
          <w:p w14:paraId="2029D44F" w14:textId="77777777" w:rsidR="00D925CF" w:rsidRPr="000B3121" w:rsidRDefault="00D925CF" w:rsidP="00B70D4E"/>
        </w:tc>
      </w:tr>
    </w:tbl>
    <w:p w14:paraId="6833AABB" w14:textId="77777777" w:rsidR="00D925CF" w:rsidRDefault="00D925CF" w:rsidP="00D925CF">
      <w:pPr>
        <w:spacing w:after="0"/>
      </w:pPr>
    </w:p>
    <w:p w14:paraId="386EF66A" w14:textId="7F3B52A9" w:rsidR="004F6BD3" w:rsidRDefault="00D925CF" w:rsidP="00D925CF">
      <w:pPr>
        <w:rPr>
          <w:b/>
          <w:bCs/>
          <w:u w:val="single"/>
        </w:rPr>
      </w:pPr>
      <w:r>
        <w:rPr>
          <w:b/>
          <w:bCs/>
          <w:u w:val="single"/>
        </w:rPr>
        <w:t xml:space="preserve"> </w:t>
      </w:r>
    </w:p>
    <w:p w14:paraId="49F05C38" w14:textId="2D6FA2B7" w:rsidR="00083F34" w:rsidRPr="000B3121" w:rsidRDefault="00083F34" w:rsidP="000B3121">
      <w:r w:rsidRPr="000B3121">
        <w:rPr>
          <w:b/>
          <w:bCs/>
          <w:u w:val="single"/>
        </w:rPr>
        <w:t xml:space="preserve">Sample </w:t>
      </w:r>
      <w:r w:rsidR="00087E20">
        <w:rPr>
          <w:b/>
          <w:bCs/>
          <w:u w:val="single"/>
        </w:rPr>
        <w:t>8</w:t>
      </w:r>
      <w:r w:rsidRPr="000B3121">
        <w:rPr>
          <w:b/>
          <w:bCs/>
          <w:u w:val="single"/>
        </w:rPr>
        <w:t>.</w:t>
      </w:r>
      <w:r>
        <w:rPr>
          <w:b/>
          <w:bCs/>
          <w:u w:val="single"/>
        </w:rPr>
        <w:t>3</w:t>
      </w:r>
      <w:r w:rsidRPr="000B3121">
        <w:rPr>
          <w:b/>
          <w:bCs/>
          <w:u w:val="single"/>
        </w:rPr>
        <w:t>.</w:t>
      </w:r>
      <w:r w:rsidRPr="000B3121">
        <w:t xml:space="preserve"> </w:t>
      </w:r>
      <w:r w:rsidR="00087E20">
        <w:rPr>
          <w:vertAlign w:val="superscript"/>
        </w:rPr>
        <w:t>3</w:t>
      </w:r>
      <w:r w:rsidRPr="000B3121">
        <w:t> </w:t>
      </w:r>
    </w:p>
    <w:p w14:paraId="06C0FD3E" w14:textId="77777777" w:rsidR="00087E20" w:rsidRDefault="00087E20" w:rsidP="00087E20">
      <w:pPr>
        <w:rPr>
          <w:iCs/>
        </w:rPr>
      </w:pPr>
      <w:r w:rsidRPr="00087E20">
        <w:rPr>
          <w:iCs/>
        </w:rPr>
        <w:t xml:space="preserve">In recent years, </w:t>
      </w:r>
      <w:proofErr w:type="spellStart"/>
      <w:r w:rsidRPr="00087E20">
        <w:rPr>
          <w:iCs/>
        </w:rPr>
        <w:t>polymyxin</w:t>
      </w:r>
      <w:proofErr w:type="spellEnd"/>
      <w:r w:rsidRPr="00087E20">
        <w:rPr>
          <w:iCs/>
        </w:rPr>
        <w:t xml:space="preserve"> has been used as a last-resort therapy for </w:t>
      </w:r>
      <w:proofErr w:type="spellStart"/>
      <w:r w:rsidRPr="00087E20">
        <w:rPr>
          <w:iCs/>
        </w:rPr>
        <w:t>carbapenem</w:t>
      </w:r>
      <w:proofErr w:type="spellEnd"/>
      <w:r w:rsidRPr="00087E20">
        <w:rPr>
          <w:iCs/>
        </w:rPr>
        <w:t xml:space="preserve">-resistant bacterial infections. The emergence of </w:t>
      </w:r>
      <w:proofErr w:type="spellStart"/>
      <w:r w:rsidRPr="00087E20">
        <w:rPr>
          <w:iCs/>
        </w:rPr>
        <w:t>heteroresistance</w:t>
      </w:r>
      <w:proofErr w:type="spellEnd"/>
      <w:r w:rsidRPr="00087E20">
        <w:rPr>
          <w:iCs/>
        </w:rPr>
        <w:t xml:space="preserve"> (HR) to </w:t>
      </w:r>
      <w:proofErr w:type="spellStart"/>
      <w:r w:rsidRPr="00087E20">
        <w:rPr>
          <w:iCs/>
        </w:rPr>
        <w:t>polymyxin</w:t>
      </w:r>
      <w:proofErr w:type="spellEnd"/>
      <w:r w:rsidRPr="00087E20">
        <w:rPr>
          <w:iCs/>
        </w:rPr>
        <w:t xml:space="preserve"> hampers the efficacy of </w:t>
      </w:r>
      <w:proofErr w:type="spellStart"/>
      <w:r w:rsidRPr="00087E20">
        <w:rPr>
          <w:iCs/>
        </w:rPr>
        <w:t>polymyxin</w:t>
      </w:r>
      <w:proofErr w:type="spellEnd"/>
      <w:r w:rsidRPr="00087E20">
        <w:rPr>
          <w:iCs/>
        </w:rPr>
        <w:t xml:space="preserve"> treatment by amplifying resistant subpopulation. However, the mechanisms behind </w:t>
      </w:r>
      <w:proofErr w:type="spellStart"/>
      <w:r w:rsidRPr="00087E20">
        <w:rPr>
          <w:iCs/>
        </w:rPr>
        <w:t>polymyxin</w:t>
      </w:r>
      <w:proofErr w:type="spellEnd"/>
      <w:r w:rsidRPr="00087E20">
        <w:rPr>
          <w:iCs/>
        </w:rPr>
        <w:t xml:space="preserve"> HR remain unclear. Small noncoding RNAs (</w:t>
      </w:r>
      <w:proofErr w:type="spellStart"/>
      <w:r w:rsidRPr="00087E20">
        <w:rPr>
          <w:iCs/>
        </w:rPr>
        <w:t>sRNAs</w:t>
      </w:r>
      <w:proofErr w:type="spellEnd"/>
      <w:r w:rsidRPr="00087E20">
        <w:rPr>
          <w:iCs/>
        </w:rPr>
        <w:t xml:space="preserve">) play an important role in regulating drug resistance. The purpose of this study was to investigate the effects and mechanisms of sRNA on </w:t>
      </w:r>
      <w:proofErr w:type="spellStart"/>
      <w:r w:rsidRPr="00087E20">
        <w:rPr>
          <w:iCs/>
        </w:rPr>
        <w:t>polymyxin</w:t>
      </w:r>
      <w:proofErr w:type="spellEnd"/>
      <w:r w:rsidRPr="00087E20">
        <w:rPr>
          <w:iCs/>
        </w:rPr>
        <w:t xml:space="preserve"> B (PB)-HR in </w:t>
      </w:r>
      <w:proofErr w:type="spellStart"/>
      <w:r w:rsidRPr="00087E20">
        <w:rPr>
          <w:iCs/>
        </w:rPr>
        <w:t>carbapenem</w:t>
      </w:r>
      <w:proofErr w:type="spellEnd"/>
      <w:r w:rsidRPr="00087E20">
        <w:rPr>
          <w:iCs/>
        </w:rPr>
        <w:t>-resistant </w:t>
      </w:r>
      <w:proofErr w:type="spellStart"/>
      <w:r w:rsidRPr="00087E20">
        <w:rPr>
          <w:i/>
          <w:iCs/>
        </w:rPr>
        <w:t>Klebsiella</w:t>
      </w:r>
      <w:proofErr w:type="spellEnd"/>
      <w:r w:rsidRPr="00087E20">
        <w:rPr>
          <w:i/>
          <w:iCs/>
        </w:rPr>
        <w:t xml:space="preserve"> </w:t>
      </w:r>
      <w:proofErr w:type="spellStart"/>
      <w:r w:rsidRPr="00087E20">
        <w:rPr>
          <w:i/>
          <w:iCs/>
        </w:rPr>
        <w:t>pneumoniae</w:t>
      </w:r>
      <w:proofErr w:type="spellEnd"/>
      <w:r w:rsidRPr="00087E20">
        <w:rPr>
          <w:iCs/>
        </w:rPr>
        <w:t xml:space="preserve">. In this study, a novel sRNA </w:t>
      </w:r>
      <w:proofErr w:type="spellStart"/>
      <w:r w:rsidRPr="00087E20">
        <w:rPr>
          <w:iCs/>
        </w:rPr>
        <w:t>PhaS</w:t>
      </w:r>
      <w:proofErr w:type="spellEnd"/>
      <w:r w:rsidRPr="00087E20">
        <w:rPr>
          <w:iCs/>
        </w:rPr>
        <w:t xml:space="preserve"> was identified by transcriptome sequencing. </w:t>
      </w:r>
      <w:proofErr w:type="spellStart"/>
      <w:r w:rsidRPr="00087E20">
        <w:rPr>
          <w:iCs/>
        </w:rPr>
        <w:t>PhaS</w:t>
      </w:r>
      <w:proofErr w:type="spellEnd"/>
      <w:r w:rsidRPr="00087E20">
        <w:rPr>
          <w:iCs/>
        </w:rPr>
        <w:t xml:space="preserve"> expression was elevated in the PB </w:t>
      </w:r>
      <w:proofErr w:type="spellStart"/>
      <w:r w:rsidRPr="00087E20">
        <w:rPr>
          <w:iCs/>
        </w:rPr>
        <w:t>heteroresistant</w:t>
      </w:r>
      <w:proofErr w:type="spellEnd"/>
      <w:r w:rsidRPr="00087E20">
        <w:rPr>
          <w:iCs/>
        </w:rPr>
        <w:t xml:space="preserve"> subpopulation. Overexpression and deletion of </w:t>
      </w:r>
      <w:proofErr w:type="spellStart"/>
      <w:r w:rsidRPr="00087E20">
        <w:rPr>
          <w:iCs/>
        </w:rPr>
        <w:t>PhaS</w:t>
      </w:r>
      <w:proofErr w:type="spellEnd"/>
      <w:r w:rsidRPr="00087E20">
        <w:rPr>
          <w:iCs/>
        </w:rPr>
        <w:t xml:space="preserve"> were constructed in three </w:t>
      </w:r>
      <w:proofErr w:type="spellStart"/>
      <w:r w:rsidRPr="00087E20">
        <w:rPr>
          <w:iCs/>
        </w:rPr>
        <w:t>carbapenem</w:t>
      </w:r>
      <w:proofErr w:type="spellEnd"/>
      <w:r w:rsidRPr="00087E20">
        <w:rPr>
          <w:iCs/>
        </w:rPr>
        <w:t>-resistant </w:t>
      </w:r>
      <w:r w:rsidRPr="00087E20">
        <w:rPr>
          <w:i/>
          <w:iCs/>
        </w:rPr>
        <w:t xml:space="preserve">K. </w:t>
      </w:r>
      <w:proofErr w:type="spellStart"/>
      <w:r w:rsidRPr="00087E20">
        <w:rPr>
          <w:i/>
          <w:iCs/>
        </w:rPr>
        <w:t>pneumoniae</w:t>
      </w:r>
      <w:proofErr w:type="spellEnd"/>
      <w:r w:rsidRPr="00087E20">
        <w:rPr>
          <w:i/>
          <w:iCs/>
        </w:rPr>
        <w:t> </w:t>
      </w:r>
      <w:r w:rsidRPr="00087E20">
        <w:rPr>
          <w:iCs/>
        </w:rPr>
        <w:t xml:space="preserve">strains. Population analysis profiling, growth curve, and time-killing curve analysis showed that </w:t>
      </w:r>
      <w:proofErr w:type="spellStart"/>
      <w:r w:rsidRPr="00087E20">
        <w:rPr>
          <w:iCs/>
        </w:rPr>
        <w:t>PhaS</w:t>
      </w:r>
      <w:proofErr w:type="spellEnd"/>
      <w:r w:rsidRPr="00087E20">
        <w:rPr>
          <w:iCs/>
        </w:rPr>
        <w:t xml:space="preserve"> enhanced PB-HR. In addition, we verified that </w:t>
      </w:r>
      <w:proofErr w:type="spellStart"/>
      <w:r w:rsidRPr="00087E20">
        <w:rPr>
          <w:iCs/>
        </w:rPr>
        <w:t>PhaS</w:t>
      </w:r>
      <w:proofErr w:type="spellEnd"/>
      <w:r w:rsidRPr="00087E20">
        <w:rPr>
          <w:iCs/>
        </w:rPr>
        <w:t xml:space="preserve"> directly targeted </w:t>
      </w:r>
      <w:proofErr w:type="spellStart"/>
      <w:r w:rsidRPr="00087E20">
        <w:rPr>
          <w:iCs/>
        </w:rPr>
        <w:t>phoP</w:t>
      </w:r>
      <w:proofErr w:type="spellEnd"/>
      <w:r w:rsidRPr="00087E20">
        <w:rPr>
          <w:iCs/>
        </w:rPr>
        <w:t xml:space="preserve"> through the green fluorescent protein reporter system. </w:t>
      </w:r>
      <w:proofErr w:type="spellStart"/>
      <w:r w:rsidRPr="00087E20">
        <w:rPr>
          <w:iCs/>
        </w:rPr>
        <w:t>PhaS</w:t>
      </w:r>
      <w:proofErr w:type="spellEnd"/>
      <w:r w:rsidRPr="00087E20">
        <w:rPr>
          <w:iCs/>
        </w:rPr>
        <w:t xml:space="preserve"> promoted the expression of </w:t>
      </w:r>
      <w:proofErr w:type="spellStart"/>
      <w:r w:rsidRPr="00087E20">
        <w:rPr>
          <w:i/>
          <w:iCs/>
        </w:rPr>
        <w:t>phoP</w:t>
      </w:r>
      <w:proofErr w:type="spellEnd"/>
      <w:r w:rsidRPr="00087E20">
        <w:rPr>
          <w:iCs/>
        </w:rPr>
        <w:t>, thereby encouraging the expression of downstream genes </w:t>
      </w:r>
      <w:proofErr w:type="spellStart"/>
      <w:r w:rsidRPr="00087E20">
        <w:rPr>
          <w:i/>
          <w:iCs/>
        </w:rPr>
        <w:t>pmrD</w:t>
      </w:r>
      <w:proofErr w:type="spellEnd"/>
      <w:r w:rsidRPr="00087E20">
        <w:rPr>
          <w:i/>
          <w:iCs/>
        </w:rPr>
        <w:t> </w:t>
      </w:r>
      <w:r w:rsidRPr="00087E20">
        <w:rPr>
          <w:iCs/>
        </w:rPr>
        <w:t>and</w:t>
      </w:r>
      <w:r w:rsidRPr="00087E20">
        <w:rPr>
          <w:i/>
          <w:iCs/>
        </w:rPr>
        <w:t> </w:t>
      </w:r>
      <w:proofErr w:type="spellStart"/>
      <w:r w:rsidRPr="00087E20">
        <w:rPr>
          <w:i/>
          <w:iCs/>
        </w:rPr>
        <w:t>arnT</w:t>
      </w:r>
      <w:proofErr w:type="spellEnd"/>
      <w:r w:rsidRPr="00087E20">
        <w:rPr>
          <w:iCs/>
        </w:rPr>
        <w:t>. This upregulation of </w:t>
      </w:r>
      <w:proofErr w:type="spellStart"/>
      <w:r w:rsidRPr="00087E20">
        <w:rPr>
          <w:i/>
          <w:iCs/>
        </w:rPr>
        <w:t>arnT</w:t>
      </w:r>
      <w:proofErr w:type="spellEnd"/>
      <w:r w:rsidRPr="00087E20">
        <w:rPr>
          <w:iCs/>
        </w:rPr>
        <w:t xml:space="preserve"> promoted the 4-amino-4-deoxyL-arabinosaccharide (L-Ara4N) modification of lipid A in </w:t>
      </w:r>
      <w:proofErr w:type="spellStart"/>
      <w:r w:rsidRPr="00087E20">
        <w:rPr>
          <w:iCs/>
        </w:rPr>
        <w:t>PhaS</w:t>
      </w:r>
      <w:proofErr w:type="spellEnd"/>
      <w:r w:rsidRPr="00087E20">
        <w:rPr>
          <w:iCs/>
        </w:rPr>
        <w:t xml:space="preserve"> overexpressing strains, thus enhancing PB-HR. Further, within the promoter region of </w:t>
      </w:r>
      <w:proofErr w:type="spellStart"/>
      <w:r w:rsidRPr="00087E20">
        <w:rPr>
          <w:iCs/>
        </w:rPr>
        <w:t>PhaS</w:t>
      </w:r>
      <w:proofErr w:type="spellEnd"/>
      <w:r w:rsidRPr="00087E20">
        <w:rPr>
          <w:iCs/>
        </w:rPr>
        <w:t xml:space="preserve">, specific </w:t>
      </w:r>
      <w:proofErr w:type="spellStart"/>
      <w:r w:rsidRPr="00087E20">
        <w:rPr>
          <w:iCs/>
        </w:rPr>
        <w:t>PhoP</w:t>
      </w:r>
      <w:proofErr w:type="spellEnd"/>
      <w:r w:rsidRPr="00087E20">
        <w:rPr>
          <w:iCs/>
        </w:rPr>
        <w:t xml:space="preserve"> recognition sites were identified. ONPG assays and RT-qPCR analysis confirmed that </w:t>
      </w:r>
      <w:proofErr w:type="spellStart"/>
      <w:r w:rsidRPr="00087E20">
        <w:rPr>
          <w:iCs/>
        </w:rPr>
        <w:t>PhaS</w:t>
      </w:r>
      <w:proofErr w:type="spellEnd"/>
      <w:r w:rsidRPr="00087E20">
        <w:rPr>
          <w:iCs/>
        </w:rPr>
        <w:t xml:space="preserve"> expression was positively modulated by </w:t>
      </w:r>
      <w:proofErr w:type="spellStart"/>
      <w:r w:rsidRPr="00087E20">
        <w:rPr>
          <w:iCs/>
        </w:rPr>
        <w:t>PhoP</w:t>
      </w:r>
      <w:proofErr w:type="spellEnd"/>
      <w:r w:rsidRPr="00087E20">
        <w:rPr>
          <w:iCs/>
        </w:rPr>
        <w:t xml:space="preserve"> and thus up-regulated by PB stimulation. To sum up, a novel sRNA enhancing PB-HR was identified and a positive feedback </w:t>
      </w:r>
      <w:r w:rsidRPr="00087E20">
        <w:rPr>
          <w:iCs/>
        </w:rPr>
        <w:lastRenderedPageBreak/>
        <w:t>regulatory pathway of sRNA-</w:t>
      </w:r>
      <w:proofErr w:type="spellStart"/>
      <w:r w:rsidRPr="00087E20">
        <w:rPr>
          <w:iCs/>
        </w:rPr>
        <w:t>PhoP</w:t>
      </w:r>
      <w:proofErr w:type="spellEnd"/>
      <w:r w:rsidRPr="00087E20">
        <w:rPr>
          <w:iCs/>
        </w:rPr>
        <w:t xml:space="preserve">/Q was demonstrated in the study. This helps to provide a more comprehensive and clear understanding of the underlying mechanisms behind </w:t>
      </w:r>
      <w:proofErr w:type="spellStart"/>
      <w:r w:rsidRPr="00087E20">
        <w:rPr>
          <w:iCs/>
        </w:rPr>
        <w:t>polymyxin</w:t>
      </w:r>
      <w:proofErr w:type="spellEnd"/>
      <w:r w:rsidRPr="00087E20">
        <w:rPr>
          <w:iCs/>
        </w:rPr>
        <w:t xml:space="preserve"> HR in </w:t>
      </w:r>
      <w:proofErr w:type="spellStart"/>
      <w:r w:rsidRPr="00087E20">
        <w:rPr>
          <w:iCs/>
        </w:rPr>
        <w:t>carbapenem</w:t>
      </w:r>
      <w:proofErr w:type="spellEnd"/>
      <w:r w:rsidRPr="00087E20">
        <w:rPr>
          <w:iCs/>
        </w:rPr>
        <w:t>-resistant </w:t>
      </w:r>
      <w:r w:rsidRPr="00087E20">
        <w:rPr>
          <w:i/>
          <w:iCs/>
        </w:rPr>
        <w:t xml:space="preserve">K. </w:t>
      </w:r>
      <w:proofErr w:type="spellStart"/>
      <w:r w:rsidRPr="00087E20">
        <w:rPr>
          <w:i/>
          <w:iCs/>
        </w:rPr>
        <w:t>pneumoniae</w:t>
      </w:r>
      <w:proofErr w:type="spellEnd"/>
      <w:r w:rsidRPr="00087E20">
        <w:rPr>
          <w:iCs/>
        </w:rPr>
        <w:t>.</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5"/>
        <w:gridCol w:w="4755"/>
      </w:tblGrid>
      <w:tr w:rsidR="00087E20" w:rsidRPr="000B3121" w14:paraId="6DF3E5EB" w14:textId="77777777" w:rsidTr="00B70D4E">
        <w:trPr>
          <w:trHeight w:val="300"/>
        </w:trPr>
        <w:tc>
          <w:tcPr>
            <w:tcW w:w="4245" w:type="dxa"/>
            <w:tcBorders>
              <w:top w:val="single" w:sz="6" w:space="0" w:color="auto"/>
              <w:left w:val="single" w:sz="6" w:space="0" w:color="auto"/>
              <w:bottom w:val="single" w:sz="6" w:space="0" w:color="auto"/>
              <w:right w:val="single" w:sz="6" w:space="0" w:color="auto"/>
            </w:tcBorders>
            <w:shd w:val="clear" w:color="auto" w:fill="auto"/>
            <w:hideMark/>
          </w:tcPr>
          <w:p w14:paraId="34BFEE1E" w14:textId="77777777" w:rsidR="00087E20" w:rsidRPr="000B3121" w:rsidRDefault="00087E20" w:rsidP="00B70D4E">
            <w:r>
              <w:rPr>
                <w:u w:val="single"/>
              </w:rPr>
              <w:t>Necessary/unnecessary acronyms or jargon?</w:t>
            </w:r>
            <w:r w:rsidRPr="000B3121">
              <w:t> </w:t>
            </w:r>
          </w:p>
          <w:p w14:paraId="421ED063" w14:textId="77777777" w:rsidR="00087E20" w:rsidRDefault="00087E20" w:rsidP="00B70D4E"/>
          <w:p w14:paraId="332D377D" w14:textId="77777777" w:rsidR="00087E20" w:rsidRPr="000B3121" w:rsidRDefault="00087E20" w:rsidP="00B70D4E"/>
        </w:tc>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68B681DC" w14:textId="77777777" w:rsidR="00087E20" w:rsidRDefault="00087E20" w:rsidP="00B70D4E">
            <w:r>
              <w:rPr>
                <w:u w:val="single"/>
              </w:rPr>
              <w:t>Suggested improvements?</w:t>
            </w:r>
          </w:p>
          <w:p w14:paraId="3CA0D1C1" w14:textId="77777777" w:rsidR="00087E20" w:rsidRPr="000B3121" w:rsidRDefault="00087E20" w:rsidP="00B70D4E"/>
          <w:p w14:paraId="009BA41F" w14:textId="77777777" w:rsidR="00087E20" w:rsidRPr="000B3121" w:rsidRDefault="00087E20" w:rsidP="00B70D4E"/>
        </w:tc>
      </w:tr>
    </w:tbl>
    <w:p w14:paraId="540C470D" w14:textId="4A06ED0E" w:rsidR="002C3CD4" w:rsidRPr="000B3121" w:rsidRDefault="00087E20" w:rsidP="00087E20">
      <w:r w:rsidRPr="000B3121">
        <w:t xml:space="preserve"> </w:t>
      </w:r>
    </w:p>
    <w:p w14:paraId="25B10D01" w14:textId="5F1C5DD5" w:rsidR="006D3BCC" w:rsidRPr="00714EA4" w:rsidRDefault="006D3BCC" w:rsidP="006D3BCC">
      <w:pPr>
        <w:pStyle w:val="Heading3"/>
        <w:spacing w:before="0"/>
        <w:rPr>
          <w:u w:val="single"/>
        </w:rPr>
      </w:pPr>
      <w:r w:rsidRPr="00714EA4">
        <w:rPr>
          <w:u w:val="single"/>
        </w:rPr>
        <w:t xml:space="preserve">Exercise </w:t>
      </w:r>
      <w:r w:rsidR="00087E20">
        <w:rPr>
          <w:u w:val="single"/>
        </w:rPr>
        <w:t>8</w:t>
      </w:r>
      <w:r>
        <w:rPr>
          <w:u w:val="single"/>
        </w:rPr>
        <w:t>B</w:t>
      </w:r>
      <w:r w:rsidRPr="00714EA4">
        <w:rPr>
          <w:u w:val="single"/>
        </w:rPr>
        <w:t>.</w:t>
      </w:r>
    </w:p>
    <w:p w14:paraId="203EC5FD" w14:textId="74B3C427" w:rsidR="004F6BD3" w:rsidRDefault="00806EBA" w:rsidP="00806EBA">
      <w:pPr>
        <w:pStyle w:val="Heading3"/>
      </w:pPr>
      <w:r>
        <w:t xml:space="preserve"> </w:t>
      </w:r>
    </w:p>
    <w:p w14:paraId="7D89DB7E" w14:textId="71E13914" w:rsidR="00806EBA" w:rsidRDefault="00806EBA" w:rsidP="00806EBA">
      <w:r w:rsidRPr="00806EBA">
        <w:t xml:space="preserve">Look at your introduction thus far </w:t>
      </w:r>
      <w:r>
        <w:t xml:space="preserve">(or any other piece of writing). </w:t>
      </w:r>
      <w:r w:rsidRPr="00806EBA">
        <w:t xml:space="preserve">Go through it, and examine your use (or lack of use) of </w:t>
      </w:r>
      <w:r w:rsidR="00087E20">
        <w:t xml:space="preserve">acronyms and jargon. </w:t>
      </w:r>
      <w:bookmarkStart w:id="0" w:name="_GoBack"/>
      <w:bookmarkEnd w:id="0"/>
      <w:r w:rsidRPr="00806EBA">
        <w:t>Consider how your writing can be improved and make the appropriate edits</w:t>
      </w:r>
      <w:r>
        <w:t>.</w:t>
      </w:r>
    </w:p>
    <w:p w14:paraId="02811CED" w14:textId="77777777" w:rsidR="004F6BD3" w:rsidRPr="004F6BD3" w:rsidRDefault="004F6BD3" w:rsidP="004F6BD3"/>
    <w:p w14:paraId="310406D5" w14:textId="77777777" w:rsidR="00156FFD" w:rsidRDefault="00156FFD" w:rsidP="00156FFD">
      <w:pPr>
        <w:pStyle w:val="Heading3"/>
      </w:pPr>
      <w:r>
        <w:t>References</w:t>
      </w:r>
    </w:p>
    <w:p w14:paraId="297C6082" w14:textId="6F6E78FD" w:rsidR="00613F0D" w:rsidRPr="00087E20" w:rsidRDefault="00613F0D" w:rsidP="00613F0D">
      <w:pPr>
        <w:pStyle w:val="paragraph"/>
        <w:numPr>
          <w:ilvl w:val="0"/>
          <w:numId w:val="3"/>
        </w:numPr>
        <w:textAlignment w:val="baseline"/>
        <w:rPr>
          <w:rStyle w:val="url"/>
          <w:rFonts w:ascii="Arial" w:hAnsi="Arial" w:cs="Arial"/>
          <w:color w:val="000000" w:themeColor="text1"/>
          <w:sz w:val="20"/>
          <w:szCs w:val="20"/>
        </w:rPr>
      </w:pPr>
      <w:proofErr w:type="spellStart"/>
      <w:r w:rsidRPr="00087E20">
        <w:rPr>
          <w:rFonts w:ascii="Arial" w:hAnsi="Arial" w:cs="Arial"/>
          <w:color w:val="000000" w:themeColor="text1"/>
          <w:sz w:val="20"/>
          <w:szCs w:val="20"/>
          <w:shd w:val="clear" w:color="auto" w:fill="FFFFFF"/>
        </w:rPr>
        <w:t>Desalegn</w:t>
      </w:r>
      <w:proofErr w:type="spellEnd"/>
      <w:r w:rsidRPr="00087E20">
        <w:rPr>
          <w:rFonts w:ascii="Arial" w:hAnsi="Arial" w:cs="Arial"/>
          <w:color w:val="000000" w:themeColor="text1"/>
          <w:sz w:val="20"/>
          <w:szCs w:val="20"/>
          <w:shd w:val="clear" w:color="auto" w:fill="FFFFFF"/>
        </w:rPr>
        <w:t xml:space="preserve">, Y., </w:t>
      </w:r>
      <w:proofErr w:type="spellStart"/>
      <w:r w:rsidRPr="00087E20">
        <w:rPr>
          <w:rFonts w:ascii="Arial" w:hAnsi="Arial" w:cs="Arial"/>
          <w:color w:val="000000" w:themeColor="text1"/>
          <w:sz w:val="20"/>
          <w:szCs w:val="20"/>
          <w:shd w:val="clear" w:color="auto" w:fill="FFFFFF"/>
        </w:rPr>
        <w:t>Bitew</w:t>
      </w:r>
      <w:proofErr w:type="spellEnd"/>
      <w:r w:rsidRPr="00087E20">
        <w:rPr>
          <w:rFonts w:ascii="Arial" w:hAnsi="Arial" w:cs="Arial"/>
          <w:color w:val="000000" w:themeColor="text1"/>
          <w:sz w:val="20"/>
          <w:szCs w:val="20"/>
          <w:shd w:val="clear" w:color="auto" w:fill="FFFFFF"/>
        </w:rPr>
        <w:t xml:space="preserve">, A., &amp; </w:t>
      </w:r>
      <w:proofErr w:type="spellStart"/>
      <w:r w:rsidRPr="00087E20">
        <w:rPr>
          <w:rFonts w:ascii="Arial" w:hAnsi="Arial" w:cs="Arial"/>
          <w:color w:val="000000" w:themeColor="text1"/>
          <w:sz w:val="20"/>
          <w:szCs w:val="20"/>
          <w:shd w:val="clear" w:color="auto" w:fill="FFFFFF"/>
        </w:rPr>
        <w:t>Adane</w:t>
      </w:r>
      <w:proofErr w:type="spellEnd"/>
      <w:r w:rsidRPr="00087E20">
        <w:rPr>
          <w:rFonts w:ascii="Arial" w:hAnsi="Arial" w:cs="Arial"/>
          <w:color w:val="000000" w:themeColor="text1"/>
          <w:sz w:val="20"/>
          <w:szCs w:val="20"/>
          <w:shd w:val="clear" w:color="auto" w:fill="FFFFFF"/>
        </w:rPr>
        <w:t xml:space="preserve">, A. (2023). A spectrum of non-spore-forming fermentative and non-fermentative Gram-negative bacteria: multi-drug resistance, extended-spectrum beta-lactamase, and </w:t>
      </w:r>
      <w:proofErr w:type="spellStart"/>
      <w:r w:rsidRPr="00087E20">
        <w:rPr>
          <w:rFonts w:ascii="Arial" w:hAnsi="Arial" w:cs="Arial"/>
          <w:color w:val="000000" w:themeColor="text1"/>
          <w:sz w:val="20"/>
          <w:szCs w:val="20"/>
          <w:shd w:val="clear" w:color="auto" w:fill="FFFFFF"/>
        </w:rPr>
        <w:t>carbapenemase</w:t>
      </w:r>
      <w:proofErr w:type="spellEnd"/>
      <w:r w:rsidRPr="00087E20">
        <w:rPr>
          <w:rFonts w:ascii="Arial" w:hAnsi="Arial" w:cs="Arial"/>
          <w:color w:val="000000" w:themeColor="text1"/>
          <w:sz w:val="20"/>
          <w:szCs w:val="20"/>
          <w:shd w:val="clear" w:color="auto" w:fill="FFFFFF"/>
        </w:rPr>
        <w:t xml:space="preserve"> production. </w:t>
      </w:r>
      <w:r w:rsidRPr="00087E20">
        <w:rPr>
          <w:rFonts w:ascii="Arial" w:hAnsi="Arial" w:cs="Arial"/>
          <w:i/>
          <w:iCs/>
          <w:color w:val="000000" w:themeColor="text1"/>
          <w:sz w:val="20"/>
          <w:szCs w:val="20"/>
          <w:shd w:val="clear" w:color="auto" w:fill="FFFFFF"/>
        </w:rPr>
        <w:t>Frontiers in Antibiotics</w:t>
      </w:r>
      <w:r w:rsidRPr="00087E20">
        <w:rPr>
          <w:rFonts w:ascii="Arial" w:hAnsi="Arial" w:cs="Arial"/>
          <w:color w:val="000000" w:themeColor="text1"/>
          <w:sz w:val="20"/>
          <w:szCs w:val="20"/>
          <w:shd w:val="clear" w:color="auto" w:fill="FFFFFF"/>
        </w:rPr>
        <w:t>, </w:t>
      </w:r>
      <w:r w:rsidRPr="00087E20">
        <w:rPr>
          <w:rFonts w:ascii="Arial" w:hAnsi="Arial" w:cs="Arial"/>
          <w:i/>
          <w:iCs/>
          <w:color w:val="000000" w:themeColor="text1"/>
          <w:sz w:val="20"/>
          <w:szCs w:val="20"/>
          <w:shd w:val="clear" w:color="auto" w:fill="FFFFFF"/>
        </w:rPr>
        <w:t>2</w:t>
      </w:r>
      <w:r w:rsidRPr="00087E20">
        <w:rPr>
          <w:rFonts w:ascii="Arial" w:hAnsi="Arial" w:cs="Arial"/>
          <w:color w:val="000000" w:themeColor="text1"/>
          <w:sz w:val="20"/>
          <w:szCs w:val="20"/>
          <w:shd w:val="clear" w:color="auto" w:fill="FFFFFF"/>
        </w:rPr>
        <w:t>. </w:t>
      </w:r>
      <w:hyperlink r:id="rId16" w:history="1">
        <w:r w:rsidR="00D925CF" w:rsidRPr="00087E20">
          <w:rPr>
            <w:rStyle w:val="Hyperlink"/>
            <w:rFonts w:ascii="Arial" w:eastAsiaTheme="majorEastAsia" w:hAnsi="Arial" w:cs="Arial"/>
            <w:color w:val="000000" w:themeColor="text1"/>
            <w:sz w:val="20"/>
            <w:szCs w:val="20"/>
            <w:shd w:val="clear" w:color="auto" w:fill="FFFFFF"/>
          </w:rPr>
          <w:t>https://doi.org/10.3389/frabi.2023.1155005</w:t>
        </w:r>
      </w:hyperlink>
    </w:p>
    <w:p w14:paraId="1E9CBB23" w14:textId="176A643C" w:rsidR="00D925CF" w:rsidRPr="00087E20" w:rsidRDefault="00D925CF" w:rsidP="00613F0D">
      <w:pPr>
        <w:pStyle w:val="paragraph"/>
        <w:numPr>
          <w:ilvl w:val="0"/>
          <w:numId w:val="3"/>
        </w:numPr>
        <w:textAlignment w:val="baseline"/>
        <w:rPr>
          <w:rStyle w:val="url"/>
          <w:rFonts w:ascii="Arial" w:hAnsi="Arial" w:cs="Arial"/>
          <w:color w:val="000000" w:themeColor="text1"/>
          <w:sz w:val="20"/>
          <w:szCs w:val="20"/>
        </w:rPr>
      </w:pPr>
      <w:r w:rsidRPr="00087E20">
        <w:rPr>
          <w:rFonts w:ascii="Arial" w:hAnsi="Arial" w:cs="Arial"/>
          <w:color w:val="000000" w:themeColor="text1"/>
          <w:sz w:val="20"/>
          <w:szCs w:val="20"/>
          <w:shd w:val="clear" w:color="auto" w:fill="FFFFFF"/>
        </w:rPr>
        <w:t xml:space="preserve">Lei, Y., </w:t>
      </w:r>
      <w:proofErr w:type="spellStart"/>
      <w:r w:rsidRPr="00087E20">
        <w:rPr>
          <w:rFonts w:ascii="Arial" w:hAnsi="Arial" w:cs="Arial"/>
          <w:color w:val="000000" w:themeColor="text1"/>
          <w:sz w:val="20"/>
          <w:szCs w:val="20"/>
          <w:shd w:val="clear" w:color="auto" w:fill="FFFFFF"/>
        </w:rPr>
        <w:t>Onaka</w:t>
      </w:r>
      <w:proofErr w:type="spellEnd"/>
      <w:r w:rsidRPr="00087E20">
        <w:rPr>
          <w:rFonts w:ascii="Arial" w:hAnsi="Arial" w:cs="Arial"/>
          <w:color w:val="000000" w:themeColor="text1"/>
          <w:sz w:val="20"/>
          <w:szCs w:val="20"/>
          <w:shd w:val="clear" w:color="auto" w:fill="FFFFFF"/>
        </w:rPr>
        <w:t xml:space="preserve">, H., &amp; </w:t>
      </w:r>
      <w:proofErr w:type="spellStart"/>
      <w:r w:rsidRPr="00087E20">
        <w:rPr>
          <w:rFonts w:ascii="Arial" w:hAnsi="Arial" w:cs="Arial"/>
          <w:color w:val="000000" w:themeColor="text1"/>
          <w:sz w:val="20"/>
          <w:szCs w:val="20"/>
          <w:shd w:val="clear" w:color="auto" w:fill="FFFFFF"/>
        </w:rPr>
        <w:t>Asamizu</w:t>
      </w:r>
      <w:proofErr w:type="spellEnd"/>
      <w:r w:rsidRPr="00087E20">
        <w:rPr>
          <w:rFonts w:ascii="Arial" w:hAnsi="Arial" w:cs="Arial"/>
          <w:color w:val="000000" w:themeColor="text1"/>
          <w:sz w:val="20"/>
          <w:szCs w:val="20"/>
          <w:shd w:val="clear" w:color="auto" w:fill="FFFFFF"/>
        </w:rPr>
        <w:t xml:space="preserve">, S. (2024). Transcriptionally induced nucleoid-associated protein-like ccr1 in combined-culture serves as a global effector of </w:t>
      </w:r>
      <w:r w:rsidRPr="00087E20">
        <w:rPr>
          <w:rFonts w:ascii="Arial" w:hAnsi="Arial" w:cs="Arial"/>
          <w:i/>
          <w:color w:val="000000" w:themeColor="text1"/>
          <w:sz w:val="20"/>
          <w:szCs w:val="20"/>
          <w:shd w:val="clear" w:color="auto" w:fill="FFFFFF"/>
        </w:rPr>
        <w:t>Streptomyces</w:t>
      </w:r>
      <w:r w:rsidRPr="00087E20">
        <w:rPr>
          <w:rFonts w:ascii="Arial" w:hAnsi="Arial" w:cs="Arial"/>
          <w:color w:val="000000" w:themeColor="text1"/>
          <w:sz w:val="20"/>
          <w:szCs w:val="20"/>
          <w:shd w:val="clear" w:color="auto" w:fill="FFFFFF"/>
        </w:rPr>
        <w:t xml:space="preserve"> secondary metabolism. </w:t>
      </w:r>
      <w:r w:rsidRPr="00087E20">
        <w:rPr>
          <w:rFonts w:ascii="Arial" w:hAnsi="Arial" w:cs="Arial"/>
          <w:i/>
          <w:iCs/>
          <w:color w:val="000000" w:themeColor="text1"/>
          <w:sz w:val="20"/>
          <w:szCs w:val="20"/>
          <w:shd w:val="clear" w:color="auto" w:fill="FFFFFF"/>
        </w:rPr>
        <w:t>Frontiers in Microbiology</w:t>
      </w:r>
      <w:r w:rsidRPr="00087E20">
        <w:rPr>
          <w:rFonts w:ascii="Arial" w:hAnsi="Arial" w:cs="Arial"/>
          <w:color w:val="000000" w:themeColor="text1"/>
          <w:sz w:val="20"/>
          <w:szCs w:val="20"/>
          <w:shd w:val="clear" w:color="auto" w:fill="FFFFFF"/>
        </w:rPr>
        <w:t>, </w:t>
      </w:r>
      <w:r w:rsidRPr="00087E20">
        <w:rPr>
          <w:rFonts w:ascii="Arial" w:hAnsi="Arial" w:cs="Arial"/>
          <w:i/>
          <w:iCs/>
          <w:color w:val="000000" w:themeColor="text1"/>
          <w:sz w:val="20"/>
          <w:szCs w:val="20"/>
          <w:shd w:val="clear" w:color="auto" w:fill="FFFFFF"/>
        </w:rPr>
        <w:t>15</w:t>
      </w:r>
      <w:r w:rsidRPr="00087E20">
        <w:rPr>
          <w:rFonts w:ascii="Arial" w:hAnsi="Arial" w:cs="Arial"/>
          <w:color w:val="000000" w:themeColor="text1"/>
          <w:sz w:val="20"/>
          <w:szCs w:val="20"/>
          <w:shd w:val="clear" w:color="auto" w:fill="FFFFFF"/>
        </w:rPr>
        <w:t>. </w:t>
      </w:r>
      <w:r w:rsidR="00087E20" w:rsidRPr="00087E20">
        <w:rPr>
          <w:rStyle w:val="url"/>
          <w:rFonts w:ascii="Arial" w:eastAsiaTheme="majorEastAsia" w:hAnsi="Arial" w:cs="Arial"/>
          <w:color w:val="000000" w:themeColor="text1"/>
          <w:sz w:val="20"/>
          <w:szCs w:val="20"/>
          <w:shd w:val="clear" w:color="auto" w:fill="FFFFFF"/>
        </w:rPr>
        <w:t>https://doi.org/10.3389/fmicb.2024.1422977</w:t>
      </w:r>
    </w:p>
    <w:p w14:paraId="2F771F0D" w14:textId="5E1CF4F7" w:rsidR="00087E20" w:rsidRPr="00087E20" w:rsidRDefault="00087E20" w:rsidP="00613F0D">
      <w:pPr>
        <w:pStyle w:val="paragraph"/>
        <w:numPr>
          <w:ilvl w:val="0"/>
          <w:numId w:val="3"/>
        </w:numPr>
        <w:textAlignment w:val="baseline"/>
        <w:rPr>
          <w:rFonts w:ascii="Arial" w:hAnsi="Arial" w:cs="Arial"/>
          <w:color w:val="000000" w:themeColor="text1"/>
          <w:sz w:val="20"/>
          <w:szCs w:val="20"/>
        </w:rPr>
      </w:pPr>
      <w:r w:rsidRPr="00087E20">
        <w:rPr>
          <w:rFonts w:ascii="Arial" w:hAnsi="Arial" w:cs="Arial"/>
          <w:color w:val="000000" w:themeColor="text1"/>
          <w:sz w:val="20"/>
          <w:szCs w:val="20"/>
          <w:shd w:val="clear" w:color="auto" w:fill="FFFFFF"/>
        </w:rPr>
        <w:t xml:space="preserve">Zhao, Z., Yang, T., Xiang, G., Zhang, S., </w:t>
      </w:r>
      <w:proofErr w:type="spellStart"/>
      <w:r w:rsidRPr="00087E20">
        <w:rPr>
          <w:rFonts w:ascii="Arial" w:hAnsi="Arial" w:cs="Arial"/>
          <w:color w:val="000000" w:themeColor="text1"/>
          <w:sz w:val="20"/>
          <w:szCs w:val="20"/>
          <w:shd w:val="clear" w:color="auto" w:fill="FFFFFF"/>
        </w:rPr>
        <w:t>Cai</w:t>
      </w:r>
      <w:proofErr w:type="spellEnd"/>
      <w:r w:rsidRPr="00087E20">
        <w:rPr>
          <w:rFonts w:ascii="Arial" w:hAnsi="Arial" w:cs="Arial"/>
          <w:color w:val="000000" w:themeColor="text1"/>
          <w:sz w:val="20"/>
          <w:szCs w:val="20"/>
          <w:shd w:val="clear" w:color="auto" w:fill="FFFFFF"/>
        </w:rPr>
        <w:t xml:space="preserve">, Y., </w:t>
      </w:r>
      <w:proofErr w:type="spellStart"/>
      <w:r w:rsidRPr="00087E20">
        <w:rPr>
          <w:rFonts w:ascii="Arial" w:hAnsi="Arial" w:cs="Arial"/>
          <w:color w:val="000000" w:themeColor="text1"/>
          <w:sz w:val="20"/>
          <w:szCs w:val="20"/>
          <w:shd w:val="clear" w:color="auto" w:fill="FFFFFF"/>
        </w:rPr>
        <w:t>Zhong</w:t>
      </w:r>
      <w:proofErr w:type="spellEnd"/>
      <w:r w:rsidRPr="00087E20">
        <w:rPr>
          <w:rFonts w:ascii="Arial" w:hAnsi="Arial" w:cs="Arial"/>
          <w:color w:val="000000" w:themeColor="text1"/>
          <w:sz w:val="20"/>
          <w:szCs w:val="20"/>
          <w:shd w:val="clear" w:color="auto" w:fill="FFFFFF"/>
        </w:rPr>
        <w:t xml:space="preserve">, G., Pu, J., Shen, C., Zeng, J., Chen, C., &amp; Huang, B. (2024). A novel small RNA </w:t>
      </w:r>
      <w:proofErr w:type="spellStart"/>
      <w:r w:rsidRPr="00087E20">
        <w:rPr>
          <w:rFonts w:ascii="Arial" w:hAnsi="Arial" w:cs="Arial"/>
          <w:color w:val="000000" w:themeColor="text1"/>
          <w:sz w:val="20"/>
          <w:szCs w:val="20"/>
          <w:shd w:val="clear" w:color="auto" w:fill="FFFFFF"/>
        </w:rPr>
        <w:t>PhaS</w:t>
      </w:r>
      <w:proofErr w:type="spellEnd"/>
      <w:r w:rsidRPr="00087E20">
        <w:rPr>
          <w:rFonts w:ascii="Arial" w:hAnsi="Arial" w:cs="Arial"/>
          <w:color w:val="000000" w:themeColor="text1"/>
          <w:sz w:val="20"/>
          <w:szCs w:val="20"/>
          <w:shd w:val="clear" w:color="auto" w:fill="FFFFFF"/>
        </w:rPr>
        <w:t xml:space="preserve"> contributes to </w:t>
      </w:r>
      <w:proofErr w:type="spellStart"/>
      <w:r w:rsidRPr="00087E20">
        <w:rPr>
          <w:rFonts w:ascii="Arial" w:hAnsi="Arial" w:cs="Arial"/>
          <w:color w:val="000000" w:themeColor="text1"/>
          <w:sz w:val="20"/>
          <w:szCs w:val="20"/>
          <w:shd w:val="clear" w:color="auto" w:fill="FFFFFF"/>
        </w:rPr>
        <w:t>polymyxin</w:t>
      </w:r>
      <w:proofErr w:type="spellEnd"/>
      <w:r w:rsidRPr="00087E20">
        <w:rPr>
          <w:rFonts w:ascii="Arial" w:hAnsi="Arial" w:cs="Arial"/>
          <w:color w:val="000000" w:themeColor="text1"/>
          <w:sz w:val="20"/>
          <w:szCs w:val="20"/>
          <w:shd w:val="clear" w:color="auto" w:fill="FFFFFF"/>
        </w:rPr>
        <w:t xml:space="preserve"> B-</w:t>
      </w:r>
      <w:proofErr w:type="spellStart"/>
      <w:r w:rsidRPr="00087E20">
        <w:rPr>
          <w:rFonts w:ascii="Arial" w:hAnsi="Arial" w:cs="Arial"/>
          <w:color w:val="000000" w:themeColor="text1"/>
          <w:sz w:val="20"/>
          <w:szCs w:val="20"/>
          <w:shd w:val="clear" w:color="auto" w:fill="FFFFFF"/>
        </w:rPr>
        <w:t>heteroresistance</w:t>
      </w:r>
      <w:proofErr w:type="spellEnd"/>
      <w:r w:rsidRPr="00087E20">
        <w:rPr>
          <w:rFonts w:ascii="Arial" w:hAnsi="Arial" w:cs="Arial"/>
          <w:color w:val="000000" w:themeColor="text1"/>
          <w:sz w:val="20"/>
          <w:szCs w:val="20"/>
          <w:shd w:val="clear" w:color="auto" w:fill="FFFFFF"/>
        </w:rPr>
        <w:t xml:space="preserve"> in </w:t>
      </w:r>
      <w:proofErr w:type="spellStart"/>
      <w:r w:rsidRPr="00087E20">
        <w:rPr>
          <w:rFonts w:ascii="Arial" w:hAnsi="Arial" w:cs="Arial"/>
          <w:color w:val="000000" w:themeColor="text1"/>
          <w:sz w:val="20"/>
          <w:szCs w:val="20"/>
          <w:shd w:val="clear" w:color="auto" w:fill="FFFFFF"/>
        </w:rPr>
        <w:t>carbapenem</w:t>
      </w:r>
      <w:proofErr w:type="spellEnd"/>
      <w:r w:rsidRPr="00087E20">
        <w:rPr>
          <w:rFonts w:ascii="Arial" w:hAnsi="Arial" w:cs="Arial"/>
          <w:color w:val="000000" w:themeColor="text1"/>
          <w:sz w:val="20"/>
          <w:szCs w:val="20"/>
          <w:shd w:val="clear" w:color="auto" w:fill="FFFFFF"/>
        </w:rPr>
        <w:t xml:space="preserve">-resistant </w:t>
      </w:r>
      <w:proofErr w:type="spellStart"/>
      <w:r w:rsidRPr="00087E20">
        <w:rPr>
          <w:rFonts w:ascii="Arial" w:hAnsi="Arial" w:cs="Arial"/>
          <w:i/>
          <w:color w:val="000000" w:themeColor="text1"/>
          <w:sz w:val="20"/>
          <w:szCs w:val="20"/>
          <w:shd w:val="clear" w:color="auto" w:fill="FFFFFF"/>
        </w:rPr>
        <w:t>Klebsiella</w:t>
      </w:r>
      <w:proofErr w:type="spellEnd"/>
      <w:r w:rsidRPr="00087E20">
        <w:rPr>
          <w:rFonts w:ascii="Arial" w:hAnsi="Arial" w:cs="Arial"/>
          <w:i/>
          <w:color w:val="000000" w:themeColor="text1"/>
          <w:sz w:val="20"/>
          <w:szCs w:val="20"/>
          <w:shd w:val="clear" w:color="auto" w:fill="FFFFFF"/>
        </w:rPr>
        <w:t xml:space="preserve"> </w:t>
      </w:r>
      <w:proofErr w:type="spellStart"/>
      <w:r w:rsidRPr="00087E20">
        <w:rPr>
          <w:rFonts w:ascii="Arial" w:hAnsi="Arial" w:cs="Arial"/>
          <w:i/>
          <w:color w:val="000000" w:themeColor="text1"/>
          <w:sz w:val="20"/>
          <w:szCs w:val="20"/>
          <w:shd w:val="clear" w:color="auto" w:fill="FFFFFF"/>
        </w:rPr>
        <w:t>pneumoniae</w:t>
      </w:r>
      <w:proofErr w:type="spellEnd"/>
      <w:r w:rsidRPr="00087E20">
        <w:rPr>
          <w:rFonts w:ascii="Arial" w:hAnsi="Arial" w:cs="Arial"/>
          <w:color w:val="000000" w:themeColor="text1"/>
          <w:sz w:val="20"/>
          <w:szCs w:val="20"/>
          <w:shd w:val="clear" w:color="auto" w:fill="FFFFFF"/>
        </w:rPr>
        <w:t>. </w:t>
      </w:r>
      <w:r w:rsidRPr="00087E20">
        <w:rPr>
          <w:rFonts w:ascii="Arial" w:hAnsi="Arial" w:cs="Arial"/>
          <w:i/>
          <w:iCs/>
          <w:color w:val="000000" w:themeColor="text1"/>
          <w:sz w:val="20"/>
          <w:szCs w:val="20"/>
          <w:shd w:val="clear" w:color="auto" w:fill="FFFFFF"/>
        </w:rPr>
        <w:t>Emerging Microbes &amp; Infections</w:t>
      </w:r>
      <w:r w:rsidRPr="00087E20">
        <w:rPr>
          <w:rFonts w:ascii="Arial" w:hAnsi="Arial" w:cs="Arial"/>
          <w:color w:val="000000" w:themeColor="text1"/>
          <w:sz w:val="20"/>
          <w:szCs w:val="20"/>
          <w:shd w:val="clear" w:color="auto" w:fill="FFFFFF"/>
        </w:rPr>
        <w:t>, </w:t>
      </w:r>
      <w:r w:rsidRPr="00087E20">
        <w:rPr>
          <w:rFonts w:ascii="Arial" w:hAnsi="Arial" w:cs="Arial"/>
          <w:i/>
          <w:iCs/>
          <w:color w:val="000000" w:themeColor="text1"/>
          <w:sz w:val="20"/>
          <w:szCs w:val="20"/>
          <w:shd w:val="clear" w:color="auto" w:fill="FFFFFF"/>
        </w:rPr>
        <w:t>13</w:t>
      </w:r>
      <w:r w:rsidRPr="00087E20">
        <w:rPr>
          <w:rFonts w:ascii="Arial" w:hAnsi="Arial" w:cs="Arial"/>
          <w:color w:val="000000" w:themeColor="text1"/>
          <w:sz w:val="20"/>
          <w:szCs w:val="20"/>
          <w:shd w:val="clear" w:color="auto" w:fill="FFFFFF"/>
        </w:rPr>
        <w:t>(1). </w:t>
      </w:r>
      <w:r w:rsidRPr="00087E20">
        <w:rPr>
          <w:rStyle w:val="url"/>
          <w:rFonts w:ascii="Arial" w:eastAsiaTheme="majorEastAsia" w:hAnsi="Arial" w:cs="Arial"/>
          <w:color w:val="000000" w:themeColor="text1"/>
          <w:sz w:val="20"/>
          <w:szCs w:val="20"/>
          <w:shd w:val="clear" w:color="auto" w:fill="FFFFFF"/>
        </w:rPr>
        <w:t>https://doi.org/10.1080/22221751.2024.2366354</w:t>
      </w:r>
    </w:p>
    <w:sectPr w:rsidR="00087E20" w:rsidRPr="00087E20" w:rsidSect="004F6BD3">
      <w:pgSz w:w="11906" w:h="16838"/>
      <w:pgMar w:top="1077" w:right="1077" w:bottom="107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F0B8D"/>
    <w:multiLevelType w:val="multilevel"/>
    <w:tmpl w:val="85CEC5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77959"/>
    <w:multiLevelType w:val="multilevel"/>
    <w:tmpl w:val="1C9CFD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FC63B4"/>
    <w:multiLevelType w:val="multilevel"/>
    <w:tmpl w:val="6B46CC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1E316D"/>
    <w:multiLevelType w:val="hybridMultilevel"/>
    <w:tmpl w:val="C7F6A228"/>
    <w:lvl w:ilvl="0" w:tplc="5D1ED060">
      <w:start w:val="1"/>
      <w:numFmt w:val="bullet"/>
      <w:lvlText w:val=""/>
      <w:lvlJc w:val="left"/>
      <w:pPr>
        <w:tabs>
          <w:tab w:val="num" w:pos="720"/>
        </w:tabs>
        <w:ind w:left="720" w:hanging="360"/>
      </w:pPr>
      <w:rPr>
        <w:rFonts w:ascii="Wingdings" w:hAnsi="Wingdings" w:hint="default"/>
      </w:rPr>
    </w:lvl>
    <w:lvl w:ilvl="1" w:tplc="8B9C88CC" w:tentative="1">
      <w:start w:val="1"/>
      <w:numFmt w:val="bullet"/>
      <w:lvlText w:val=""/>
      <w:lvlJc w:val="left"/>
      <w:pPr>
        <w:tabs>
          <w:tab w:val="num" w:pos="1440"/>
        </w:tabs>
        <w:ind w:left="1440" w:hanging="360"/>
      </w:pPr>
      <w:rPr>
        <w:rFonts w:ascii="Wingdings" w:hAnsi="Wingdings" w:hint="default"/>
      </w:rPr>
    </w:lvl>
    <w:lvl w:ilvl="2" w:tplc="79D09A06" w:tentative="1">
      <w:start w:val="1"/>
      <w:numFmt w:val="bullet"/>
      <w:lvlText w:val=""/>
      <w:lvlJc w:val="left"/>
      <w:pPr>
        <w:tabs>
          <w:tab w:val="num" w:pos="2160"/>
        </w:tabs>
        <w:ind w:left="2160" w:hanging="360"/>
      </w:pPr>
      <w:rPr>
        <w:rFonts w:ascii="Wingdings" w:hAnsi="Wingdings" w:hint="default"/>
      </w:rPr>
    </w:lvl>
    <w:lvl w:ilvl="3" w:tplc="5112A864" w:tentative="1">
      <w:start w:val="1"/>
      <w:numFmt w:val="bullet"/>
      <w:lvlText w:val=""/>
      <w:lvlJc w:val="left"/>
      <w:pPr>
        <w:tabs>
          <w:tab w:val="num" w:pos="2880"/>
        </w:tabs>
        <w:ind w:left="2880" w:hanging="360"/>
      </w:pPr>
      <w:rPr>
        <w:rFonts w:ascii="Wingdings" w:hAnsi="Wingdings" w:hint="default"/>
      </w:rPr>
    </w:lvl>
    <w:lvl w:ilvl="4" w:tplc="A168868E" w:tentative="1">
      <w:start w:val="1"/>
      <w:numFmt w:val="bullet"/>
      <w:lvlText w:val=""/>
      <w:lvlJc w:val="left"/>
      <w:pPr>
        <w:tabs>
          <w:tab w:val="num" w:pos="3600"/>
        </w:tabs>
        <w:ind w:left="3600" w:hanging="360"/>
      </w:pPr>
      <w:rPr>
        <w:rFonts w:ascii="Wingdings" w:hAnsi="Wingdings" w:hint="default"/>
      </w:rPr>
    </w:lvl>
    <w:lvl w:ilvl="5" w:tplc="65B2F78E" w:tentative="1">
      <w:start w:val="1"/>
      <w:numFmt w:val="bullet"/>
      <w:lvlText w:val=""/>
      <w:lvlJc w:val="left"/>
      <w:pPr>
        <w:tabs>
          <w:tab w:val="num" w:pos="4320"/>
        </w:tabs>
        <w:ind w:left="4320" w:hanging="360"/>
      </w:pPr>
      <w:rPr>
        <w:rFonts w:ascii="Wingdings" w:hAnsi="Wingdings" w:hint="default"/>
      </w:rPr>
    </w:lvl>
    <w:lvl w:ilvl="6" w:tplc="AA0E44EC" w:tentative="1">
      <w:start w:val="1"/>
      <w:numFmt w:val="bullet"/>
      <w:lvlText w:val=""/>
      <w:lvlJc w:val="left"/>
      <w:pPr>
        <w:tabs>
          <w:tab w:val="num" w:pos="5040"/>
        </w:tabs>
        <w:ind w:left="5040" w:hanging="360"/>
      </w:pPr>
      <w:rPr>
        <w:rFonts w:ascii="Wingdings" w:hAnsi="Wingdings" w:hint="default"/>
      </w:rPr>
    </w:lvl>
    <w:lvl w:ilvl="7" w:tplc="8D569FB2" w:tentative="1">
      <w:start w:val="1"/>
      <w:numFmt w:val="bullet"/>
      <w:lvlText w:val=""/>
      <w:lvlJc w:val="left"/>
      <w:pPr>
        <w:tabs>
          <w:tab w:val="num" w:pos="5760"/>
        </w:tabs>
        <w:ind w:left="5760" w:hanging="360"/>
      </w:pPr>
      <w:rPr>
        <w:rFonts w:ascii="Wingdings" w:hAnsi="Wingdings" w:hint="default"/>
      </w:rPr>
    </w:lvl>
    <w:lvl w:ilvl="8" w:tplc="1C2C034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C9E0EA9"/>
    <w:multiLevelType w:val="hybridMultilevel"/>
    <w:tmpl w:val="386E653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0D406D"/>
    <w:multiLevelType w:val="hybridMultilevel"/>
    <w:tmpl w:val="A52CFA72"/>
    <w:lvl w:ilvl="0" w:tplc="A0521768">
      <w:start w:val="1"/>
      <w:numFmt w:val="decimal"/>
      <w:lvlText w:val="%1."/>
      <w:lvlJc w:val="left"/>
      <w:pPr>
        <w:tabs>
          <w:tab w:val="num" w:pos="720"/>
        </w:tabs>
        <w:ind w:left="720" w:hanging="360"/>
      </w:pPr>
    </w:lvl>
    <w:lvl w:ilvl="1" w:tplc="3704EEE0" w:tentative="1">
      <w:start w:val="1"/>
      <w:numFmt w:val="decimal"/>
      <w:lvlText w:val="%2."/>
      <w:lvlJc w:val="left"/>
      <w:pPr>
        <w:tabs>
          <w:tab w:val="num" w:pos="1440"/>
        </w:tabs>
        <w:ind w:left="1440" w:hanging="360"/>
      </w:pPr>
    </w:lvl>
    <w:lvl w:ilvl="2" w:tplc="C2FCF69E" w:tentative="1">
      <w:start w:val="1"/>
      <w:numFmt w:val="decimal"/>
      <w:lvlText w:val="%3."/>
      <w:lvlJc w:val="left"/>
      <w:pPr>
        <w:tabs>
          <w:tab w:val="num" w:pos="2160"/>
        </w:tabs>
        <w:ind w:left="2160" w:hanging="360"/>
      </w:pPr>
    </w:lvl>
    <w:lvl w:ilvl="3" w:tplc="8ECCC10E" w:tentative="1">
      <w:start w:val="1"/>
      <w:numFmt w:val="decimal"/>
      <w:lvlText w:val="%4."/>
      <w:lvlJc w:val="left"/>
      <w:pPr>
        <w:tabs>
          <w:tab w:val="num" w:pos="2880"/>
        </w:tabs>
        <w:ind w:left="2880" w:hanging="360"/>
      </w:pPr>
    </w:lvl>
    <w:lvl w:ilvl="4" w:tplc="BA387E20" w:tentative="1">
      <w:start w:val="1"/>
      <w:numFmt w:val="decimal"/>
      <w:lvlText w:val="%5."/>
      <w:lvlJc w:val="left"/>
      <w:pPr>
        <w:tabs>
          <w:tab w:val="num" w:pos="3600"/>
        </w:tabs>
        <w:ind w:left="3600" w:hanging="360"/>
      </w:pPr>
    </w:lvl>
    <w:lvl w:ilvl="5" w:tplc="FA4A8DC8" w:tentative="1">
      <w:start w:val="1"/>
      <w:numFmt w:val="decimal"/>
      <w:lvlText w:val="%6."/>
      <w:lvlJc w:val="left"/>
      <w:pPr>
        <w:tabs>
          <w:tab w:val="num" w:pos="4320"/>
        </w:tabs>
        <w:ind w:left="4320" w:hanging="360"/>
      </w:pPr>
    </w:lvl>
    <w:lvl w:ilvl="6" w:tplc="CF9AD9FC" w:tentative="1">
      <w:start w:val="1"/>
      <w:numFmt w:val="decimal"/>
      <w:lvlText w:val="%7."/>
      <w:lvlJc w:val="left"/>
      <w:pPr>
        <w:tabs>
          <w:tab w:val="num" w:pos="5040"/>
        </w:tabs>
        <w:ind w:left="5040" w:hanging="360"/>
      </w:pPr>
    </w:lvl>
    <w:lvl w:ilvl="7" w:tplc="227411E0" w:tentative="1">
      <w:start w:val="1"/>
      <w:numFmt w:val="decimal"/>
      <w:lvlText w:val="%8."/>
      <w:lvlJc w:val="left"/>
      <w:pPr>
        <w:tabs>
          <w:tab w:val="num" w:pos="5760"/>
        </w:tabs>
        <w:ind w:left="5760" w:hanging="360"/>
      </w:pPr>
    </w:lvl>
    <w:lvl w:ilvl="8" w:tplc="1326D7F0" w:tentative="1">
      <w:start w:val="1"/>
      <w:numFmt w:val="decimal"/>
      <w:lvlText w:val="%9."/>
      <w:lvlJc w:val="left"/>
      <w:pPr>
        <w:tabs>
          <w:tab w:val="num" w:pos="6480"/>
        </w:tabs>
        <w:ind w:left="6480" w:hanging="360"/>
      </w:pPr>
    </w:lvl>
  </w:abstractNum>
  <w:abstractNum w:abstractNumId="6" w15:restartNumberingAfterBreak="0">
    <w:nsid w:val="6C62341A"/>
    <w:multiLevelType w:val="hybridMultilevel"/>
    <w:tmpl w:val="2B68A9AA"/>
    <w:lvl w:ilvl="0" w:tplc="7B76FA1A">
      <w:start w:val="1"/>
      <w:numFmt w:val="decimal"/>
      <w:lvlText w:val="%1."/>
      <w:lvlJc w:val="left"/>
      <w:pPr>
        <w:tabs>
          <w:tab w:val="num" w:pos="720"/>
        </w:tabs>
        <w:ind w:left="720" w:hanging="360"/>
      </w:pPr>
    </w:lvl>
    <w:lvl w:ilvl="1" w:tplc="3F8AFD70" w:tentative="1">
      <w:start w:val="1"/>
      <w:numFmt w:val="decimal"/>
      <w:lvlText w:val="%2."/>
      <w:lvlJc w:val="left"/>
      <w:pPr>
        <w:tabs>
          <w:tab w:val="num" w:pos="1440"/>
        </w:tabs>
        <w:ind w:left="1440" w:hanging="360"/>
      </w:pPr>
    </w:lvl>
    <w:lvl w:ilvl="2" w:tplc="3A1A44FE" w:tentative="1">
      <w:start w:val="1"/>
      <w:numFmt w:val="decimal"/>
      <w:lvlText w:val="%3."/>
      <w:lvlJc w:val="left"/>
      <w:pPr>
        <w:tabs>
          <w:tab w:val="num" w:pos="2160"/>
        </w:tabs>
        <w:ind w:left="2160" w:hanging="360"/>
      </w:pPr>
    </w:lvl>
    <w:lvl w:ilvl="3" w:tplc="50A089EC" w:tentative="1">
      <w:start w:val="1"/>
      <w:numFmt w:val="decimal"/>
      <w:lvlText w:val="%4."/>
      <w:lvlJc w:val="left"/>
      <w:pPr>
        <w:tabs>
          <w:tab w:val="num" w:pos="2880"/>
        </w:tabs>
        <w:ind w:left="2880" w:hanging="360"/>
      </w:pPr>
    </w:lvl>
    <w:lvl w:ilvl="4" w:tplc="863AE406" w:tentative="1">
      <w:start w:val="1"/>
      <w:numFmt w:val="decimal"/>
      <w:lvlText w:val="%5."/>
      <w:lvlJc w:val="left"/>
      <w:pPr>
        <w:tabs>
          <w:tab w:val="num" w:pos="3600"/>
        </w:tabs>
        <w:ind w:left="3600" w:hanging="360"/>
      </w:pPr>
    </w:lvl>
    <w:lvl w:ilvl="5" w:tplc="4AE6BDF6" w:tentative="1">
      <w:start w:val="1"/>
      <w:numFmt w:val="decimal"/>
      <w:lvlText w:val="%6."/>
      <w:lvlJc w:val="left"/>
      <w:pPr>
        <w:tabs>
          <w:tab w:val="num" w:pos="4320"/>
        </w:tabs>
        <w:ind w:left="4320" w:hanging="360"/>
      </w:pPr>
    </w:lvl>
    <w:lvl w:ilvl="6" w:tplc="FFC0F528" w:tentative="1">
      <w:start w:val="1"/>
      <w:numFmt w:val="decimal"/>
      <w:lvlText w:val="%7."/>
      <w:lvlJc w:val="left"/>
      <w:pPr>
        <w:tabs>
          <w:tab w:val="num" w:pos="5040"/>
        </w:tabs>
        <w:ind w:left="5040" w:hanging="360"/>
      </w:pPr>
    </w:lvl>
    <w:lvl w:ilvl="7" w:tplc="843E9CDC" w:tentative="1">
      <w:start w:val="1"/>
      <w:numFmt w:val="decimal"/>
      <w:lvlText w:val="%8."/>
      <w:lvlJc w:val="left"/>
      <w:pPr>
        <w:tabs>
          <w:tab w:val="num" w:pos="5760"/>
        </w:tabs>
        <w:ind w:left="5760" w:hanging="360"/>
      </w:pPr>
    </w:lvl>
    <w:lvl w:ilvl="8" w:tplc="26365706" w:tentative="1">
      <w:start w:val="1"/>
      <w:numFmt w:val="decimal"/>
      <w:lvlText w:val="%9."/>
      <w:lvlJc w:val="left"/>
      <w:pPr>
        <w:tabs>
          <w:tab w:val="num" w:pos="6480"/>
        </w:tabs>
        <w:ind w:left="6480" w:hanging="360"/>
      </w:pPr>
    </w:lvl>
  </w:abstractNum>
  <w:abstractNum w:abstractNumId="7" w15:restartNumberingAfterBreak="0">
    <w:nsid w:val="6DEC5881"/>
    <w:multiLevelType w:val="hybridMultilevel"/>
    <w:tmpl w:val="50646332"/>
    <w:lvl w:ilvl="0" w:tplc="F00E0E56">
      <w:start w:val="1"/>
      <w:numFmt w:val="decimal"/>
      <w:lvlText w:val="%1."/>
      <w:lvlJc w:val="left"/>
      <w:pPr>
        <w:tabs>
          <w:tab w:val="num" w:pos="720"/>
        </w:tabs>
        <w:ind w:left="720" w:hanging="360"/>
      </w:pPr>
    </w:lvl>
    <w:lvl w:ilvl="1" w:tplc="692C54E0" w:tentative="1">
      <w:start w:val="1"/>
      <w:numFmt w:val="decimal"/>
      <w:lvlText w:val="%2."/>
      <w:lvlJc w:val="left"/>
      <w:pPr>
        <w:tabs>
          <w:tab w:val="num" w:pos="1440"/>
        </w:tabs>
        <w:ind w:left="1440" w:hanging="360"/>
      </w:pPr>
    </w:lvl>
    <w:lvl w:ilvl="2" w:tplc="9F8685BE" w:tentative="1">
      <w:start w:val="1"/>
      <w:numFmt w:val="decimal"/>
      <w:lvlText w:val="%3."/>
      <w:lvlJc w:val="left"/>
      <w:pPr>
        <w:tabs>
          <w:tab w:val="num" w:pos="2160"/>
        </w:tabs>
        <w:ind w:left="2160" w:hanging="360"/>
      </w:pPr>
    </w:lvl>
    <w:lvl w:ilvl="3" w:tplc="45AC6EA6" w:tentative="1">
      <w:start w:val="1"/>
      <w:numFmt w:val="decimal"/>
      <w:lvlText w:val="%4."/>
      <w:lvlJc w:val="left"/>
      <w:pPr>
        <w:tabs>
          <w:tab w:val="num" w:pos="2880"/>
        </w:tabs>
        <w:ind w:left="2880" w:hanging="360"/>
      </w:pPr>
    </w:lvl>
    <w:lvl w:ilvl="4" w:tplc="3BE63BA0" w:tentative="1">
      <w:start w:val="1"/>
      <w:numFmt w:val="decimal"/>
      <w:lvlText w:val="%5."/>
      <w:lvlJc w:val="left"/>
      <w:pPr>
        <w:tabs>
          <w:tab w:val="num" w:pos="3600"/>
        </w:tabs>
        <w:ind w:left="3600" w:hanging="360"/>
      </w:pPr>
    </w:lvl>
    <w:lvl w:ilvl="5" w:tplc="B95A5F10" w:tentative="1">
      <w:start w:val="1"/>
      <w:numFmt w:val="decimal"/>
      <w:lvlText w:val="%6."/>
      <w:lvlJc w:val="left"/>
      <w:pPr>
        <w:tabs>
          <w:tab w:val="num" w:pos="4320"/>
        </w:tabs>
        <w:ind w:left="4320" w:hanging="360"/>
      </w:pPr>
    </w:lvl>
    <w:lvl w:ilvl="6" w:tplc="54BC0B6C" w:tentative="1">
      <w:start w:val="1"/>
      <w:numFmt w:val="decimal"/>
      <w:lvlText w:val="%7."/>
      <w:lvlJc w:val="left"/>
      <w:pPr>
        <w:tabs>
          <w:tab w:val="num" w:pos="5040"/>
        </w:tabs>
        <w:ind w:left="5040" w:hanging="360"/>
      </w:pPr>
    </w:lvl>
    <w:lvl w:ilvl="7" w:tplc="96105D38" w:tentative="1">
      <w:start w:val="1"/>
      <w:numFmt w:val="decimal"/>
      <w:lvlText w:val="%8."/>
      <w:lvlJc w:val="left"/>
      <w:pPr>
        <w:tabs>
          <w:tab w:val="num" w:pos="5760"/>
        </w:tabs>
        <w:ind w:left="5760" w:hanging="360"/>
      </w:pPr>
    </w:lvl>
    <w:lvl w:ilvl="8" w:tplc="BACA4CA6" w:tentative="1">
      <w:start w:val="1"/>
      <w:numFmt w:val="decimal"/>
      <w:lvlText w:val="%9."/>
      <w:lvlJc w:val="left"/>
      <w:pPr>
        <w:tabs>
          <w:tab w:val="num" w:pos="6480"/>
        </w:tabs>
        <w:ind w:left="6480" w:hanging="360"/>
      </w:pPr>
    </w:lvl>
  </w:abstractNum>
  <w:num w:numId="1">
    <w:abstractNumId w:val="7"/>
  </w:num>
  <w:num w:numId="2">
    <w:abstractNumId w:val="5"/>
  </w:num>
  <w:num w:numId="3">
    <w:abstractNumId w:val="1"/>
  </w:num>
  <w:num w:numId="4">
    <w:abstractNumId w:val="2"/>
  </w:num>
  <w:num w:numId="5">
    <w:abstractNumId w:val="0"/>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AE8"/>
    <w:rsid w:val="00010E3A"/>
    <w:rsid w:val="000549AA"/>
    <w:rsid w:val="00065A7B"/>
    <w:rsid w:val="00083F34"/>
    <w:rsid w:val="00087E20"/>
    <w:rsid w:val="000B3121"/>
    <w:rsid w:val="000C11FF"/>
    <w:rsid w:val="000C2AE8"/>
    <w:rsid w:val="000F0A8B"/>
    <w:rsid w:val="00112F01"/>
    <w:rsid w:val="00156FFD"/>
    <w:rsid w:val="00183079"/>
    <w:rsid w:val="001A6A63"/>
    <w:rsid w:val="002C3CD4"/>
    <w:rsid w:val="0034372C"/>
    <w:rsid w:val="003B0F8F"/>
    <w:rsid w:val="003F763A"/>
    <w:rsid w:val="0049285A"/>
    <w:rsid w:val="004F6BD3"/>
    <w:rsid w:val="0051399C"/>
    <w:rsid w:val="00606034"/>
    <w:rsid w:val="00613F0D"/>
    <w:rsid w:val="006D3BCC"/>
    <w:rsid w:val="00706DCA"/>
    <w:rsid w:val="00714EA4"/>
    <w:rsid w:val="0074467A"/>
    <w:rsid w:val="007731CA"/>
    <w:rsid w:val="007B3776"/>
    <w:rsid w:val="00806EBA"/>
    <w:rsid w:val="00856D56"/>
    <w:rsid w:val="00867C9A"/>
    <w:rsid w:val="0087701C"/>
    <w:rsid w:val="0091168C"/>
    <w:rsid w:val="009A67E2"/>
    <w:rsid w:val="009D29D9"/>
    <w:rsid w:val="00B82D0F"/>
    <w:rsid w:val="00BB76DF"/>
    <w:rsid w:val="00BE32B1"/>
    <w:rsid w:val="00CB728F"/>
    <w:rsid w:val="00CD448E"/>
    <w:rsid w:val="00D64122"/>
    <w:rsid w:val="00D925CF"/>
    <w:rsid w:val="00DD2F34"/>
    <w:rsid w:val="00E02E40"/>
    <w:rsid w:val="00E851B1"/>
    <w:rsid w:val="00F73F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614C"/>
  <w15:chartTrackingRefBased/>
  <w15:docId w15:val="{46D99626-2C07-4A09-8E7E-34AD92DB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2AE8"/>
    <w:rPr>
      <w:rFonts w:ascii="Arial" w:hAnsi="Arial"/>
    </w:rPr>
  </w:style>
  <w:style w:type="paragraph" w:styleId="Heading1">
    <w:name w:val="heading 1"/>
    <w:basedOn w:val="Normal"/>
    <w:next w:val="Normal"/>
    <w:link w:val="Heading1Char"/>
    <w:uiPriority w:val="9"/>
    <w:qFormat/>
    <w:rsid w:val="000C2AE8"/>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AE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2B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AE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C2AE8"/>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0C2AE8"/>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0C2AE8"/>
    <w:rPr>
      <w:rFonts w:ascii="Arial" w:eastAsiaTheme="majorEastAsia" w:hAnsi="Arial" w:cstheme="majorBidi"/>
      <w:color w:val="2F5496" w:themeColor="accent1" w:themeShade="BF"/>
      <w:sz w:val="26"/>
      <w:szCs w:val="26"/>
    </w:rPr>
  </w:style>
  <w:style w:type="paragraph" w:styleId="Subtitle">
    <w:name w:val="Subtitle"/>
    <w:basedOn w:val="Normal"/>
    <w:next w:val="Normal"/>
    <w:link w:val="SubtitleChar"/>
    <w:uiPriority w:val="11"/>
    <w:qFormat/>
    <w:rsid w:val="000C2AE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0C2AE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BE32B1"/>
    <w:rPr>
      <w:rFonts w:ascii="Arial" w:eastAsiaTheme="majorEastAsia" w:hAnsi="Arial" w:cstheme="majorBidi"/>
      <w:color w:val="1F3763" w:themeColor="accent1" w:themeShade="7F"/>
      <w:sz w:val="24"/>
      <w:szCs w:val="24"/>
    </w:rPr>
  </w:style>
  <w:style w:type="character" w:styleId="Hyperlink">
    <w:name w:val="Hyperlink"/>
    <w:basedOn w:val="DefaultParagraphFont"/>
    <w:uiPriority w:val="99"/>
    <w:unhideWhenUsed/>
    <w:rsid w:val="0087701C"/>
    <w:rPr>
      <w:color w:val="0563C1" w:themeColor="hyperlink"/>
      <w:u w:val="single"/>
    </w:rPr>
  </w:style>
  <w:style w:type="character" w:customStyle="1" w:styleId="UnresolvedMention">
    <w:name w:val="Unresolved Mention"/>
    <w:basedOn w:val="DefaultParagraphFont"/>
    <w:uiPriority w:val="99"/>
    <w:semiHidden/>
    <w:unhideWhenUsed/>
    <w:rsid w:val="0087701C"/>
    <w:rPr>
      <w:color w:val="605E5C"/>
      <w:shd w:val="clear" w:color="auto" w:fill="E1DFDD"/>
    </w:rPr>
  </w:style>
  <w:style w:type="paragraph" w:customStyle="1" w:styleId="paragraph">
    <w:name w:val="paragraph"/>
    <w:basedOn w:val="Normal"/>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156FFD"/>
  </w:style>
  <w:style w:type="character" w:customStyle="1" w:styleId="eop">
    <w:name w:val="eop"/>
    <w:basedOn w:val="DefaultParagraphFont"/>
    <w:rsid w:val="00156FFD"/>
  </w:style>
  <w:style w:type="paragraph" w:styleId="ListParagraph">
    <w:name w:val="List Paragraph"/>
    <w:basedOn w:val="Normal"/>
    <w:uiPriority w:val="34"/>
    <w:qFormat/>
    <w:rsid w:val="00156FFD"/>
    <w:pPr>
      <w:ind w:left="720"/>
      <w:contextualSpacing/>
    </w:pPr>
  </w:style>
  <w:style w:type="paragraph" w:styleId="NormalWeb">
    <w:name w:val="Normal (Web)"/>
    <w:basedOn w:val="Normal"/>
    <w:uiPriority w:val="99"/>
    <w:semiHidden/>
    <w:unhideWhenUsed/>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FollowedHyperlink">
    <w:name w:val="FollowedHyperlink"/>
    <w:basedOn w:val="DefaultParagraphFont"/>
    <w:uiPriority w:val="99"/>
    <w:semiHidden/>
    <w:unhideWhenUsed/>
    <w:rsid w:val="00867C9A"/>
    <w:rPr>
      <w:color w:val="954F72" w:themeColor="followedHyperlink"/>
      <w:u w:val="single"/>
    </w:rPr>
  </w:style>
  <w:style w:type="character" w:customStyle="1" w:styleId="url">
    <w:name w:val="url"/>
    <w:basedOn w:val="DefaultParagraphFont"/>
    <w:rsid w:val="00613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86410">
      <w:bodyDiv w:val="1"/>
      <w:marLeft w:val="0"/>
      <w:marRight w:val="0"/>
      <w:marTop w:val="0"/>
      <w:marBottom w:val="0"/>
      <w:divBdr>
        <w:top w:val="none" w:sz="0" w:space="0" w:color="auto"/>
        <w:left w:val="none" w:sz="0" w:space="0" w:color="auto"/>
        <w:bottom w:val="none" w:sz="0" w:space="0" w:color="auto"/>
        <w:right w:val="none" w:sz="0" w:space="0" w:color="auto"/>
      </w:divBdr>
    </w:div>
    <w:div w:id="123811711">
      <w:bodyDiv w:val="1"/>
      <w:marLeft w:val="0"/>
      <w:marRight w:val="0"/>
      <w:marTop w:val="0"/>
      <w:marBottom w:val="0"/>
      <w:divBdr>
        <w:top w:val="none" w:sz="0" w:space="0" w:color="auto"/>
        <w:left w:val="none" w:sz="0" w:space="0" w:color="auto"/>
        <w:bottom w:val="none" w:sz="0" w:space="0" w:color="auto"/>
        <w:right w:val="none" w:sz="0" w:space="0" w:color="auto"/>
      </w:divBdr>
    </w:div>
    <w:div w:id="271019250">
      <w:bodyDiv w:val="1"/>
      <w:marLeft w:val="0"/>
      <w:marRight w:val="0"/>
      <w:marTop w:val="0"/>
      <w:marBottom w:val="0"/>
      <w:divBdr>
        <w:top w:val="none" w:sz="0" w:space="0" w:color="auto"/>
        <w:left w:val="none" w:sz="0" w:space="0" w:color="auto"/>
        <w:bottom w:val="none" w:sz="0" w:space="0" w:color="auto"/>
        <w:right w:val="none" w:sz="0" w:space="0" w:color="auto"/>
      </w:divBdr>
      <w:divsChild>
        <w:div w:id="146632599">
          <w:marLeft w:val="720"/>
          <w:marRight w:val="0"/>
          <w:marTop w:val="150"/>
          <w:marBottom w:val="0"/>
          <w:divBdr>
            <w:top w:val="none" w:sz="0" w:space="0" w:color="auto"/>
            <w:left w:val="none" w:sz="0" w:space="0" w:color="auto"/>
            <w:bottom w:val="none" w:sz="0" w:space="0" w:color="auto"/>
            <w:right w:val="none" w:sz="0" w:space="0" w:color="auto"/>
          </w:divBdr>
        </w:div>
      </w:divsChild>
    </w:div>
    <w:div w:id="585040513">
      <w:bodyDiv w:val="1"/>
      <w:marLeft w:val="0"/>
      <w:marRight w:val="0"/>
      <w:marTop w:val="0"/>
      <w:marBottom w:val="0"/>
      <w:divBdr>
        <w:top w:val="none" w:sz="0" w:space="0" w:color="auto"/>
        <w:left w:val="none" w:sz="0" w:space="0" w:color="auto"/>
        <w:bottom w:val="none" w:sz="0" w:space="0" w:color="auto"/>
        <w:right w:val="none" w:sz="0" w:space="0" w:color="auto"/>
      </w:divBdr>
      <w:divsChild>
        <w:div w:id="1681347984">
          <w:marLeft w:val="720"/>
          <w:marRight w:val="0"/>
          <w:marTop w:val="150"/>
          <w:marBottom w:val="0"/>
          <w:divBdr>
            <w:top w:val="none" w:sz="0" w:space="0" w:color="auto"/>
            <w:left w:val="none" w:sz="0" w:space="0" w:color="auto"/>
            <w:bottom w:val="none" w:sz="0" w:space="0" w:color="auto"/>
            <w:right w:val="none" w:sz="0" w:space="0" w:color="auto"/>
          </w:divBdr>
        </w:div>
        <w:div w:id="530917694">
          <w:marLeft w:val="720"/>
          <w:marRight w:val="0"/>
          <w:marTop w:val="150"/>
          <w:marBottom w:val="0"/>
          <w:divBdr>
            <w:top w:val="none" w:sz="0" w:space="0" w:color="auto"/>
            <w:left w:val="none" w:sz="0" w:space="0" w:color="auto"/>
            <w:bottom w:val="none" w:sz="0" w:space="0" w:color="auto"/>
            <w:right w:val="none" w:sz="0" w:space="0" w:color="auto"/>
          </w:divBdr>
        </w:div>
        <w:div w:id="731540315">
          <w:marLeft w:val="720"/>
          <w:marRight w:val="0"/>
          <w:marTop w:val="150"/>
          <w:marBottom w:val="0"/>
          <w:divBdr>
            <w:top w:val="none" w:sz="0" w:space="0" w:color="auto"/>
            <w:left w:val="none" w:sz="0" w:space="0" w:color="auto"/>
            <w:bottom w:val="none" w:sz="0" w:space="0" w:color="auto"/>
            <w:right w:val="none" w:sz="0" w:space="0" w:color="auto"/>
          </w:divBdr>
        </w:div>
      </w:divsChild>
    </w:div>
    <w:div w:id="592862238">
      <w:bodyDiv w:val="1"/>
      <w:marLeft w:val="0"/>
      <w:marRight w:val="0"/>
      <w:marTop w:val="0"/>
      <w:marBottom w:val="0"/>
      <w:divBdr>
        <w:top w:val="none" w:sz="0" w:space="0" w:color="auto"/>
        <w:left w:val="none" w:sz="0" w:space="0" w:color="auto"/>
        <w:bottom w:val="none" w:sz="0" w:space="0" w:color="auto"/>
        <w:right w:val="none" w:sz="0" w:space="0" w:color="auto"/>
      </w:divBdr>
    </w:div>
    <w:div w:id="604850757">
      <w:bodyDiv w:val="1"/>
      <w:marLeft w:val="0"/>
      <w:marRight w:val="0"/>
      <w:marTop w:val="0"/>
      <w:marBottom w:val="0"/>
      <w:divBdr>
        <w:top w:val="none" w:sz="0" w:space="0" w:color="auto"/>
        <w:left w:val="none" w:sz="0" w:space="0" w:color="auto"/>
        <w:bottom w:val="none" w:sz="0" w:space="0" w:color="auto"/>
        <w:right w:val="none" w:sz="0" w:space="0" w:color="auto"/>
      </w:divBdr>
    </w:div>
    <w:div w:id="606349093">
      <w:bodyDiv w:val="1"/>
      <w:marLeft w:val="0"/>
      <w:marRight w:val="0"/>
      <w:marTop w:val="0"/>
      <w:marBottom w:val="0"/>
      <w:divBdr>
        <w:top w:val="none" w:sz="0" w:space="0" w:color="auto"/>
        <w:left w:val="none" w:sz="0" w:space="0" w:color="auto"/>
        <w:bottom w:val="none" w:sz="0" w:space="0" w:color="auto"/>
        <w:right w:val="none" w:sz="0" w:space="0" w:color="auto"/>
      </w:divBdr>
      <w:divsChild>
        <w:div w:id="271522225">
          <w:marLeft w:val="720"/>
          <w:marRight w:val="0"/>
          <w:marTop w:val="150"/>
          <w:marBottom w:val="0"/>
          <w:divBdr>
            <w:top w:val="none" w:sz="0" w:space="0" w:color="auto"/>
            <w:left w:val="none" w:sz="0" w:space="0" w:color="auto"/>
            <w:bottom w:val="none" w:sz="0" w:space="0" w:color="auto"/>
            <w:right w:val="none" w:sz="0" w:space="0" w:color="auto"/>
          </w:divBdr>
        </w:div>
        <w:div w:id="742991306">
          <w:marLeft w:val="720"/>
          <w:marRight w:val="0"/>
          <w:marTop w:val="150"/>
          <w:marBottom w:val="0"/>
          <w:divBdr>
            <w:top w:val="none" w:sz="0" w:space="0" w:color="auto"/>
            <w:left w:val="none" w:sz="0" w:space="0" w:color="auto"/>
            <w:bottom w:val="none" w:sz="0" w:space="0" w:color="auto"/>
            <w:right w:val="none" w:sz="0" w:space="0" w:color="auto"/>
          </w:divBdr>
        </w:div>
        <w:div w:id="1603562091">
          <w:marLeft w:val="720"/>
          <w:marRight w:val="0"/>
          <w:marTop w:val="150"/>
          <w:marBottom w:val="0"/>
          <w:divBdr>
            <w:top w:val="none" w:sz="0" w:space="0" w:color="auto"/>
            <w:left w:val="none" w:sz="0" w:space="0" w:color="auto"/>
            <w:bottom w:val="none" w:sz="0" w:space="0" w:color="auto"/>
            <w:right w:val="none" w:sz="0" w:space="0" w:color="auto"/>
          </w:divBdr>
        </w:div>
      </w:divsChild>
    </w:div>
    <w:div w:id="607003842">
      <w:bodyDiv w:val="1"/>
      <w:marLeft w:val="0"/>
      <w:marRight w:val="0"/>
      <w:marTop w:val="0"/>
      <w:marBottom w:val="0"/>
      <w:divBdr>
        <w:top w:val="none" w:sz="0" w:space="0" w:color="auto"/>
        <w:left w:val="none" w:sz="0" w:space="0" w:color="auto"/>
        <w:bottom w:val="none" w:sz="0" w:space="0" w:color="auto"/>
        <w:right w:val="none" w:sz="0" w:space="0" w:color="auto"/>
      </w:divBdr>
    </w:div>
    <w:div w:id="685059670">
      <w:bodyDiv w:val="1"/>
      <w:marLeft w:val="0"/>
      <w:marRight w:val="0"/>
      <w:marTop w:val="0"/>
      <w:marBottom w:val="0"/>
      <w:divBdr>
        <w:top w:val="none" w:sz="0" w:space="0" w:color="auto"/>
        <w:left w:val="none" w:sz="0" w:space="0" w:color="auto"/>
        <w:bottom w:val="none" w:sz="0" w:space="0" w:color="auto"/>
        <w:right w:val="none" w:sz="0" w:space="0" w:color="auto"/>
      </w:divBdr>
    </w:div>
    <w:div w:id="749085066">
      <w:bodyDiv w:val="1"/>
      <w:marLeft w:val="0"/>
      <w:marRight w:val="0"/>
      <w:marTop w:val="0"/>
      <w:marBottom w:val="0"/>
      <w:divBdr>
        <w:top w:val="none" w:sz="0" w:space="0" w:color="auto"/>
        <w:left w:val="none" w:sz="0" w:space="0" w:color="auto"/>
        <w:bottom w:val="none" w:sz="0" w:space="0" w:color="auto"/>
        <w:right w:val="none" w:sz="0" w:space="0" w:color="auto"/>
      </w:divBdr>
      <w:divsChild>
        <w:div w:id="438835276">
          <w:marLeft w:val="0"/>
          <w:marRight w:val="0"/>
          <w:marTop w:val="0"/>
          <w:marBottom w:val="0"/>
          <w:divBdr>
            <w:top w:val="none" w:sz="0" w:space="0" w:color="auto"/>
            <w:left w:val="none" w:sz="0" w:space="0" w:color="auto"/>
            <w:bottom w:val="none" w:sz="0" w:space="0" w:color="auto"/>
            <w:right w:val="none" w:sz="0" w:space="0" w:color="auto"/>
          </w:divBdr>
        </w:div>
        <w:div w:id="939334238">
          <w:marLeft w:val="0"/>
          <w:marRight w:val="0"/>
          <w:marTop w:val="0"/>
          <w:marBottom w:val="0"/>
          <w:divBdr>
            <w:top w:val="none" w:sz="0" w:space="0" w:color="auto"/>
            <w:left w:val="none" w:sz="0" w:space="0" w:color="auto"/>
            <w:bottom w:val="none" w:sz="0" w:space="0" w:color="auto"/>
            <w:right w:val="none" w:sz="0" w:space="0" w:color="auto"/>
          </w:divBdr>
        </w:div>
        <w:div w:id="283461960">
          <w:marLeft w:val="0"/>
          <w:marRight w:val="0"/>
          <w:marTop w:val="0"/>
          <w:marBottom w:val="0"/>
          <w:divBdr>
            <w:top w:val="none" w:sz="0" w:space="0" w:color="auto"/>
            <w:left w:val="none" w:sz="0" w:space="0" w:color="auto"/>
            <w:bottom w:val="none" w:sz="0" w:space="0" w:color="auto"/>
            <w:right w:val="none" w:sz="0" w:space="0" w:color="auto"/>
          </w:divBdr>
          <w:divsChild>
            <w:div w:id="1222910678">
              <w:marLeft w:val="0"/>
              <w:marRight w:val="0"/>
              <w:marTop w:val="30"/>
              <w:marBottom w:val="30"/>
              <w:divBdr>
                <w:top w:val="none" w:sz="0" w:space="0" w:color="auto"/>
                <w:left w:val="none" w:sz="0" w:space="0" w:color="auto"/>
                <w:bottom w:val="none" w:sz="0" w:space="0" w:color="auto"/>
                <w:right w:val="none" w:sz="0" w:space="0" w:color="auto"/>
              </w:divBdr>
              <w:divsChild>
                <w:div w:id="336035415">
                  <w:marLeft w:val="0"/>
                  <w:marRight w:val="0"/>
                  <w:marTop w:val="0"/>
                  <w:marBottom w:val="0"/>
                  <w:divBdr>
                    <w:top w:val="none" w:sz="0" w:space="0" w:color="auto"/>
                    <w:left w:val="none" w:sz="0" w:space="0" w:color="auto"/>
                    <w:bottom w:val="none" w:sz="0" w:space="0" w:color="auto"/>
                    <w:right w:val="none" w:sz="0" w:space="0" w:color="auto"/>
                  </w:divBdr>
                  <w:divsChild>
                    <w:div w:id="243957352">
                      <w:marLeft w:val="0"/>
                      <w:marRight w:val="0"/>
                      <w:marTop w:val="0"/>
                      <w:marBottom w:val="0"/>
                      <w:divBdr>
                        <w:top w:val="none" w:sz="0" w:space="0" w:color="auto"/>
                        <w:left w:val="none" w:sz="0" w:space="0" w:color="auto"/>
                        <w:bottom w:val="none" w:sz="0" w:space="0" w:color="auto"/>
                        <w:right w:val="none" w:sz="0" w:space="0" w:color="auto"/>
                      </w:divBdr>
                    </w:div>
                    <w:div w:id="246692379">
                      <w:marLeft w:val="0"/>
                      <w:marRight w:val="0"/>
                      <w:marTop w:val="0"/>
                      <w:marBottom w:val="0"/>
                      <w:divBdr>
                        <w:top w:val="none" w:sz="0" w:space="0" w:color="auto"/>
                        <w:left w:val="none" w:sz="0" w:space="0" w:color="auto"/>
                        <w:bottom w:val="none" w:sz="0" w:space="0" w:color="auto"/>
                        <w:right w:val="none" w:sz="0" w:space="0" w:color="auto"/>
                      </w:divBdr>
                    </w:div>
                    <w:div w:id="777414627">
                      <w:marLeft w:val="0"/>
                      <w:marRight w:val="0"/>
                      <w:marTop w:val="0"/>
                      <w:marBottom w:val="0"/>
                      <w:divBdr>
                        <w:top w:val="none" w:sz="0" w:space="0" w:color="auto"/>
                        <w:left w:val="none" w:sz="0" w:space="0" w:color="auto"/>
                        <w:bottom w:val="none" w:sz="0" w:space="0" w:color="auto"/>
                        <w:right w:val="none" w:sz="0" w:space="0" w:color="auto"/>
                      </w:divBdr>
                    </w:div>
                  </w:divsChild>
                </w:div>
                <w:div w:id="1386946201">
                  <w:marLeft w:val="0"/>
                  <w:marRight w:val="0"/>
                  <w:marTop w:val="0"/>
                  <w:marBottom w:val="0"/>
                  <w:divBdr>
                    <w:top w:val="none" w:sz="0" w:space="0" w:color="auto"/>
                    <w:left w:val="none" w:sz="0" w:space="0" w:color="auto"/>
                    <w:bottom w:val="none" w:sz="0" w:space="0" w:color="auto"/>
                    <w:right w:val="none" w:sz="0" w:space="0" w:color="auto"/>
                  </w:divBdr>
                  <w:divsChild>
                    <w:div w:id="1862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78062">
          <w:marLeft w:val="0"/>
          <w:marRight w:val="0"/>
          <w:marTop w:val="0"/>
          <w:marBottom w:val="0"/>
          <w:divBdr>
            <w:top w:val="none" w:sz="0" w:space="0" w:color="auto"/>
            <w:left w:val="none" w:sz="0" w:space="0" w:color="auto"/>
            <w:bottom w:val="none" w:sz="0" w:space="0" w:color="auto"/>
            <w:right w:val="none" w:sz="0" w:space="0" w:color="auto"/>
          </w:divBdr>
        </w:div>
        <w:div w:id="1729649624">
          <w:marLeft w:val="0"/>
          <w:marRight w:val="0"/>
          <w:marTop w:val="0"/>
          <w:marBottom w:val="0"/>
          <w:divBdr>
            <w:top w:val="none" w:sz="0" w:space="0" w:color="auto"/>
            <w:left w:val="none" w:sz="0" w:space="0" w:color="auto"/>
            <w:bottom w:val="none" w:sz="0" w:space="0" w:color="auto"/>
            <w:right w:val="none" w:sz="0" w:space="0" w:color="auto"/>
          </w:divBdr>
        </w:div>
        <w:div w:id="290987902">
          <w:marLeft w:val="0"/>
          <w:marRight w:val="0"/>
          <w:marTop w:val="0"/>
          <w:marBottom w:val="0"/>
          <w:divBdr>
            <w:top w:val="none" w:sz="0" w:space="0" w:color="auto"/>
            <w:left w:val="none" w:sz="0" w:space="0" w:color="auto"/>
            <w:bottom w:val="none" w:sz="0" w:space="0" w:color="auto"/>
            <w:right w:val="none" w:sz="0" w:space="0" w:color="auto"/>
          </w:divBdr>
        </w:div>
        <w:div w:id="2055421412">
          <w:marLeft w:val="0"/>
          <w:marRight w:val="0"/>
          <w:marTop w:val="0"/>
          <w:marBottom w:val="0"/>
          <w:divBdr>
            <w:top w:val="none" w:sz="0" w:space="0" w:color="auto"/>
            <w:left w:val="none" w:sz="0" w:space="0" w:color="auto"/>
            <w:bottom w:val="none" w:sz="0" w:space="0" w:color="auto"/>
            <w:right w:val="none" w:sz="0" w:space="0" w:color="auto"/>
          </w:divBdr>
          <w:divsChild>
            <w:div w:id="29303029">
              <w:marLeft w:val="0"/>
              <w:marRight w:val="0"/>
              <w:marTop w:val="30"/>
              <w:marBottom w:val="30"/>
              <w:divBdr>
                <w:top w:val="none" w:sz="0" w:space="0" w:color="auto"/>
                <w:left w:val="none" w:sz="0" w:space="0" w:color="auto"/>
                <w:bottom w:val="none" w:sz="0" w:space="0" w:color="auto"/>
                <w:right w:val="none" w:sz="0" w:space="0" w:color="auto"/>
              </w:divBdr>
              <w:divsChild>
                <w:div w:id="99880406">
                  <w:marLeft w:val="0"/>
                  <w:marRight w:val="0"/>
                  <w:marTop w:val="0"/>
                  <w:marBottom w:val="0"/>
                  <w:divBdr>
                    <w:top w:val="none" w:sz="0" w:space="0" w:color="auto"/>
                    <w:left w:val="none" w:sz="0" w:space="0" w:color="auto"/>
                    <w:bottom w:val="none" w:sz="0" w:space="0" w:color="auto"/>
                    <w:right w:val="none" w:sz="0" w:space="0" w:color="auto"/>
                  </w:divBdr>
                  <w:divsChild>
                    <w:div w:id="1192105559">
                      <w:marLeft w:val="0"/>
                      <w:marRight w:val="0"/>
                      <w:marTop w:val="0"/>
                      <w:marBottom w:val="0"/>
                      <w:divBdr>
                        <w:top w:val="none" w:sz="0" w:space="0" w:color="auto"/>
                        <w:left w:val="none" w:sz="0" w:space="0" w:color="auto"/>
                        <w:bottom w:val="none" w:sz="0" w:space="0" w:color="auto"/>
                        <w:right w:val="none" w:sz="0" w:space="0" w:color="auto"/>
                      </w:divBdr>
                    </w:div>
                    <w:div w:id="502012735">
                      <w:marLeft w:val="0"/>
                      <w:marRight w:val="0"/>
                      <w:marTop w:val="0"/>
                      <w:marBottom w:val="0"/>
                      <w:divBdr>
                        <w:top w:val="none" w:sz="0" w:space="0" w:color="auto"/>
                        <w:left w:val="none" w:sz="0" w:space="0" w:color="auto"/>
                        <w:bottom w:val="none" w:sz="0" w:space="0" w:color="auto"/>
                        <w:right w:val="none" w:sz="0" w:space="0" w:color="auto"/>
                      </w:divBdr>
                    </w:div>
                    <w:div w:id="1042170214">
                      <w:marLeft w:val="0"/>
                      <w:marRight w:val="0"/>
                      <w:marTop w:val="0"/>
                      <w:marBottom w:val="0"/>
                      <w:divBdr>
                        <w:top w:val="none" w:sz="0" w:space="0" w:color="auto"/>
                        <w:left w:val="none" w:sz="0" w:space="0" w:color="auto"/>
                        <w:bottom w:val="none" w:sz="0" w:space="0" w:color="auto"/>
                        <w:right w:val="none" w:sz="0" w:space="0" w:color="auto"/>
                      </w:divBdr>
                    </w:div>
                  </w:divsChild>
                </w:div>
                <w:div w:id="1591697328">
                  <w:marLeft w:val="0"/>
                  <w:marRight w:val="0"/>
                  <w:marTop w:val="0"/>
                  <w:marBottom w:val="0"/>
                  <w:divBdr>
                    <w:top w:val="none" w:sz="0" w:space="0" w:color="auto"/>
                    <w:left w:val="none" w:sz="0" w:space="0" w:color="auto"/>
                    <w:bottom w:val="none" w:sz="0" w:space="0" w:color="auto"/>
                    <w:right w:val="none" w:sz="0" w:space="0" w:color="auto"/>
                  </w:divBdr>
                  <w:divsChild>
                    <w:div w:id="12292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5658">
          <w:marLeft w:val="0"/>
          <w:marRight w:val="0"/>
          <w:marTop w:val="0"/>
          <w:marBottom w:val="0"/>
          <w:divBdr>
            <w:top w:val="none" w:sz="0" w:space="0" w:color="auto"/>
            <w:left w:val="none" w:sz="0" w:space="0" w:color="auto"/>
            <w:bottom w:val="none" w:sz="0" w:space="0" w:color="auto"/>
            <w:right w:val="none" w:sz="0" w:space="0" w:color="auto"/>
          </w:divBdr>
        </w:div>
        <w:div w:id="1026635499">
          <w:marLeft w:val="0"/>
          <w:marRight w:val="0"/>
          <w:marTop w:val="0"/>
          <w:marBottom w:val="0"/>
          <w:divBdr>
            <w:top w:val="none" w:sz="0" w:space="0" w:color="auto"/>
            <w:left w:val="none" w:sz="0" w:space="0" w:color="auto"/>
            <w:bottom w:val="none" w:sz="0" w:space="0" w:color="auto"/>
            <w:right w:val="none" w:sz="0" w:space="0" w:color="auto"/>
          </w:divBdr>
        </w:div>
        <w:div w:id="1748113488">
          <w:marLeft w:val="0"/>
          <w:marRight w:val="0"/>
          <w:marTop w:val="0"/>
          <w:marBottom w:val="0"/>
          <w:divBdr>
            <w:top w:val="none" w:sz="0" w:space="0" w:color="auto"/>
            <w:left w:val="none" w:sz="0" w:space="0" w:color="auto"/>
            <w:bottom w:val="none" w:sz="0" w:space="0" w:color="auto"/>
            <w:right w:val="none" w:sz="0" w:space="0" w:color="auto"/>
          </w:divBdr>
        </w:div>
        <w:div w:id="213275538">
          <w:marLeft w:val="0"/>
          <w:marRight w:val="0"/>
          <w:marTop w:val="0"/>
          <w:marBottom w:val="0"/>
          <w:divBdr>
            <w:top w:val="none" w:sz="0" w:space="0" w:color="auto"/>
            <w:left w:val="none" w:sz="0" w:space="0" w:color="auto"/>
            <w:bottom w:val="none" w:sz="0" w:space="0" w:color="auto"/>
            <w:right w:val="none" w:sz="0" w:space="0" w:color="auto"/>
          </w:divBdr>
          <w:divsChild>
            <w:div w:id="959606952">
              <w:marLeft w:val="0"/>
              <w:marRight w:val="0"/>
              <w:marTop w:val="30"/>
              <w:marBottom w:val="30"/>
              <w:divBdr>
                <w:top w:val="none" w:sz="0" w:space="0" w:color="auto"/>
                <w:left w:val="none" w:sz="0" w:space="0" w:color="auto"/>
                <w:bottom w:val="none" w:sz="0" w:space="0" w:color="auto"/>
                <w:right w:val="none" w:sz="0" w:space="0" w:color="auto"/>
              </w:divBdr>
              <w:divsChild>
                <w:div w:id="1321890673">
                  <w:marLeft w:val="0"/>
                  <w:marRight w:val="0"/>
                  <w:marTop w:val="0"/>
                  <w:marBottom w:val="0"/>
                  <w:divBdr>
                    <w:top w:val="none" w:sz="0" w:space="0" w:color="auto"/>
                    <w:left w:val="none" w:sz="0" w:space="0" w:color="auto"/>
                    <w:bottom w:val="none" w:sz="0" w:space="0" w:color="auto"/>
                    <w:right w:val="none" w:sz="0" w:space="0" w:color="auto"/>
                  </w:divBdr>
                  <w:divsChild>
                    <w:div w:id="1395618053">
                      <w:marLeft w:val="0"/>
                      <w:marRight w:val="0"/>
                      <w:marTop w:val="0"/>
                      <w:marBottom w:val="0"/>
                      <w:divBdr>
                        <w:top w:val="none" w:sz="0" w:space="0" w:color="auto"/>
                        <w:left w:val="none" w:sz="0" w:space="0" w:color="auto"/>
                        <w:bottom w:val="none" w:sz="0" w:space="0" w:color="auto"/>
                        <w:right w:val="none" w:sz="0" w:space="0" w:color="auto"/>
                      </w:divBdr>
                    </w:div>
                    <w:div w:id="1816950965">
                      <w:marLeft w:val="0"/>
                      <w:marRight w:val="0"/>
                      <w:marTop w:val="0"/>
                      <w:marBottom w:val="0"/>
                      <w:divBdr>
                        <w:top w:val="none" w:sz="0" w:space="0" w:color="auto"/>
                        <w:left w:val="none" w:sz="0" w:space="0" w:color="auto"/>
                        <w:bottom w:val="none" w:sz="0" w:space="0" w:color="auto"/>
                        <w:right w:val="none" w:sz="0" w:space="0" w:color="auto"/>
                      </w:divBdr>
                    </w:div>
                    <w:div w:id="1416854182">
                      <w:marLeft w:val="0"/>
                      <w:marRight w:val="0"/>
                      <w:marTop w:val="0"/>
                      <w:marBottom w:val="0"/>
                      <w:divBdr>
                        <w:top w:val="none" w:sz="0" w:space="0" w:color="auto"/>
                        <w:left w:val="none" w:sz="0" w:space="0" w:color="auto"/>
                        <w:bottom w:val="none" w:sz="0" w:space="0" w:color="auto"/>
                        <w:right w:val="none" w:sz="0" w:space="0" w:color="auto"/>
                      </w:divBdr>
                    </w:div>
                  </w:divsChild>
                </w:div>
                <w:div w:id="2099982098">
                  <w:marLeft w:val="0"/>
                  <w:marRight w:val="0"/>
                  <w:marTop w:val="0"/>
                  <w:marBottom w:val="0"/>
                  <w:divBdr>
                    <w:top w:val="none" w:sz="0" w:space="0" w:color="auto"/>
                    <w:left w:val="none" w:sz="0" w:space="0" w:color="auto"/>
                    <w:bottom w:val="none" w:sz="0" w:space="0" w:color="auto"/>
                    <w:right w:val="none" w:sz="0" w:space="0" w:color="auto"/>
                  </w:divBdr>
                  <w:divsChild>
                    <w:div w:id="13949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069386">
      <w:bodyDiv w:val="1"/>
      <w:marLeft w:val="0"/>
      <w:marRight w:val="0"/>
      <w:marTop w:val="0"/>
      <w:marBottom w:val="0"/>
      <w:divBdr>
        <w:top w:val="none" w:sz="0" w:space="0" w:color="auto"/>
        <w:left w:val="none" w:sz="0" w:space="0" w:color="auto"/>
        <w:bottom w:val="none" w:sz="0" w:space="0" w:color="auto"/>
        <w:right w:val="none" w:sz="0" w:space="0" w:color="auto"/>
      </w:divBdr>
    </w:div>
    <w:div w:id="829368972">
      <w:bodyDiv w:val="1"/>
      <w:marLeft w:val="0"/>
      <w:marRight w:val="0"/>
      <w:marTop w:val="0"/>
      <w:marBottom w:val="0"/>
      <w:divBdr>
        <w:top w:val="none" w:sz="0" w:space="0" w:color="auto"/>
        <w:left w:val="none" w:sz="0" w:space="0" w:color="auto"/>
        <w:bottom w:val="none" w:sz="0" w:space="0" w:color="auto"/>
        <w:right w:val="none" w:sz="0" w:space="0" w:color="auto"/>
      </w:divBdr>
    </w:div>
    <w:div w:id="834340604">
      <w:bodyDiv w:val="1"/>
      <w:marLeft w:val="0"/>
      <w:marRight w:val="0"/>
      <w:marTop w:val="0"/>
      <w:marBottom w:val="0"/>
      <w:divBdr>
        <w:top w:val="none" w:sz="0" w:space="0" w:color="auto"/>
        <w:left w:val="none" w:sz="0" w:space="0" w:color="auto"/>
        <w:bottom w:val="none" w:sz="0" w:space="0" w:color="auto"/>
        <w:right w:val="none" w:sz="0" w:space="0" w:color="auto"/>
      </w:divBdr>
    </w:div>
    <w:div w:id="885726172">
      <w:bodyDiv w:val="1"/>
      <w:marLeft w:val="0"/>
      <w:marRight w:val="0"/>
      <w:marTop w:val="0"/>
      <w:marBottom w:val="0"/>
      <w:divBdr>
        <w:top w:val="none" w:sz="0" w:space="0" w:color="auto"/>
        <w:left w:val="none" w:sz="0" w:space="0" w:color="auto"/>
        <w:bottom w:val="none" w:sz="0" w:space="0" w:color="auto"/>
        <w:right w:val="none" w:sz="0" w:space="0" w:color="auto"/>
      </w:divBdr>
      <w:divsChild>
        <w:div w:id="579296282">
          <w:marLeft w:val="360"/>
          <w:marRight w:val="0"/>
          <w:marTop w:val="200"/>
          <w:marBottom w:val="0"/>
          <w:divBdr>
            <w:top w:val="none" w:sz="0" w:space="0" w:color="auto"/>
            <w:left w:val="none" w:sz="0" w:space="0" w:color="auto"/>
            <w:bottom w:val="none" w:sz="0" w:space="0" w:color="auto"/>
            <w:right w:val="none" w:sz="0" w:space="0" w:color="auto"/>
          </w:divBdr>
        </w:div>
        <w:div w:id="1896575419">
          <w:marLeft w:val="360"/>
          <w:marRight w:val="0"/>
          <w:marTop w:val="200"/>
          <w:marBottom w:val="0"/>
          <w:divBdr>
            <w:top w:val="none" w:sz="0" w:space="0" w:color="auto"/>
            <w:left w:val="none" w:sz="0" w:space="0" w:color="auto"/>
            <w:bottom w:val="none" w:sz="0" w:space="0" w:color="auto"/>
            <w:right w:val="none" w:sz="0" w:space="0" w:color="auto"/>
          </w:divBdr>
        </w:div>
        <w:div w:id="749423276">
          <w:marLeft w:val="360"/>
          <w:marRight w:val="0"/>
          <w:marTop w:val="200"/>
          <w:marBottom w:val="0"/>
          <w:divBdr>
            <w:top w:val="none" w:sz="0" w:space="0" w:color="auto"/>
            <w:left w:val="none" w:sz="0" w:space="0" w:color="auto"/>
            <w:bottom w:val="none" w:sz="0" w:space="0" w:color="auto"/>
            <w:right w:val="none" w:sz="0" w:space="0" w:color="auto"/>
          </w:divBdr>
        </w:div>
        <w:div w:id="2063943039">
          <w:marLeft w:val="360"/>
          <w:marRight w:val="0"/>
          <w:marTop w:val="200"/>
          <w:marBottom w:val="0"/>
          <w:divBdr>
            <w:top w:val="none" w:sz="0" w:space="0" w:color="auto"/>
            <w:left w:val="none" w:sz="0" w:space="0" w:color="auto"/>
            <w:bottom w:val="none" w:sz="0" w:space="0" w:color="auto"/>
            <w:right w:val="none" w:sz="0" w:space="0" w:color="auto"/>
          </w:divBdr>
        </w:div>
        <w:div w:id="1983079760">
          <w:marLeft w:val="360"/>
          <w:marRight w:val="0"/>
          <w:marTop w:val="200"/>
          <w:marBottom w:val="0"/>
          <w:divBdr>
            <w:top w:val="none" w:sz="0" w:space="0" w:color="auto"/>
            <w:left w:val="none" w:sz="0" w:space="0" w:color="auto"/>
            <w:bottom w:val="none" w:sz="0" w:space="0" w:color="auto"/>
            <w:right w:val="none" w:sz="0" w:space="0" w:color="auto"/>
          </w:divBdr>
        </w:div>
        <w:div w:id="711658561">
          <w:marLeft w:val="360"/>
          <w:marRight w:val="0"/>
          <w:marTop w:val="200"/>
          <w:marBottom w:val="0"/>
          <w:divBdr>
            <w:top w:val="none" w:sz="0" w:space="0" w:color="auto"/>
            <w:left w:val="none" w:sz="0" w:space="0" w:color="auto"/>
            <w:bottom w:val="none" w:sz="0" w:space="0" w:color="auto"/>
            <w:right w:val="none" w:sz="0" w:space="0" w:color="auto"/>
          </w:divBdr>
        </w:div>
        <w:div w:id="391582673">
          <w:marLeft w:val="360"/>
          <w:marRight w:val="0"/>
          <w:marTop w:val="200"/>
          <w:marBottom w:val="0"/>
          <w:divBdr>
            <w:top w:val="none" w:sz="0" w:space="0" w:color="auto"/>
            <w:left w:val="none" w:sz="0" w:space="0" w:color="auto"/>
            <w:bottom w:val="none" w:sz="0" w:space="0" w:color="auto"/>
            <w:right w:val="none" w:sz="0" w:space="0" w:color="auto"/>
          </w:divBdr>
        </w:div>
      </w:divsChild>
    </w:div>
    <w:div w:id="940071859">
      <w:bodyDiv w:val="1"/>
      <w:marLeft w:val="0"/>
      <w:marRight w:val="0"/>
      <w:marTop w:val="0"/>
      <w:marBottom w:val="0"/>
      <w:divBdr>
        <w:top w:val="none" w:sz="0" w:space="0" w:color="auto"/>
        <w:left w:val="none" w:sz="0" w:space="0" w:color="auto"/>
        <w:bottom w:val="none" w:sz="0" w:space="0" w:color="auto"/>
        <w:right w:val="none" w:sz="0" w:space="0" w:color="auto"/>
      </w:divBdr>
    </w:div>
    <w:div w:id="1001195809">
      <w:bodyDiv w:val="1"/>
      <w:marLeft w:val="0"/>
      <w:marRight w:val="0"/>
      <w:marTop w:val="0"/>
      <w:marBottom w:val="0"/>
      <w:divBdr>
        <w:top w:val="none" w:sz="0" w:space="0" w:color="auto"/>
        <w:left w:val="none" w:sz="0" w:space="0" w:color="auto"/>
        <w:bottom w:val="none" w:sz="0" w:space="0" w:color="auto"/>
        <w:right w:val="none" w:sz="0" w:space="0" w:color="auto"/>
      </w:divBdr>
    </w:div>
    <w:div w:id="1125853758">
      <w:bodyDiv w:val="1"/>
      <w:marLeft w:val="0"/>
      <w:marRight w:val="0"/>
      <w:marTop w:val="0"/>
      <w:marBottom w:val="0"/>
      <w:divBdr>
        <w:top w:val="none" w:sz="0" w:space="0" w:color="auto"/>
        <w:left w:val="none" w:sz="0" w:space="0" w:color="auto"/>
        <w:bottom w:val="none" w:sz="0" w:space="0" w:color="auto"/>
        <w:right w:val="none" w:sz="0" w:space="0" w:color="auto"/>
      </w:divBdr>
      <w:divsChild>
        <w:div w:id="577180745">
          <w:marLeft w:val="720"/>
          <w:marRight w:val="0"/>
          <w:marTop w:val="150"/>
          <w:marBottom w:val="0"/>
          <w:divBdr>
            <w:top w:val="none" w:sz="0" w:space="0" w:color="auto"/>
            <w:left w:val="none" w:sz="0" w:space="0" w:color="auto"/>
            <w:bottom w:val="none" w:sz="0" w:space="0" w:color="auto"/>
            <w:right w:val="none" w:sz="0" w:space="0" w:color="auto"/>
          </w:divBdr>
        </w:div>
        <w:div w:id="1821341488">
          <w:marLeft w:val="720"/>
          <w:marRight w:val="0"/>
          <w:marTop w:val="150"/>
          <w:marBottom w:val="0"/>
          <w:divBdr>
            <w:top w:val="none" w:sz="0" w:space="0" w:color="auto"/>
            <w:left w:val="none" w:sz="0" w:space="0" w:color="auto"/>
            <w:bottom w:val="none" w:sz="0" w:space="0" w:color="auto"/>
            <w:right w:val="none" w:sz="0" w:space="0" w:color="auto"/>
          </w:divBdr>
        </w:div>
        <w:div w:id="2824159">
          <w:marLeft w:val="720"/>
          <w:marRight w:val="0"/>
          <w:marTop w:val="150"/>
          <w:marBottom w:val="0"/>
          <w:divBdr>
            <w:top w:val="none" w:sz="0" w:space="0" w:color="auto"/>
            <w:left w:val="none" w:sz="0" w:space="0" w:color="auto"/>
            <w:bottom w:val="none" w:sz="0" w:space="0" w:color="auto"/>
            <w:right w:val="none" w:sz="0" w:space="0" w:color="auto"/>
          </w:divBdr>
        </w:div>
      </w:divsChild>
    </w:div>
    <w:div w:id="1331638569">
      <w:bodyDiv w:val="1"/>
      <w:marLeft w:val="0"/>
      <w:marRight w:val="0"/>
      <w:marTop w:val="0"/>
      <w:marBottom w:val="0"/>
      <w:divBdr>
        <w:top w:val="none" w:sz="0" w:space="0" w:color="auto"/>
        <w:left w:val="none" w:sz="0" w:space="0" w:color="auto"/>
        <w:bottom w:val="none" w:sz="0" w:space="0" w:color="auto"/>
        <w:right w:val="none" w:sz="0" w:space="0" w:color="auto"/>
      </w:divBdr>
    </w:div>
    <w:div w:id="1345131743">
      <w:bodyDiv w:val="1"/>
      <w:marLeft w:val="0"/>
      <w:marRight w:val="0"/>
      <w:marTop w:val="0"/>
      <w:marBottom w:val="0"/>
      <w:divBdr>
        <w:top w:val="none" w:sz="0" w:space="0" w:color="auto"/>
        <w:left w:val="none" w:sz="0" w:space="0" w:color="auto"/>
        <w:bottom w:val="none" w:sz="0" w:space="0" w:color="auto"/>
        <w:right w:val="none" w:sz="0" w:space="0" w:color="auto"/>
      </w:divBdr>
    </w:div>
    <w:div w:id="1396204864">
      <w:bodyDiv w:val="1"/>
      <w:marLeft w:val="0"/>
      <w:marRight w:val="0"/>
      <w:marTop w:val="0"/>
      <w:marBottom w:val="0"/>
      <w:divBdr>
        <w:top w:val="none" w:sz="0" w:space="0" w:color="auto"/>
        <w:left w:val="none" w:sz="0" w:space="0" w:color="auto"/>
        <w:bottom w:val="none" w:sz="0" w:space="0" w:color="auto"/>
        <w:right w:val="none" w:sz="0" w:space="0" w:color="auto"/>
      </w:divBdr>
      <w:divsChild>
        <w:div w:id="511797838">
          <w:marLeft w:val="720"/>
          <w:marRight w:val="0"/>
          <w:marTop w:val="150"/>
          <w:marBottom w:val="0"/>
          <w:divBdr>
            <w:top w:val="none" w:sz="0" w:space="0" w:color="auto"/>
            <w:left w:val="none" w:sz="0" w:space="0" w:color="auto"/>
            <w:bottom w:val="none" w:sz="0" w:space="0" w:color="auto"/>
            <w:right w:val="none" w:sz="0" w:space="0" w:color="auto"/>
          </w:divBdr>
        </w:div>
        <w:div w:id="398869563">
          <w:marLeft w:val="720"/>
          <w:marRight w:val="0"/>
          <w:marTop w:val="150"/>
          <w:marBottom w:val="0"/>
          <w:divBdr>
            <w:top w:val="none" w:sz="0" w:space="0" w:color="auto"/>
            <w:left w:val="none" w:sz="0" w:space="0" w:color="auto"/>
            <w:bottom w:val="none" w:sz="0" w:space="0" w:color="auto"/>
            <w:right w:val="none" w:sz="0" w:space="0" w:color="auto"/>
          </w:divBdr>
        </w:div>
        <w:div w:id="1513183717">
          <w:marLeft w:val="720"/>
          <w:marRight w:val="0"/>
          <w:marTop w:val="150"/>
          <w:marBottom w:val="0"/>
          <w:divBdr>
            <w:top w:val="none" w:sz="0" w:space="0" w:color="auto"/>
            <w:left w:val="none" w:sz="0" w:space="0" w:color="auto"/>
            <w:bottom w:val="none" w:sz="0" w:space="0" w:color="auto"/>
            <w:right w:val="none" w:sz="0" w:space="0" w:color="auto"/>
          </w:divBdr>
        </w:div>
      </w:divsChild>
    </w:div>
    <w:div w:id="1436249715">
      <w:bodyDiv w:val="1"/>
      <w:marLeft w:val="0"/>
      <w:marRight w:val="0"/>
      <w:marTop w:val="0"/>
      <w:marBottom w:val="0"/>
      <w:divBdr>
        <w:top w:val="none" w:sz="0" w:space="0" w:color="auto"/>
        <w:left w:val="none" w:sz="0" w:space="0" w:color="auto"/>
        <w:bottom w:val="none" w:sz="0" w:space="0" w:color="auto"/>
        <w:right w:val="none" w:sz="0" w:space="0" w:color="auto"/>
      </w:divBdr>
    </w:div>
    <w:div w:id="1456289117">
      <w:bodyDiv w:val="1"/>
      <w:marLeft w:val="0"/>
      <w:marRight w:val="0"/>
      <w:marTop w:val="0"/>
      <w:marBottom w:val="0"/>
      <w:divBdr>
        <w:top w:val="none" w:sz="0" w:space="0" w:color="auto"/>
        <w:left w:val="none" w:sz="0" w:space="0" w:color="auto"/>
        <w:bottom w:val="none" w:sz="0" w:space="0" w:color="auto"/>
        <w:right w:val="none" w:sz="0" w:space="0" w:color="auto"/>
      </w:divBdr>
    </w:div>
    <w:div w:id="1647472154">
      <w:bodyDiv w:val="1"/>
      <w:marLeft w:val="0"/>
      <w:marRight w:val="0"/>
      <w:marTop w:val="0"/>
      <w:marBottom w:val="0"/>
      <w:divBdr>
        <w:top w:val="none" w:sz="0" w:space="0" w:color="auto"/>
        <w:left w:val="none" w:sz="0" w:space="0" w:color="auto"/>
        <w:bottom w:val="none" w:sz="0" w:space="0" w:color="auto"/>
        <w:right w:val="none" w:sz="0" w:space="0" w:color="auto"/>
      </w:divBdr>
    </w:div>
    <w:div w:id="1664430581">
      <w:bodyDiv w:val="1"/>
      <w:marLeft w:val="0"/>
      <w:marRight w:val="0"/>
      <w:marTop w:val="0"/>
      <w:marBottom w:val="0"/>
      <w:divBdr>
        <w:top w:val="none" w:sz="0" w:space="0" w:color="auto"/>
        <w:left w:val="none" w:sz="0" w:space="0" w:color="auto"/>
        <w:bottom w:val="none" w:sz="0" w:space="0" w:color="auto"/>
        <w:right w:val="none" w:sz="0" w:space="0" w:color="auto"/>
      </w:divBdr>
    </w:div>
    <w:div w:id="1687827499">
      <w:bodyDiv w:val="1"/>
      <w:marLeft w:val="0"/>
      <w:marRight w:val="0"/>
      <w:marTop w:val="0"/>
      <w:marBottom w:val="0"/>
      <w:divBdr>
        <w:top w:val="none" w:sz="0" w:space="0" w:color="auto"/>
        <w:left w:val="none" w:sz="0" w:space="0" w:color="auto"/>
        <w:bottom w:val="none" w:sz="0" w:space="0" w:color="auto"/>
        <w:right w:val="none" w:sz="0" w:space="0" w:color="auto"/>
      </w:divBdr>
    </w:div>
    <w:div w:id="2045514889">
      <w:bodyDiv w:val="1"/>
      <w:marLeft w:val="0"/>
      <w:marRight w:val="0"/>
      <w:marTop w:val="0"/>
      <w:marBottom w:val="0"/>
      <w:divBdr>
        <w:top w:val="none" w:sz="0" w:space="0" w:color="auto"/>
        <w:left w:val="none" w:sz="0" w:space="0" w:color="auto"/>
        <w:bottom w:val="none" w:sz="0" w:space="0" w:color="auto"/>
        <w:right w:val="none" w:sz="0" w:space="0" w:color="auto"/>
      </w:divBdr>
      <w:divsChild>
        <w:div w:id="291860695">
          <w:marLeft w:val="0"/>
          <w:marRight w:val="0"/>
          <w:marTop w:val="0"/>
          <w:marBottom w:val="0"/>
          <w:divBdr>
            <w:top w:val="none" w:sz="0" w:space="0" w:color="auto"/>
            <w:left w:val="none" w:sz="0" w:space="0" w:color="auto"/>
            <w:bottom w:val="none" w:sz="0" w:space="0" w:color="auto"/>
            <w:right w:val="none" w:sz="0" w:space="0" w:color="auto"/>
          </w:divBdr>
        </w:div>
        <w:div w:id="2138836124">
          <w:marLeft w:val="0"/>
          <w:marRight w:val="0"/>
          <w:marTop w:val="0"/>
          <w:marBottom w:val="0"/>
          <w:divBdr>
            <w:top w:val="none" w:sz="0" w:space="0" w:color="auto"/>
            <w:left w:val="none" w:sz="0" w:space="0" w:color="auto"/>
            <w:bottom w:val="none" w:sz="0" w:space="0" w:color="auto"/>
            <w:right w:val="none" w:sz="0" w:space="0" w:color="auto"/>
          </w:divBdr>
        </w:div>
        <w:div w:id="1546720791">
          <w:marLeft w:val="0"/>
          <w:marRight w:val="0"/>
          <w:marTop w:val="0"/>
          <w:marBottom w:val="0"/>
          <w:divBdr>
            <w:top w:val="none" w:sz="0" w:space="0" w:color="auto"/>
            <w:left w:val="none" w:sz="0" w:space="0" w:color="auto"/>
            <w:bottom w:val="none" w:sz="0" w:space="0" w:color="auto"/>
            <w:right w:val="none" w:sz="0" w:space="0" w:color="auto"/>
          </w:divBdr>
          <w:divsChild>
            <w:div w:id="538131506">
              <w:marLeft w:val="0"/>
              <w:marRight w:val="0"/>
              <w:marTop w:val="30"/>
              <w:marBottom w:val="30"/>
              <w:divBdr>
                <w:top w:val="none" w:sz="0" w:space="0" w:color="auto"/>
                <w:left w:val="none" w:sz="0" w:space="0" w:color="auto"/>
                <w:bottom w:val="none" w:sz="0" w:space="0" w:color="auto"/>
                <w:right w:val="none" w:sz="0" w:space="0" w:color="auto"/>
              </w:divBdr>
              <w:divsChild>
                <w:div w:id="1807972017">
                  <w:marLeft w:val="0"/>
                  <w:marRight w:val="0"/>
                  <w:marTop w:val="0"/>
                  <w:marBottom w:val="0"/>
                  <w:divBdr>
                    <w:top w:val="none" w:sz="0" w:space="0" w:color="auto"/>
                    <w:left w:val="none" w:sz="0" w:space="0" w:color="auto"/>
                    <w:bottom w:val="none" w:sz="0" w:space="0" w:color="auto"/>
                    <w:right w:val="none" w:sz="0" w:space="0" w:color="auto"/>
                  </w:divBdr>
                  <w:divsChild>
                    <w:div w:id="1527403831">
                      <w:marLeft w:val="0"/>
                      <w:marRight w:val="0"/>
                      <w:marTop w:val="0"/>
                      <w:marBottom w:val="0"/>
                      <w:divBdr>
                        <w:top w:val="none" w:sz="0" w:space="0" w:color="auto"/>
                        <w:left w:val="none" w:sz="0" w:space="0" w:color="auto"/>
                        <w:bottom w:val="none" w:sz="0" w:space="0" w:color="auto"/>
                        <w:right w:val="none" w:sz="0" w:space="0" w:color="auto"/>
                      </w:divBdr>
                    </w:div>
                    <w:div w:id="1156534281">
                      <w:marLeft w:val="0"/>
                      <w:marRight w:val="0"/>
                      <w:marTop w:val="0"/>
                      <w:marBottom w:val="0"/>
                      <w:divBdr>
                        <w:top w:val="none" w:sz="0" w:space="0" w:color="auto"/>
                        <w:left w:val="none" w:sz="0" w:space="0" w:color="auto"/>
                        <w:bottom w:val="none" w:sz="0" w:space="0" w:color="auto"/>
                        <w:right w:val="none" w:sz="0" w:space="0" w:color="auto"/>
                      </w:divBdr>
                    </w:div>
                    <w:div w:id="35931454">
                      <w:marLeft w:val="0"/>
                      <w:marRight w:val="0"/>
                      <w:marTop w:val="0"/>
                      <w:marBottom w:val="0"/>
                      <w:divBdr>
                        <w:top w:val="none" w:sz="0" w:space="0" w:color="auto"/>
                        <w:left w:val="none" w:sz="0" w:space="0" w:color="auto"/>
                        <w:bottom w:val="none" w:sz="0" w:space="0" w:color="auto"/>
                        <w:right w:val="none" w:sz="0" w:space="0" w:color="auto"/>
                      </w:divBdr>
                    </w:div>
                  </w:divsChild>
                </w:div>
                <w:div w:id="630137963">
                  <w:marLeft w:val="0"/>
                  <w:marRight w:val="0"/>
                  <w:marTop w:val="0"/>
                  <w:marBottom w:val="0"/>
                  <w:divBdr>
                    <w:top w:val="none" w:sz="0" w:space="0" w:color="auto"/>
                    <w:left w:val="none" w:sz="0" w:space="0" w:color="auto"/>
                    <w:bottom w:val="none" w:sz="0" w:space="0" w:color="auto"/>
                    <w:right w:val="none" w:sz="0" w:space="0" w:color="auto"/>
                  </w:divBdr>
                  <w:divsChild>
                    <w:div w:id="283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8800">
          <w:marLeft w:val="0"/>
          <w:marRight w:val="0"/>
          <w:marTop w:val="0"/>
          <w:marBottom w:val="0"/>
          <w:divBdr>
            <w:top w:val="none" w:sz="0" w:space="0" w:color="auto"/>
            <w:left w:val="none" w:sz="0" w:space="0" w:color="auto"/>
            <w:bottom w:val="none" w:sz="0" w:space="0" w:color="auto"/>
            <w:right w:val="none" w:sz="0" w:space="0" w:color="auto"/>
          </w:divBdr>
        </w:div>
        <w:div w:id="332804228">
          <w:marLeft w:val="0"/>
          <w:marRight w:val="0"/>
          <w:marTop w:val="0"/>
          <w:marBottom w:val="0"/>
          <w:divBdr>
            <w:top w:val="none" w:sz="0" w:space="0" w:color="auto"/>
            <w:left w:val="none" w:sz="0" w:space="0" w:color="auto"/>
            <w:bottom w:val="none" w:sz="0" w:space="0" w:color="auto"/>
            <w:right w:val="none" w:sz="0" w:space="0" w:color="auto"/>
          </w:divBdr>
        </w:div>
        <w:div w:id="1134327465">
          <w:marLeft w:val="0"/>
          <w:marRight w:val="0"/>
          <w:marTop w:val="0"/>
          <w:marBottom w:val="0"/>
          <w:divBdr>
            <w:top w:val="none" w:sz="0" w:space="0" w:color="auto"/>
            <w:left w:val="none" w:sz="0" w:space="0" w:color="auto"/>
            <w:bottom w:val="none" w:sz="0" w:space="0" w:color="auto"/>
            <w:right w:val="none" w:sz="0" w:space="0" w:color="auto"/>
          </w:divBdr>
        </w:div>
        <w:div w:id="917011893">
          <w:marLeft w:val="0"/>
          <w:marRight w:val="0"/>
          <w:marTop w:val="0"/>
          <w:marBottom w:val="0"/>
          <w:divBdr>
            <w:top w:val="none" w:sz="0" w:space="0" w:color="auto"/>
            <w:left w:val="none" w:sz="0" w:space="0" w:color="auto"/>
            <w:bottom w:val="none" w:sz="0" w:space="0" w:color="auto"/>
            <w:right w:val="none" w:sz="0" w:space="0" w:color="auto"/>
          </w:divBdr>
          <w:divsChild>
            <w:div w:id="1553880658">
              <w:marLeft w:val="0"/>
              <w:marRight w:val="0"/>
              <w:marTop w:val="30"/>
              <w:marBottom w:val="30"/>
              <w:divBdr>
                <w:top w:val="none" w:sz="0" w:space="0" w:color="auto"/>
                <w:left w:val="none" w:sz="0" w:space="0" w:color="auto"/>
                <w:bottom w:val="none" w:sz="0" w:space="0" w:color="auto"/>
                <w:right w:val="none" w:sz="0" w:space="0" w:color="auto"/>
              </w:divBdr>
              <w:divsChild>
                <w:div w:id="1927032444">
                  <w:marLeft w:val="0"/>
                  <w:marRight w:val="0"/>
                  <w:marTop w:val="0"/>
                  <w:marBottom w:val="0"/>
                  <w:divBdr>
                    <w:top w:val="none" w:sz="0" w:space="0" w:color="auto"/>
                    <w:left w:val="none" w:sz="0" w:space="0" w:color="auto"/>
                    <w:bottom w:val="none" w:sz="0" w:space="0" w:color="auto"/>
                    <w:right w:val="none" w:sz="0" w:space="0" w:color="auto"/>
                  </w:divBdr>
                  <w:divsChild>
                    <w:div w:id="1374884427">
                      <w:marLeft w:val="0"/>
                      <w:marRight w:val="0"/>
                      <w:marTop w:val="0"/>
                      <w:marBottom w:val="0"/>
                      <w:divBdr>
                        <w:top w:val="none" w:sz="0" w:space="0" w:color="auto"/>
                        <w:left w:val="none" w:sz="0" w:space="0" w:color="auto"/>
                        <w:bottom w:val="none" w:sz="0" w:space="0" w:color="auto"/>
                        <w:right w:val="none" w:sz="0" w:space="0" w:color="auto"/>
                      </w:divBdr>
                    </w:div>
                    <w:div w:id="1647585310">
                      <w:marLeft w:val="0"/>
                      <w:marRight w:val="0"/>
                      <w:marTop w:val="0"/>
                      <w:marBottom w:val="0"/>
                      <w:divBdr>
                        <w:top w:val="none" w:sz="0" w:space="0" w:color="auto"/>
                        <w:left w:val="none" w:sz="0" w:space="0" w:color="auto"/>
                        <w:bottom w:val="none" w:sz="0" w:space="0" w:color="auto"/>
                        <w:right w:val="none" w:sz="0" w:space="0" w:color="auto"/>
                      </w:divBdr>
                    </w:div>
                    <w:div w:id="636642784">
                      <w:marLeft w:val="0"/>
                      <w:marRight w:val="0"/>
                      <w:marTop w:val="0"/>
                      <w:marBottom w:val="0"/>
                      <w:divBdr>
                        <w:top w:val="none" w:sz="0" w:space="0" w:color="auto"/>
                        <w:left w:val="none" w:sz="0" w:space="0" w:color="auto"/>
                        <w:bottom w:val="none" w:sz="0" w:space="0" w:color="auto"/>
                        <w:right w:val="none" w:sz="0" w:space="0" w:color="auto"/>
                      </w:divBdr>
                    </w:div>
                  </w:divsChild>
                </w:div>
                <w:div w:id="1511793612">
                  <w:marLeft w:val="0"/>
                  <w:marRight w:val="0"/>
                  <w:marTop w:val="0"/>
                  <w:marBottom w:val="0"/>
                  <w:divBdr>
                    <w:top w:val="none" w:sz="0" w:space="0" w:color="auto"/>
                    <w:left w:val="none" w:sz="0" w:space="0" w:color="auto"/>
                    <w:bottom w:val="none" w:sz="0" w:space="0" w:color="auto"/>
                    <w:right w:val="none" w:sz="0" w:space="0" w:color="auto"/>
                  </w:divBdr>
                  <w:divsChild>
                    <w:div w:id="18569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14647">
          <w:marLeft w:val="0"/>
          <w:marRight w:val="0"/>
          <w:marTop w:val="0"/>
          <w:marBottom w:val="0"/>
          <w:divBdr>
            <w:top w:val="none" w:sz="0" w:space="0" w:color="auto"/>
            <w:left w:val="none" w:sz="0" w:space="0" w:color="auto"/>
            <w:bottom w:val="none" w:sz="0" w:space="0" w:color="auto"/>
            <w:right w:val="none" w:sz="0" w:space="0" w:color="auto"/>
          </w:divBdr>
        </w:div>
        <w:div w:id="1664431032">
          <w:marLeft w:val="0"/>
          <w:marRight w:val="0"/>
          <w:marTop w:val="0"/>
          <w:marBottom w:val="0"/>
          <w:divBdr>
            <w:top w:val="none" w:sz="0" w:space="0" w:color="auto"/>
            <w:left w:val="none" w:sz="0" w:space="0" w:color="auto"/>
            <w:bottom w:val="none" w:sz="0" w:space="0" w:color="auto"/>
            <w:right w:val="none" w:sz="0" w:space="0" w:color="auto"/>
          </w:divBdr>
        </w:div>
        <w:div w:id="730621613">
          <w:marLeft w:val="0"/>
          <w:marRight w:val="0"/>
          <w:marTop w:val="0"/>
          <w:marBottom w:val="0"/>
          <w:divBdr>
            <w:top w:val="none" w:sz="0" w:space="0" w:color="auto"/>
            <w:left w:val="none" w:sz="0" w:space="0" w:color="auto"/>
            <w:bottom w:val="none" w:sz="0" w:space="0" w:color="auto"/>
            <w:right w:val="none" w:sz="0" w:space="0" w:color="auto"/>
          </w:divBdr>
        </w:div>
        <w:div w:id="1900438361">
          <w:marLeft w:val="0"/>
          <w:marRight w:val="0"/>
          <w:marTop w:val="0"/>
          <w:marBottom w:val="0"/>
          <w:divBdr>
            <w:top w:val="none" w:sz="0" w:space="0" w:color="auto"/>
            <w:left w:val="none" w:sz="0" w:space="0" w:color="auto"/>
            <w:bottom w:val="none" w:sz="0" w:space="0" w:color="auto"/>
            <w:right w:val="none" w:sz="0" w:space="0" w:color="auto"/>
          </w:divBdr>
          <w:divsChild>
            <w:div w:id="1189105879">
              <w:marLeft w:val="0"/>
              <w:marRight w:val="0"/>
              <w:marTop w:val="30"/>
              <w:marBottom w:val="30"/>
              <w:divBdr>
                <w:top w:val="none" w:sz="0" w:space="0" w:color="auto"/>
                <w:left w:val="none" w:sz="0" w:space="0" w:color="auto"/>
                <w:bottom w:val="none" w:sz="0" w:space="0" w:color="auto"/>
                <w:right w:val="none" w:sz="0" w:space="0" w:color="auto"/>
              </w:divBdr>
              <w:divsChild>
                <w:div w:id="2088112187">
                  <w:marLeft w:val="0"/>
                  <w:marRight w:val="0"/>
                  <w:marTop w:val="0"/>
                  <w:marBottom w:val="0"/>
                  <w:divBdr>
                    <w:top w:val="none" w:sz="0" w:space="0" w:color="auto"/>
                    <w:left w:val="none" w:sz="0" w:space="0" w:color="auto"/>
                    <w:bottom w:val="none" w:sz="0" w:space="0" w:color="auto"/>
                    <w:right w:val="none" w:sz="0" w:space="0" w:color="auto"/>
                  </w:divBdr>
                  <w:divsChild>
                    <w:div w:id="724984790">
                      <w:marLeft w:val="0"/>
                      <w:marRight w:val="0"/>
                      <w:marTop w:val="0"/>
                      <w:marBottom w:val="0"/>
                      <w:divBdr>
                        <w:top w:val="none" w:sz="0" w:space="0" w:color="auto"/>
                        <w:left w:val="none" w:sz="0" w:space="0" w:color="auto"/>
                        <w:bottom w:val="none" w:sz="0" w:space="0" w:color="auto"/>
                        <w:right w:val="none" w:sz="0" w:space="0" w:color="auto"/>
                      </w:divBdr>
                    </w:div>
                    <w:div w:id="851457138">
                      <w:marLeft w:val="0"/>
                      <w:marRight w:val="0"/>
                      <w:marTop w:val="0"/>
                      <w:marBottom w:val="0"/>
                      <w:divBdr>
                        <w:top w:val="none" w:sz="0" w:space="0" w:color="auto"/>
                        <w:left w:val="none" w:sz="0" w:space="0" w:color="auto"/>
                        <w:bottom w:val="none" w:sz="0" w:space="0" w:color="auto"/>
                        <w:right w:val="none" w:sz="0" w:space="0" w:color="auto"/>
                      </w:divBdr>
                    </w:div>
                    <w:div w:id="522327288">
                      <w:marLeft w:val="0"/>
                      <w:marRight w:val="0"/>
                      <w:marTop w:val="0"/>
                      <w:marBottom w:val="0"/>
                      <w:divBdr>
                        <w:top w:val="none" w:sz="0" w:space="0" w:color="auto"/>
                        <w:left w:val="none" w:sz="0" w:space="0" w:color="auto"/>
                        <w:bottom w:val="none" w:sz="0" w:space="0" w:color="auto"/>
                        <w:right w:val="none" w:sz="0" w:space="0" w:color="auto"/>
                      </w:divBdr>
                    </w:div>
                  </w:divsChild>
                </w:div>
                <w:div w:id="137186411">
                  <w:marLeft w:val="0"/>
                  <w:marRight w:val="0"/>
                  <w:marTop w:val="0"/>
                  <w:marBottom w:val="0"/>
                  <w:divBdr>
                    <w:top w:val="none" w:sz="0" w:space="0" w:color="auto"/>
                    <w:left w:val="none" w:sz="0" w:space="0" w:color="auto"/>
                    <w:bottom w:val="none" w:sz="0" w:space="0" w:color="auto"/>
                    <w:right w:val="none" w:sz="0" w:space="0" w:color="auto"/>
                  </w:divBdr>
                  <w:divsChild>
                    <w:div w:id="5820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564365">
      <w:bodyDiv w:val="1"/>
      <w:marLeft w:val="0"/>
      <w:marRight w:val="0"/>
      <w:marTop w:val="0"/>
      <w:marBottom w:val="0"/>
      <w:divBdr>
        <w:top w:val="none" w:sz="0" w:space="0" w:color="auto"/>
        <w:left w:val="none" w:sz="0" w:space="0" w:color="auto"/>
        <w:bottom w:val="none" w:sz="0" w:space="0" w:color="auto"/>
        <w:right w:val="none" w:sz="0" w:space="0" w:color="auto"/>
      </w:divBdr>
    </w:div>
    <w:div w:id="211255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ontiersin.org/journals/antibiotics/articles/10.3389/frabi.2023.1155005/full" TargetMode="External"/><Relationship Id="rId13" Type="http://schemas.openxmlformats.org/officeDocument/2006/relationships/hyperlink" Target="https://www.frontiersin.org/journals/microbiology/articles/10.3389/fmicb.2024.1422977/ful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frontiersin.org/journals/antibiotics/articles/10.3389/frabi.2023.1155005/full" TargetMode="External"/><Relationship Id="rId12" Type="http://schemas.openxmlformats.org/officeDocument/2006/relationships/hyperlink" Target="https://www.frontiersin.org/journals/microbiology/articles/10.3389/fmicb.2024.1422977/ful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3389/frabi.2023.1155005" TargetMode="External"/><Relationship Id="rId1" Type="http://schemas.openxmlformats.org/officeDocument/2006/relationships/customXml" Target="../customXml/item1.xml"/><Relationship Id="rId6" Type="http://schemas.openxmlformats.org/officeDocument/2006/relationships/hyperlink" Target="https://www.frontiersin.org/journals/antibiotics/articles/10.3389/frabi.2023.1155005/full" TargetMode="External"/><Relationship Id="rId11" Type="http://schemas.openxmlformats.org/officeDocument/2006/relationships/hyperlink" Target="https://www.frontiersin.org/journals/microbiology/articles/10.3389/fmicb.2024.1422977/full" TargetMode="External"/><Relationship Id="rId5" Type="http://schemas.openxmlformats.org/officeDocument/2006/relationships/webSettings" Target="webSettings.xml"/><Relationship Id="rId15" Type="http://schemas.openxmlformats.org/officeDocument/2006/relationships/hyperlink" Target="https://www.frontiersin.org/journals/microbiology/articles/10.3389/fmicb.2024.1422977/full" TargetMode="External"/><Relationship Id="rId10" Type="http://schemas.openxmlformats.org/officeDocument/2006/relationships/hyperlink" Target="https://www.frontiersin.org/journals/microbiology/articles/10.3389/fmicb.2024.1422977/full" TargetMode="External"/><Relationship Id="rId4" Type="http://schemas.openxmlformats.org/officeDocument/2006/relationships/settings" Target="settings.xml"/><Relationship Id="rId9" Type="http://schemas.openxmlformats.org/officeDocument/2006/relationships/hyperlink" Target="https://www.frontiersin.org/journals/microbiology/articles/10.3389/fmicb.2024.1422977/full" TargetMode="External"/><Relationship Id="rId14" Type="http://schemas.openxmlformats.org/officeDocument/2006/relationships/hyperlink" Target="https://www.frontiersin.org/journals/microbiology/articles/10.3389/fmicb.2024.1422977/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70D47-E042-4D2F-B34D-DF2710CF9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3</Pages>
  <Words>1491</Words>
  <Characters>8500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38</cp:revision>
  <dcterms:created xsi:type="dcterms:W3CDTF">2024-08-13T12:13:00Z</dcterms:created>
  <dcterms:modified xsi:type="dcterms:W3CDTF">2024-08-14T16:08:00Z</dcterms:modified>
</cp:coreProperties>
</file>