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8F5BD" w14:textId="574F0246" w:rsidR="000C2AE8" w:rsidRDefault="00BE32B1" w:rsidP="00606034">
      <w:pPr>
        <w:pStyle w:val="Heading1"/>
        <w:jc w:val="center"/>
      </w:pPr>
      <w:r>
        <w:t xml:space="preserve">Writing exercise </w:t>
      </w:r>
      <w:r w:rsidR="00174C5A">
        <w:t>10</w:t>
      </w:r>
      <w:r>
        <w:t xml:space="preserve">: </w:t>
      </w:r>
      <w:r w:rsidR="00174C5A">
        <w:t>Experimen</w:t>
      </w:r>
      <w:r w:rsidR="00174C5A">
        <w:t>t</w:t>
      </w:r>
      <w:r w:rsidR="00174C5A">
        <w:t>al Narra</w:t>
      </w:r>
      <w:r w:rsidR="00174C5A">
        <w:t>t</w:t>
      </w:r>
      <w:r w:rsidR="00174C5A">
        <w:t>ives</w:t>
      </w:r>
    </w:p>
    <w:p w14:paraId="673E1915" w14:textId="72A83370" w:rsidR="00BE32B1" w:rsidRDefault="00BE32B1" w:rsidP="00BE32B1">
      <w:pPr>
        <w:pStyle w:val="Heading2"/>
        <w:jc w:val="center"/>
      </w:pPr>
      <w:proofErr w:type="spellStart"/>
      <w:r>
        <w:t>Dr.</w:t>
      </w:r>
      <w:proofErr w:type="spellEnd"/>
      <w:r>
        <w:t xml:space="preserve"> Morgan Feeney, AY 2024-25</w:t>
      </w:r>
    </w:p>
    <w:p w14:paraId="5F3F4D72" w14:textId="420FFEF2" w:rsidR="00B16F24" w:rsidRDefault="00B16F24" w:rsidP="00BE32B1"/>
    <w:p w14:paraId="0F0C6143" w14:textId="14E91ED7" w:rsidR="00B416DE" w:rsidRDefault="005166D0" w:rsidP="004A3A79">
      <w:pPr>
        <w:pStyle w:val="Heading3"/>
      </w:pPr>
      <w:r w:rsidRPr="005166D0">
        <w:t>Y</w:t>
      </w:r>
      <w:r>
        <w:t>ou will wan</w:t>
      </w:r>
      <w:r>
        <w:t>t</w:t>
      </w:r>
      <w:r>
        <w:t xml:space="preserve"> </w:t>
      </w:r>
      <w:r>
        <w:t>t</w:t>
      </w:r>
      <w:r>
        <w:t xml:space="preserve">o describe </w:t>
      </w:r>
      <w:r w:rsidRPr="00B416DE">
        <w:t>y</w:t>
      </w:r>
      <w:r>
        <w:t>our experimen</w:t>
      </w:r>
      <w:r>
        <w:t>t</w:t>
      </w:r>
      <w:r>
        <w:t>s in a logical wa</w:t>
      </w:r>
      <w:r w:rsidRPr="00B416DE">
        <w:t>y</w:t>
      </w:r>
      <w:r w:rsidR="00B416DE">
        <w:t>:</w:t>
      </w:r>
    </w:p>
    <w:p w14:paraId="70EE2A5E" w14:textId="3C611E94" w:rsidR="00B416DE" w:rsidRDefault="005166D0" w:rsidP="00B416DE">
      <w:pPr>
        <w:pStyle w:val="ListParagraph"/>
        <w:numPr>
          <w:ilvl w:val="0"/>
          <w:numId w:val="12"/>
        </w:numPr>
      </w:pPr>
      <w:r>
        <w:t>Aim (wha</w:t>
      </w:r>
      <w:r>
        <w:t>t</w:t>
      </w:r>
      <w:r>
        <w:t xml:space="preserve"> </w:t>
      </w:r>
      <w:r w:rsidRPr="00B416DE">
        <w:t>y</w:t>
      </w:r>
      <w:r>
        <w:t>ou in</w:t>
      </w:r>
      <w:r>
        <w:t>t</w:t>
      </w:r>
      <w:r>
        <w:t xml:space="preserve">ended </w:t>
      </w:r>
      <w:r>
        <w:t>t</w:t>
      </w:r>
      <w:r>
        <w:t>o do/show wi</w:t>
      </w:r>
      <w:r>
        <w:t>t</w:t>
      </w:r>
      <w:r>
        <w:t xml:space="preserve">h </w:t>
      </w:r>
      <w:r>
        <w:t>t</w:t>
      </w:r>
      <w:r>
        <w:t>he experimen</w:t>
      </w:r>
      <w:r>
        <w:t>t</w:t>
      </w:r>
      <w:r>
        <w:t>)</w:t>
      </w:r>
    </w:p>
    <w:p w14:paraId="37D9C35D" w14:textId="36CC550C" w:rsidR="005166D0" w:rsidRDefault="005166D0" w:rsidP="00B416DE">
      <w:pPr>
        <w:pStyle w:val="ListParagraph"/>
        <w:numPr>
          <w:ilvl w:val="0"/>
          <w:numId w:val="12"/>
        </w:numPr>
      </w:pPr>
      <w:r>
        <w:t>Me</w:t>
      </w:r>
      <w:r>
        <w:t>t</w:t>
      </w:r>
      <w:r>
        <w:t>hod (wha</w:t>
      </w:r>
      <w:r>
        <w:t>t</w:t>
      </w:r>
      <w:r>
        <w:t xml:space="preserve"> </w:t>
      </w:r>
      <w:r>
        <w:t>t</w:t>
      </w:r>
      <w:r>
        <w:t>he experimen</w:t>
      </w:r>
      <w:r>
        <w:t>t</w:t>
      </w:r>
      <w:r>
        <w:t xml:space="preserve"> was, how </w:t>
      </w:r>
      <w:r>
        <w:t>y</w:t>
      </w:r>
      <w:r>
        <w:t>ou performed i</w:t>
      </w:r>
      <w:r>
        <w:t>t</w:t>
      </w:r>
      <w:r>
        <w:t>)</w:t>
      </w:r>
    </w:p>
    <w:p w14:paraId="15DDFC19" w14:textId="48E5E699" w:rsidR="005166D0" w:rsidRDefault="005166D0" w:rsidP="00B416DE">
      <w:pPr>
        <w:pStyle w:val="ListParagraph"/>
        <w:numPr>
          <w:ilvl w:val="0"/>
          <w:numId w:val="12"/>
        </w:numPr>
      </w:pPr>
      <w:r>
        <w:t>Results (wha</w:t>
      </w:r>
      <w:r>
        <w:t>t</w:t>
      </w:r>
      <w:r>
        <w:t xml:space="preserve"> </w:t>
      </w:r>
      <w:r>
        <w:t>y</w:t>
      </w:r>
      <w:r>
        <w:t>ou showed/discovered)</w:t>
      </w:r>
    </w:p>
    <w:p w14:paraId="62C166FA" w14:textId="140C96FA" w:rsidR="005166D0" w:rsidRPr="00B416DE" w:rsidRDefault="005166D0" w:rsidP="00B416DE">
      <w:pPr>
        <w:pStyle w:val="ListParagraph"/>
        <w:numPr>
          <w:ilvl w:val="0"/>
          <w:numId w:val="12"/>
        </w:numPr>
      </w:pPr>
      <w:r>
        <w:t>Significance (wha</w:t>
      </w:r>
      <w:r>
        <w:t>t</w:t>
      </w:r>
      <w:r>
        <w:t xml:space="preserve"> </w:t>
      </w:r>
      <w:r>
        <w:t>t</w:t>
      </w:r>
      <w:r>
        <w:t>he resul</w:t>
      </w:r>
      <w:r>
        <w:t>t</w:t>
      </w:r>
      <w:r>
        <w:t xml:space="preserve">s mean, a logical </w:t>
      </w:r>
      <w:r>
        <w:t>t</w:t>
      </w:r>
      <w:r>
        <w:t>ransi</w:t>
      </w:r>
      <w:r>
        <w:t>t</w:t>
      </w:r>
      <w:r>
        <w:t xml:space="preserve">ion </w:t>
      </w:r>
      <w:r>
        <w:t>t</w:t>
      </w:r>
      <w:r>
        <w:t xml:space="preserve">o </w:t>
      </w:r>
      <w:r>
        <w:t>t</w:t>
      </w:r>
      <w:r>
        <w:t>he nex</w:t>
      </w:r>
      <w:r>
        <w:t>t</w:t>
      </w:r>
      <w:r>
        <w:t xml:space="preserve"> experiment)</w:t>
      </w:r>
    </w:p>
    <w:p w14:paraId="3D7928D2" w14:textId="19437462" w:rsidR="00E863CF" w:rsidRDefault="00E863CF" w:rsidP="003714FD">
      <w:pPr>
        <w:pStyle w:val="Heading3"/>
      </w:pPr>
    </w:p>
    <w:p w14:paraId="65FA15C4" w14:textId="786D1960" w:rsidR="000A7DDE" w:rsidRPr="00DF01B5" w:rsidRDefault="00820B14" w:rsidP="000A7DDE">
      <w:pPr>
        <w:pStyle w:val="Heading3"/>
        <w:spacing w:before="0"/>
      </w:pPr>
      <w:r>
        <w:rPr>
          <w:u w:val="single"/>
        </w:rPr>
        <w:t>Examples from a published paper</w:t>
      </w:r>
      <w:r w:rsidRPr="00820B14">
        <w:rPr>
          <w:u w:val="single"/>
          <w:vertAlign w:val="superscript"/>
        </w:rPr>
        <w:t>1</w:t>
      </w:r>
      <w:r w:rsidR="000A7DDE">
        <w:rPr>
          <w:u w:val="single"/>
        </w:rPr>
        <w:t>:</w:t>
      </w:r>
      <w:r w:rsidR="00DF01B5" w:rsidRPr="00DF01B5">
        <w:t xml:space="preserve"> (</w:t>
      </w:r>
      <w:r w:rsidR="00DF01B5" w:rsidRPr="00DF01B5">
        <w:rPr>
          <w:highlight w:val="yellow"/>
        </w:rPr>
        <w:t>aim</w:t>
      </w:r>
      <w:r w:rsidR="00DF01B5" w:rsidRPr="00DF01B5">
        <w:t xml:space="preserve">, </w:t>
      </w:r>
      <w:r w:rsidR="00DF01B5" w:rsidRPr="00DF01B5">
        <w:rPr>
          <w:highlight w:val="green"/>
        </w:rPr>
        <w:t>method</w:t>
      </w:r>
      <w:r w:rsidR="00DF01B5" w:rsidRPr="00DF01B5">
        <w:t xml:space="preserve">, </w:t>
      </w:r>
      <w:r w:rsidR="00DF01B5" w:rsidRPr="00DF01B5">
        <w:rPr>
          <w:highlight w:val="cyan"/>
        </w:rPr>
        <w:t>results</w:t>
      </w:r>
      <w:r w:rsidR="00DF01B5" w:rsidRPr="00DF01B5">
        <w:t xml:space="preserve">, </w:t>
      </w:r>
      <w:r w:rsidR="00DF01B5" w:rsidRPr="00DF01B5">
        <w:rPr>
          <w:highlight w:val="magenta"/>
        </w:rPr>
        <w:t>significance</w:t>
      </w:r>
      <w:r w:rsidR="00DF01B5" w:rsidRPr="00DF01B5">
        <w:t xml:space="preserve"> highlighted)</w:t>
      </w:r>
    </w:p>
    <w:p w14:paraId="1FD4D354" w14:textId="77777777" w:rsidR="00DF01B5" w:rsidRPr="00DF01B5" w:rsidRDefault="000A7DDE" w:rsidP="00DF01B5">
      <w:r>
        <w:br/>
      </w:r>
      <w:r w:rsidR="00DF01B5" w:rsidRPr="00DF01B5">
        <w:rPr>
          <w:highlight w:val="yellow"/>
        </w:rPr>
        <w:t xml:space="preserve">To gain insight into the cellular processes controlled by c-di-GMP in </w:t>
      </w:r>
      <w:proofErr w:type="spellStart"/>
      <w:r w:rsidR="00DF01B5" w:rsidRPr="00DF01B5">
        <w:rPr>
          <w:highlight w:val="yellow"/>
        </w:rPr>
        <w:t>streptomycetes</w:t>
      </w:r>
      <w:proofErr w:type="spellEnd"/>
      <w:r w:rsidR="00DF01B5" w:rsidRPr="00DF01B5">
        <w:t xml:space="preserve">, </w:t>
      </w:r>
      <w:r w:rsidR="00DF01B5" w:rsidRPr="00DF01B5">
        <w:rPr>
          <w:highlight w:val="green"/>
        </w:rPr>
        <w:t xml:space="preserve">we overexpressed either the active DGC </w:t>
      </w:r>
      <w:proofErr w:type="spellStart"/>
      <w:r w:rsidR="00DF01B5" w:rsidRPr="00DF01B5">
        <w:rPr>
          <w:highlight w:val="green"/>
        </w:rPr>
        <w:t>CdgB</w:t>
      </w:r>
      <w:proofErr w:type="spellEnd"/>
      <w:r w:rsidR="00DF01B5" w:rsidRPr="00DF01B5">
        <w:rPr>
          <w:highlight w:val="green"/>
        </w:rPr>
        <w:t xml:space="preserve"> from </w:t>
      </w:r>
      <w:r w:rsidR="00DF01B5" w:rsidRPr="00DF01B5">
        <w:rPr>
          <w:i/>
          <w:iCs/>
          <w:highlight w:val="green"/>
        </w:rPr>
        <w:t xml:space="preserve">S. </w:t>
      </w:r>
      <w:proofErr w:type="spellStart"/>
      <w:r w:rsidR="00DF01B5" w:rsidRPr="00DF01B5">
        <w:rPr>
          <w:i/>
          <w:iCs/>
          <w:highlight w:val="green"/>
        </w:rPr>
        <w:t>coelicolor</w:t>
      </w:r>
      <w:proofErr w:type="spellEnd"/>
      <w:r w:rsidR="00DF01B5" w:rsidRPr="00DF01B5">
        <w:rPr>
          <w:i/>
          <w:iCs/>
          <w:highlight w:val="green"/>
        </w:rPr>
        <w:t xml:space="preserve"> </w:t>
      </w:r>
      <w:r w:rsidR="00DF01B5" w:rsidRPr="00DF01B5">
        <w:rPr>
          <w:highlight w:val="green"/>
        </w:rPr>
        <w:t xml:space="preserve">(Tran et al., 2011) or the active PDE </w:t>
      </w:r>
      <w:proofErr w:type="spellStart"/>
      <w:r w:rsidR="00DF01B5" w:rsidRPr="00DF01B5">
        <w:rPr>
          <w:highlight w:val="green"/>
        </w:rPr>
        <w:t>YhjH</w:t>
      </w:r>
      <w:proofErr w:type="spellEnd"/>
      <w:r w:rsidR="00DF01B5" w:rsidRPr="00DF01B5">
        <w:rPr>
          <w:highlight w:val="green"/>
        </w:rPr>
        <w:t xml:space="preserve"> from </w:t>
      </w:r>
      <w:r w:rsidR="00DF01B5" w:rsidRPr="00DF01B5">
        <w:rPr>
          <w:i/>
          <w:iCs/>
          <w:highlight w:val="green"/>
        </w:rPr>
        <w:t xml:space="preserve">E. coli </w:t>
      </w:r>
      <w:r w:rsidR="00DF01B5" w:rsidRPr="00DF01B5">
        <w:rPr>
          <w:highlight w:val="green"/>
        </w:rPr>
        <w:t>(</w:t>
      </w:r>
      <w:proofErr w:type="spellStart"/>
      <w:r w:rsidR="00DF01B5" w:rsidRPr="00DF01B5">
        <w:rPr>
          <w:highlight w:val="green"/>
        </w:rPr>
        <w:t>Pesavento</w:t>
      </w:r>
      <w:proofErr w:type="spellEnd"/>
      <w:r w:rsidR="00DF01B5" w:rsidRPr="00DF01B5">
        <w:rPr>
          <w:highlight w:val="green"/>
        </w:rPr>
        <w:t xml:space="preserve"> et al., 2008)</w:t>
      </w:r>
      <w:r w:rsidR="00DF01B5" w:rsidRPr="00DF01B5">
        <w:t xml:space="preserve">. </w:t>
      </w:r>
      <w:r w:rsidR="00DF01B5" w:rsidRPr="00DF01B5">
        <w:rPr>
          <w:highlight w:val="cyan"/>
        </w:rPr>
        <w:t xml:space="preserve">Strikingly, overexpression of both </w:t>
      </w:r>
      <w:proofErr w:type="spellStart"/>
      <w:r w:rsidR="00DF01B5" w:rsidRPr="00DF01B5">
        <w:rPr>
          <w:highlight w:val="cyan"/>
        </w:rPr>
        <w:t>CdgB</w:t>
      </w:r>
      <w:proofErr w:type="spellEnd"/>
      <w:r w:rsidR="00DF01B5" w:rsidRPr="00DF01B5">
        <w:rPr>
          <w:highlight w:val="cyan"/>
        </w:rPr>
        <w:t xml:space="preserve"> and </w:t>
      </w:r>
      <w:proofErr w:type="spellStart"/>
      <w:r w:rsidR="00DF01B5" w:rsidRPr="00DF01B5">
        <w:rPr>
          <w:highlight w:val="cyan"/>
        </w:rPr>
        <w:t>YhjH</w:t>
      </w:r>
      <w:proofErr w:type="spellEnd"/>
      <w:r w:rsidR="00DF01B5" w:rsidRPr="00DF01B5">
        <w:rPr>
          <w:highlight w:val="cyan"/>
        </w:rPr>
        <w:t xml:space="preserve"> blocked the generation of aerial mycelium by </w:t>
      </w:r>
      <w:r w:rsidR="00DF01B5" w:rsidRPr="00DF01B5">
        <w:rPr>
          <w:i/>
          <w:iCs/>
          <w:highlight w:val="cyan"/>
        </w:rPr>
        <w:t xml:space="preserve">S. </w:t>
      </w:r>
      <w:proofErr w:type="spellStart"/>
      <w:r w:rsidR="00DF01B5" w:rsidRPr="00DF01B5">
        <w:rPr>
          <w:i/>
          <w:iCs/>
          <w:highlight w:val="cyan"/>
        </w:rPr>
        <w:t>venezuelae</w:t>
      </w:r>
      <w:proofErr w:type="spellEnd"/>
      <w:r w:rsidR="00DF01B5" w:rsidRPr="00DF01B5">
        <w:rPr>
          <w:i/>
          <w:iCs/>
          <w:highlight w:val="cyan"/>
        </w:rPr>
        <w:t xml:space="preserve"> </w:t>
      </w:r>
      <w:r w:rsidR="00DF01B5" w:rsidRPr="00DF01B5">
        <w:rPr>
          <w:highlight w:val="cyan"/>
        </w:rPr>
        <w:t xml:space="preserve">(Figure 1B). However, scanning electron micrographs (SEMs) revealed that, whereas overexpression of </w:t>
      </w:r>
      <w:proofErr w:type="spellStart"/>
      <w:r w:rsidR="00DF01B5" w:rsidRPr="00DF01B5">
        <w:rPr>
          <w:highlight w:val="cyan"/>
        </w:rPr>
        <w:t>CdgB</w:t>
      </w:r>
      <w:proofErr w:type="spellEnd"/>
      <w:r w:rsidR="00DF01B5" w:rsidRPr="00DF01B5">
        <w:rPr>
          <w:highlight w:val="cyan"/>
        </w:rPr>
        <w:t xml:space="preserve"> blocked development, resulting in a classical bald phenotype, overexpression of the PDE </w:t>
      </w:r>
      <w:proofErr w:type="spellStart"/>
      <w:r w:rsidR="00DF01B5" w:rsidRPr="00DF01B5">
        <w:rPr>
          <w:highlight w:val="cyan"/>
        </w:rPr>
        <w:t>YhjH</w:t>
      </w:r>
      <w:proofErr w:type="spellEnd"/>
      <w:r w:rsidR="00DF01B5" w:rsidRPr="00DF01B5">
        <w:rPr>
          <w:highlight w:val="cyan"/>
        </w:rPr>
        <w:t xml:space="preserve"> in fact promoted sporulation, but the colonies appeared bald to the naked eye because aerial mycelium formation had been bypassed (Figure 1C).</w:t>
      </w:r>
      <w:r w:rsidR="00DF01B5" w:rsidRPr="00DF01B5">
        <w:t xml:space="preserve"> </w:t>
      </w:r>
      <w:r w:rsidR="00DF01B5" w:rsidRPr="00DF01B5">
        <w:rPr>
          <w:highlight w:val="cyan"/>
        </w:rPr>
        <w:t xml:space="preserve">As judged by heat resistance, the spores made by the </w:t>
      </w:r>
      <w:proofErr w:type="spellStart"/>
      <w:r w:rsidR="00DF01B5" w:rsidRPr="00DF01B5">
        <w:rPr>
          <w:highlight w:val="cyan"/>
        </w:rPr>
        <w:t>YhjH</w:t>
      </w:r>
      <w:proofErr w:type="spellEnd"/>
      <w:r w:rsidR="00DF01B5" w:rsidRPr="00DF01B5">
        <w:rPr>
          <w:highlight w:val="cyan"/>
        </w:rPr>
        <w:t xml:space="preserve"> overexpression strain were as robust as those of the </w:t>
      </w:r>
      <w:proofErr w:type="spellStart"/>
      <w:r w:rsidR="00DF01B5" w:rsidRPr="00DF01B5">
        <w:rPr>
          <w:highlight w:val="cyan"/>
        </w:rPr>
        <w:t>wildtype</w:t>
      </w:r>
      <w:proofErr w:type="spellEnd"/>
      <w:r w:rsidR="00DF01B5" w:rsidRPr="00DF01B5">
        <w:rPr>
          <w:highlight w:val="cyan"/>
        </w:rPr>
        <w:t xml:space="preserve"> (WT) (Figure S1A available online). Moreover, overexpression of catalytically inactive versions of </w:t>
      </w:r>
      <w:proofErr w:type="spellStart"/>
      <w:r w:rsidR="00DF01B5" w:rsidRPr="00DF01B5">
        <w:rPr>
          <w:highlight w:val="cyan"/>
        </w:rPr>
        <w:t>YhjH</w:t>
      </w:r>
      <w:proofErr w:type="spellEnd"/>
      <w:r w:rsidR="00DF01B5" w:rsidRPr="00DF01B5">
        <w:rPr>
          <w:highlight w:val="cyan"/>
        </w:rPr>
        <w:t xml:space="preserve"> or </w:t>
      </w:r>
      <w:proofErr w:type="spellStart"/>
      <w:r w:rsidR="00DF01B5" w:rsidRPr="00DF01B5">
        <w:rPr>
          <w:highlight w:val="cyan"/>
        </w:rPr>
        <w:t>CdgB</w:t>
      </w:r>
      <w:proofErr w:type="spellEnd"/>
      <w:r w:rsidR="00DF01B5" w:rsidRPr="00DF01B5">
        <w:rPr>
          <w:highlight w:val="cyan"/>
        </w:rPr>
        <w:t xml:space="preserve"> had no effect on </w:t>
      </w:r>
      <w:r w:rsidR="00DF01B5" w:rsidRPr="00DF01B5">
        <w:rPr>
          <w:i/>
          <w:iCs/>
          <w:highlight w:val="cyan"/>
        </w:rPr>
        <w:t xml:space="preserve">S. </w:t>
      </w:r>
      <w:proofErr w:type="spellStart"/>
      <w:r w:rsidR="00DF01B5" w:rsidRPr="00DF01B5">
        <w:rPr>
          <w:i/>
          <w:iCs/>
          <w:highlight w:val="cyan"/>
        </w:rPr>
        <w:t>venezuelae</w:t>
      </w:r>
      <w:proofErr w:type="spellEnd"/>
      <w:r w:rsidR="00DF01B5" w:rsidRPr="00DF01B5">
        <w:rPr>
          <w:i/>
          <w:iCs/>
          <w:highlight w:val="cyan"/>
        </w:rPr>
        <w:t xml:space="preserve"> </w:t>
      </w:r>
      <w:r w:rsidR="00DF01B5" w:rsidRPr="00DF01B5">
        <w:rPr>
          <w:highlight w:val="cyan"/>
        </w:rPr>
        <w:t>development (Figure S1B).</w:t>
      </w:r>
      <w:r w:rsidR="00DF01B5" w:rsidRPr="00DF01B5">
        <w:t xml:space="preserve"> </w:t>
      </w:r>
      <w:r w:rsidR="00DF01B5" w:rsidRPr="00DF01B5">
        <w:rPr>
          <w:highlight w:val="magenta"/>
        </w:rPr>
        <w:t xml:space="preserve">These data suggest that intracellular levels of c-di-GMP influence the timing of development. In particular, they suggest that increased c-di-GMP levels delay differentiation, arresting the colonies in the vegetative growth stage, whereas decreased levels of the second messenger accelerate development, </w:t>
      </w:r>
      <w:proofErr w:type="spellStart"/>
      <w:r w:rsidR="00DF01B5" w:rsidRPr="00DF01B5">
        <w:rPr>
          <w:highlight w:val="magenta"/>
        </w:rPr>
        <w:t>favoring</w:t>
      </w:r>
      <w:proofErr w:type="spellEnd"/>
      <w:r w:rsidR="00DF01B5" w:rsidRPr="00DF01B5">
        <w:rPr>
          <w:highlight w:val="magenta"/>
        </w:rPr>
        <w:t xml:space="preserve"> sporulation</w:t>
      </w:r>
      <w:r w:rsidR="00DF01B5" w:rsidRPr="00DF01B5">
        <w:t>.</w:t>
      </w:r>
    </w:p>
    <w:p w14:paraId="2919DD51" w14:textId="7F2D1745" w:rsidR="000A7DDE" w:rsidRDefault="000A7DDE" w:rsidP="00820B14">
      <w:pPr>
        <w:spacing w:after="0"/>
      </w:pPr>
    </w:p>
    <w:p w14:paraId="01397062" w14:textId="77777777" w:rsidR="000A7DDE" w:rsidRPr="000A7DDE" w:rsidRDefault="000A7DDE" w:rsidP="000A7DDE">
      <w:pPr>
        <w:spacing w:after="0"/>
      </w:pPr>
    </w:p>
    <w:p w14:paraId="7BA81DCA" w14:textId="246FD50E" w:rsidR="00BE32B1" w:rsidRPr="00714EA4" w:rsidRDefault="00B82D0F" w:rsidP="001A6A63">
      <w:pPr>
        <w:pStyle w:val="Heading3"/>
        <w:spacing w:before="0"/>
        <w:rPr>
          <w:u w:val="single"/>
        </w:rPr>
      </w:pPr>
      <w:r w:rsidRPr="00714EA4">
        <w:rPr>
          <w:u w:val="single"/>
        </w:rPr>
        <w:t xml:space="preserve">Exercise </w:t>
      </w:r>
      <w:r w:rsidR="00820B14">
        <w:rPr>
          <w:u w:val="single"/>
        </w:rPr>
        <w:t>10</w:t>
      </w:r>
      <w:r w:rsidRPr="00714EA4">
        <w:rPr>
          <w:u w:val="single"/>
        </w:rPr>
        <w:t>A.</w:t>
      </w:r>
    </w:p>
    <w:p w14:paraId="402D2EFC" w14:textId="78899BEA" w:rsidR="00F028DC" w:rsidRPr="000A7DDE" w:rsidRDefault="009D29D9" w:rsidP="000B3121">
      <w:r w:rsidRPr="009D29D9">
        <w:t>Read each exam</w:t>
      </w:r>
      <w:r w:rsidR="0074467A">
        <w:t xml:space="preserve">ple and </w:t>
      </w:r>
      <w:r w:rsidR="00820B14">
        <w:t>iden</w:t>
      </w:r>
      <w:r w:rsidR="00820B14" w:rsidRPr="00820B14">
        <w:t>t</w:t>
      </w:r>
      <w:r w:rsidR="00820B14">
        <w:t xml:space="preserve">ify </w:t>
      </w:r>
      <w:r w:rsidR="00820B14" w:rsidRPr="00820B14">
        <w:t>t</w:t>
      </w:r>
      <w:r w:rsidR="00820B14">
        <w:t>he aim, me</w:t>
      </w:r>
      <w:r w:rsidR="00820B14" w:rsidRPr="00820B14">
        <w:t>t</w:t>
      </w:r>
      <w:r w:rsidR="00820B14">
        <w:t>hod, resul</w:t>
      </w:r>
      <w:r w:rsidR="00820B14" w:rsidRPr="00820B14">
        <w:t>t</w:t>
      </w:r>
      <w:r w:rsidR="00820B14">
        <w:t>, and significance par</w:t>
      </w:r>
      <w:r w:rsidR="00820B14" w:rsidRPr="00820B14">
        <w:t>t</w:t>
      </w:r>
      <w:r w:rsidR="00820B14">
        <w:t xml:space="preserve">s of </w:t>
      </w:r>
      <w:r w:rsidR="00820B14" w:rsidRPr="00820B14">
        <w:t>t</w:t>
      </w:r>
      <w:r w:rsidR="00820B14">
        <w:t>he au</w:t>
      </w:r>
      <w:r w:rsidR="00820B14" w:rsidRPr="00820B14">
        <w:t>t</w:t>
      </w:r>
      <w:r w:rsidR="00820B14">
        <w:t>hor’s descrip</w:t>
      </w:r>
      <w:r w:rsidR="00820B14" w:rsidRPr="00820B14">
        <w:t>t</w:t>
      </w:r>
      <w:r w:rsidR="00820B14">
        <w:t xml:space="preserve">ion. </w:t>
      </w:r>
      <w:r w:rsidR="0077397D">
        <w:t xml:space="preserve">Can you improve </w:t>
      </w:r>
      <w:r w:rsidR="0077397D" w:rsidRPr="0077397D">
        <w:t>t</w:t>
      </w:r>
      <w:r w:rsidR="0077397D">
        <w:t xml:space="preserve">he logical flow of </w:t>
      </w:r>
      <w:r w:rsidR="0077397D" w:rsidRPr="0077397D">
        <w:t>t</w:t>
      </w:r>
      <w:r w:rsidR="0077397D">
        <w:t>he narra</w:t>
      </w:r>
      <w:r w:rsidR="0077397D" w:rsidRPr="0077397D">
        <w:t>t</w:t>
      </w:r>
      <w:r w:rsidR="0077397D">
        <w:t>ive?</w:t>
      </w:r>
    </w:p>
    <w:p w14:paraId="77E87516" w14:textId="6CA4439A" w:rsidR="000B3121" w:rsidRDefault="000B3121" w:rsidP="000B3121">
      <w:r w:rsidRPr="000B3121">
        <w:rPr>
          <w:b/>
          <w:bCs/>
          <w:u w:val="single"/>
        </w:rPr>
        <w:t xml:space="preserve">Sample </w:t>
      </w:r>
      <w:r w:rsidR="00820B14">
        <w:rPr>
          <w:b/>
          <w:bCs/>
          <w:u w:val="single"/>
        </w:rPr>
        <w:t>10</w:t>
      </w:r>
      <w:r w:rsidRPr="000B3121">
        <w:rPr>
          <w:b/>
          <w:bCs/>
          <w:u w:val="single"/>
        </w:rPr>
        <w:t>.1</w:t>
      </w:r>
      <w:r w:rsidRPr="000B3121">
        <w:rPr>
          <w:u w:val="single"/>
        </w:rPr>
        <w:t xml:space="preserve"> </w:t>
      </w:r>
      <w:r w:rsidR="006848F2">
        <w:rPr>
          <w:vertAlign w:val="superscript"/>
        </w:rPr>
        <w:t>1</w:t>
      </w:r>
      <w:r w:rsidRPr="000B3121">
        <w:t> </w:t>
      </w:r>
    </w:p>
    <w:p w14:paraId="3A4CAD57" w14:textId="05D1175C" w:rsidR="006848F2" w:rsidRPr="008A04D9" w:rsidRDefault="003C793F" w:rsidP="006848F2">
      <w:r w:rsidRPr="003C793F">
        <w:t>As first reported by Li</w:t>
      </w:r>
      <w:hyperlink r:id="rId6" w:anchor="B8" w:history="1">
        <w:r w:rsidRPr="003C793F">
          <w:rPr>
            <w:rStyle w:val="Hyperlink"/>
            <w:vertAlign w:val="superscript"/>
          </w:rPr>
          <w:t>8</w:t>
        </w:r>
      </w:hyperlink>
      <w:r w:rsidRPr="003C793F">
        <w:t> and Fix et al,</w:t>
      </w:r>
      <w:hyperlink r:id="rId7" w:anchor="B9" w:history="1">
        <w:r w:rsidRPr="003C793F">
          <w:rPr>
            <w:rStyle w:val="Hyperlink"/>
            <w:vertAlign w:val="superscript"/>
          </w:rPr>
          <w:t>9</w:t>
        </w:r>
      </w:hyperlink>
      <w:r w:rsidRPr="003C793F">
        <w:t xml:space="preserve"> we found that concurrent expression of </w:t>
      </w:r>
      <w:proofErr w:type="spellStart"/>
      <w:r w:rsidRPr="003C793F">
        <w:t>RexA</w:t>
      </w:r>
      <w:proofErr w:type="spellEnd"/>
      <w:r w:rsidRPr="003C793F">
        <w:t xml:space="preserve"> and </w:t>
      </w:r>
      <w:proofErr w:type="spellStart"/>
      <w:r w:rsidRPr="003C793F">
        <w:t>RexB</w:t>
      </w:r>
      <w:proofErr w:type="spellEnd"/>
      <w:r w:rsidRPr="003C793F">
        <w:t xml:space="preserve"> in </w:t>
      </w:r>
      <w:r w:rsidRPr="003C793F">
        <w:rPr>
          <w:i/>
          <w:iCs/>
        </w:rPr>
        <w:t>E. coli</w:t>
      </w:r>
      <w:r w:rsidRPr="003C793F">
        <w:t> sensitizes the cells to UV irradiation (</w:t>
      </w:r>
      <w:hyperlink r:id="rId8" w:tgtFrame="figure" w:history="1">
        <w:r w:rsidRPr="003C793F">
          <w:rPr>
            <w:rStyle w:val="Hyperlink"/>
          </w:rPr>
          <w:t>Fig. 2A</w:t>
        </w:r>
      </w:hyperlink>
      <w:r w:rsidRPr="003C793F">
        <w:t xml:space="preserve">). In strain LT732, the </w:t>
      </w:r>
      <w:proofErr w:type="spellStart"/>
      <w:r w:rsidRPr="003C793F">
        <w:t>RexA</w:t>
      </w:r>
      <w:proofErr w:type="spellEnd"/>
      <w:r w:rsidRPr="003C793F">
        <w:t xml:space="preserve">, </w:t>
      </w:r>
      <w:proofErr w:type="spellStart"/>
      <w:r w:rsidRPr="003C793F">
        <w:t>RexB</w:t>
      </w:r>
      <w:proofErr w:type="spellEnd"/>
      <w:r w:rsidRPr="003C793F">
        <w:t>, and the CI857 repressor proteins are expressed from the bacterial chromosome in single copy from the phage </w:t>
      </w:r>
      <w:r w:rsidRPr="003C793F">
        <w:rPr>
          <w:i/>
          <w:iCs/>
        </w:rPr>
        <w:t>P</w:t>
      </w:r>
      <w:r w:rsidRPr="003C793F">
        <w:rPr>
          <w:vertAlign w:val="subscript"/>
        </w:rPr>
        <w:t>RM</w:t>
      </w:r>
      <w:r w:rsidRPr="003C793F">
        <w:t> and </w:t>
      </w:r>
      <w:r w:rsidRPr="003C793F">
        <w:rPr>
          <w:i/>
          <w:iCs/>
        </w:rPr>
        <w:t>P</w:t>
      </w:r>
      <w:r w:rsidRPr="003C793F">
        <w:rPr>
          <w:vertAlign w:val="subscript"/>
        </w:rPr>
        <w:t>LIT</w:t>
      </w:r>
      <w:r w:rsidRPr="003C793F">
        <w:t> promoters (</w:t>
      </w:r>
      <w:hyperlink r:id="rId9" w:tgtFrame="figure" w:history="1">
        <w:r w:rsidRPr="003C793F">
          <w:rPr>
            <w:rStyle w:val="Hyperlink"/>
          </w:rPr>
          <w:t>Fig. 1B</w:t>
        </w:r>
      </w:hyperlink>
      <w:r w:rsidRPr="003C793F">
        <w:t>), in the absence of any other phage functions. Strain LT1964 is identical to strain LT732 except for a mutation in the −10 region of the </w:t>
      </w:r>
      <w:r w:rsidRPr="003C793F">
        <w:rPr>
          <w:i/>
          <w:iCs/>
        </w:rPr>
        <w:t>P</w:t>
      </w:r>
      <w:r w:rsidRPr="003C793F">
        <w:rPr>
          <w:vertAlign w:val="subscript"/>
        </w:rPr>
        <w:t>LIT</w:t>
      </w:r>
      <w:r w:rsidRPr="003C793F">
        <w:t xml:space="preserve"> promoter, thereby reducing the level of </w:t>
      </w:r>
      <w:proofErr w:type="spellStart"/>
      <w:r w:rsidRPr="003C793F">
        <w:t>RexB</w:t>
      </w:r>
      <w:proofErr w:type="spellEnd"/>
      <w:r w:rsidRPr="003C793F">
        <w:t xml:space="preserve"> relative to </w:t>
      </w:r>
      <w:proofErr w:type="spellStart"/>
      <w:r w:rsidRPr="003C793F">
        <w:t>RexA</w:t>
      </w:r>
      <w:proofErr w:type="spellEnd"/>
      <w:r w:rsidRPr="003C793F">
        <w:t xml:space="preserve"> in LT1964. This change in the ratio of the </w:t>
      </w:r>
      <w:proofErr w:type="spellStart"/>
      <w:r w:rsidRPr="003C793F">
        <w:t>RexB</w:t>
      </w:r>
      <w:proofErr w:type="spellEnd"/>
      <w:r w:rsidRPr="003C793F">
        <w:t xml:space="preserve"> and </w:t>
      </w:r>
      <w:proofErr w:type="spellStart"/>
      <w:r w:rsidRPr="003C793F">
        <w:t>RexA</w:t>
      </w:r>
      <w:proofErr w:type="spellEnd"/>
      <w:r w:rsidRPr="003C793F">
        <w:t xml:space="preserve"> proteins increases LT1964 sensitivity to UV-mediated DNA damage (</w:t>
      </w:r>
      <w:hyperlink r:id="rId10" w:tgtFrame="figure" w:history="1">
        <w:r w:rsidRPr="003C793F">
          <w:rPr>
            <w:rStyle w:val="Hyperlink"/>
          </w:rPr>
          <w:t>Fig. 2A</w:t>
        </w:r>
      </w:hyperlink>
      <w:r w:rsidRPr="003C793F">
        <w:t>). Note that strains with null mutations in either or both </w:t>
      </w:r>
      <w:r w:rsidRPr="003C793F">
        <w:rPr>
          <w:i/>
          <w:iCs/>
        </w:rPr>
        <w:t>rex</w:t>
      </w:r>
      <w:r w:rsidRPr="003C793F">
        <w:t> genes have UV survival curves such as those of wild type </w:t>
      </w:r>
      <w:r w:rsidRPr="003C793F">
        <w:rPr>
          <w:i/>
          <w:iCs/>
        </w:rPr>
        <w:t>E. coli</w:t>
      </w:r>
      <w:r w:rsidRPr="003C793F">
        <w:t> (</w:t>
      </w:r>
      <w:hyperlink r:id="rId11" w:tgtFrame="figure" w:history="1">
        <w:r w:rsidRPr="003C793F">
          <w:rPr>
            <w:rStyle w:val="Hyperlink"/>
          </w:rPr>
          <w:t>Fig. 2B</w:t>
        </w:r>
      </w:hyperlink>
      <w:r w:rsidRPr="003C793F">
        <w:t xml:space="preserve">). Thus, it is the relative change in </w:t>
      </w:r>
      <w:proofErr w:type="spellStart"/>
      <w:r w:rsidRPr="003C793F">
        <w:t>RexA</w:t>
      </w:r>
      <w:proofErr w:type="spellEnd"/>
      <w:r w:rsidRPr="003C793F">
        <w:t xml:space="preserve"> and </w:t>
      </w:r>
      <w:proofErr w:type="spellStart"/>
      <w:r w:rsidRPr="003C793F">
        <w:t>RexB</w:t>
      </w:r>
      <w:proofErr w:type="spellEnd"/>
      <w:r w:rsidRPr="003C793F">
        <w:t xml:space="preserve"> expression levels that causes increased UV sensitivity.</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6848F2" w:rsidRPr="000B3121" w14:paraId="3A981807" w14:textId="77777777" w:rsidTr="00B70D4E">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2AA2C0A4" w14:textId="6CAC3CDE" w:rsidR="006848F2" w:rsidRPr="000B3121" w:rsidRDefault="004727D6" w:rsidP="00B70D4E">
            <w:r>
              <w:rPr>
                <w:u w:val="single"/>
              </w:rPr>
              <w:t>Sugges</w:t>
            </w:r>
            <w:r w:rsidRPr="004727D6">
              <w:rPr>
                <w:u w:val="single"/>
              </w:rPr>
              <w:t>t</w:t>
            </w:r>
            <w:r>
              <w:rPr>
                <w:u w:val="single"/>
              </w:rPr>
              <w:t>ed</w:t>
            </w:r>
            <w:r w:rsidR="006848F2">
              <w:rPr>
                <w:u w:val="single"/>
              </w:rPr>
              <w:t xml:space="preserve"> improvements?</w:t>
            </w:r>
          </w:p>
          <w:p w14:paraId="151F13F0" w14:textId="1BDB981A" w:rsidR="006848F2" w:rsidRDefault="006848F2" w:rsidP="00B70D4E"/>
          <w:p w14:paraId="3642C54E" w14:textId="6C1C4F67" w:rsidR="00DB6887" w:rsidRPr="000B3121" w:rsidRDefault="00DB6887" w:rsidP="00B70D4E"/>
        </w:tc>
      </w:tr>
    </w:tbl>
    <w:p w14:paraId="4F5DE8E7" w14:textId="77777777" w:rsidR="00857E69" w:rsidRDefault="00857E69" w:rsidP="000B3121">
      <w:pPr>
        <w:rPr>
          <w:b/>
          <w:bCs/>
          <w:u w:val="single"/>
        </w:rPr>
      </w:pPr>
    </w:p>
    <w:p w14:paraId="65ACED7E" w14:textId="5266DDF5" w:rsidR="00212AEE" w:rsidRPr="000B3121" w:rsidRDefault="00212AEE" w:rsidP="000B3121">
      <w:bookmarkStart w:id="0" w:name="_GoBack"/>
      <w:bookmarkEnd w:id="0"/>
      <w:r w:rsidRPr="000B3121">
        <w:rPr>
          <w:b/>
          <w:bCs/>
          <w:u w:val="single"/>
        </w:rPr>
        <w:lastRenderedPageBreak/>
        <w:t xml:space="preserve">Sample </w:t>
      </w:r>
      <w:r>
        <w:rPr>
          <w:b/>
          <w:bCs/>
          <w:u w:val="single"/>
        </w:rPr>
        <w:t>9</w:t>
      </w:r>
      <w:r w:rsidRPr="000B3121">
        <w:rPr>
          <w:b/>
          <w:bCs/>
          <w:u w:val="single"/>
        </w:rPr>
        <w:t>.</w:t>
      </w:r>
      <w:r>
        <w:rPr>
          <w:b/>
          <w:bCs/>
          <w:u w:val="single"/>
        </w:rPr>
        <w:t>2</w:t>
      </w:r>
      <w:r w:rsidRPr="000B3121">
        <w:rPr>
          <w:u w:val="single"/>
        </w:rPr>
        <w:t xml:space="preserve"> </w:t>
      </w:r>
      <w:r w:rsidR="006848F2">
        <w:rPr>
          <w:vertAlign w:val="superscript"/>
        </w:rPr>
        <w:t>2</w:t>
      </w:r>
      <w:r w:rsidRPr="000B3121">
        <w:t> </w:t>
      </w:r>
    </w:p>
    <w:p w14:paraId="3B911D32" w14:textId="25C56071" w:rsidR="00DB6887" w:rsidRPr="008A04D9" w:rsidRDefault="00DB6887" w:rsidP="00DB6887">
      <w:r w:rsidRPr="00DB6887">
        <w:t>In the genome of </w:t>
      </w:r>
      <w:r w:rsidRPr="00DB6887">
        <w:rPr>
          <w:i/>
          <w:iCs/>
        </w:rPr>
        <w:t>E. coli</w:t>
      </w:r>
      <w:r w:rsidRPr="00DB6887">
        <w:t>, the </w:t>
      </w:r>
      <w:proofErr w:type="spellStart"/>
      <w:r w:rsidRPr="00DB6887">
        <w:rPr>
          <w:i/>
          <w:iCs/>
        </w:rPr>
        <w:t>hiuH</w:t>
      </w:r>
      <w:proofErr w:type="spellEnd"/>
      <w:r w:rsidRPr="00DB6887">
        <w:t> gene is located 109 </w:t>
      </w:r>
      <w:proofErr w:type="spellStart"/>
      <w:r w:rsidRPr="00DB6887">
        <w:t>bp</w:t>
      </w:r>
      <w:proofErr w:type="spellEnd"/>
      <w:r w:rsidRPr="00DB6887">
        <w:t xml:space="preserve"> upstream of </w:t>
      </w:r>
      <w:proofErr w:type="spellStart"/>
      <w:r w:rsidRPr="00DB6887">
        <w:rPr>
          <w:i/>
          <w:iCs/>
        </w:rPr>
        <w:t>msrP</w:t>
      </w:r>
      <w:proofErr w:type="spellEnd"/>
      <w:r w:rsidRPr="00DB6887">
        <w:t> and 1,114 </w:t>
      </w:r>
      <w:proofErr w:type="spellStart"/>
      <w:r w:rsidRPr="00DB6887">
        <w:t>bp</w:t>
      </w:r>
      <w:proofErr w:type="spellEnd"/>
      <w:r w:rsidRPr="00DB6887">
        <w:t xml:space="preserve"> upstream of </w:t>
      </w:r>
      <w:proofErr w:type="spellStart"/>
      <w:r w:rsidRPr="00DB6887">
        <w:rPr>
          <w:i/>
          <w:iCs/>
        </w:rPr>
        <w:t>msrQ</w:t>
      </w:r>
      <w:proofErr w:type="spellEnd"/>
      <w:r w:rsidRPr="00DB6887">
        <w:t> (</w:t>
      </w:r>
      <w:hyperlink r:id="rId12" w:anchor="F1" w:history="1">
        <w:r w:rsidRPr="00DB6887">
          <w:rPr>
            <w:rStyle w:val="Hyperlink"/>
          </w:rPr>
          <w:t>Fig. 1A</w:t>
        </w:r>
      </w:hyperlink>
      <w:r w:rsidRPr="00DB6887">
        <w:t>). The expression of </w:t>
      </w:r>
      <w:proofErr w:type="spellStart"/>
      <w:r w:rsidRPr="00DB6887">
        <w:rPr>
          <w:i/>
          <w:iCs/>
        </w:rPr>
        <w:t>hiuH</w:t>
      </w:r>
      <w:proofErr w:type="spellEnd"/>
      <w:r w:rsidRPr="00DB6887">
        <w:t>, </w:t>
      </w:r>
      <w:proofErr w:type="spellStart"/>
      <w:r w:rsidRPr="00DB6887">
        <w:rPr>
          <w:i/>
          <w:iCs/>
        </w:rPr>
        <w:t>msrP</w:t>
      </w:r>
      <w:proofErr w:type="spellEnd"/>
      <w:r w:rsidRPr="00DB6887">
        <w:t>, and </w:t>
      </w:r>
      <w:proofErr w:type="spellStart"/>
      <w:r w:rsidRPr="00DB6887">
        <w:rPr>
          <w:i/>
          <w:iCs/>
        </w:rPr>
        <w:t>msrQ</w:t>
      </w:r>
      <w:proofErr w:type="spellEnd"/>
      <w:r w:rsidRPr="00DB6887">
        <w:t xml:space="preserve"> has been reported to be under the control of the </w:t>
      </w:r>
      <w:proofErr w:type="spellStart"/>
      <w:r w:rsidRPr="00DB6887">
        <w:t>HprSR</w:t>
      </w:r>
      <w:proofErr w:type="spellEnd"/>
      <w:r w:rsidRPr="00DB6887">
        <w:t xml:space="preserve"> two-component system (</w:t>
      </w:r>
      <w:hyperlink r:id="rId13" w:anchor="core-B13" w:history="1">
        <w:r w:rsidRPr="00DB6887">
          <w:rPr>
            <w:rStyle w:val="Hyperlink"/>
          </w:rPr>
          <w:t>13</w:t>
        </w:r>
      </w:hyperlink>
      <w:r w:rsidRPr="00DB6887">
        <w:t>, </w:t>
      </w:r>
      <w:hyperlink r:id="rId14" w:anchor="core-B16" w:history="1">
        <w:r w:rsidRPr="00DB6887">
          <w:rPr>
            <w:rStyle w:val="Hyperlink"/>
          </w:rPr>
          <w:t>16</w:t>
        </w:r>
      </w:hyperlink>
      <w:r w:rsidRPr="00DB6887">
        <w:t xml:space="preserve">), with an </w:t>
      </w:r>
      <w:proofErr w:type="spellStart"/>
      <w:r w:rsidRPr="00DB6887">
        <w:t>HprR</w:t>
      </w:r>
      <w:proofErr w:type="spellEnd"/>
      <w:r w:rsidRPr="00DB6887">
        <w:t xml:space="preserve"> box located upstream of </w:t>
      </w:r>
      <w:proofErr w:type="spellStart"/>
      <w:r w:rsidRPr="00DB6887">
        <w:rPr>
          <w:i/>
          <w:iCs/>
        </w:rPr>
        <w:t>hiuH</w:t>
      </w:r>
      <w:proofErr w:type="spellEnd"/>
      <w:r w:rsidRPr="00DB6887">
        <w:t> (87 to 70 </w:t>
      </w:r>
      <w:proofErr w:type="spellStart"/>
      <w:r w:rsidRPr="00DB6887">
        <w:t>bp</w:t>
      </w:r>
      <w:proofErr w:type="spellEnd"/>
      <w:r w:rsidRPr="00DB6887">
        <w:t xml:space="preserve"> before the </w:t>
      </w:r>
      <w:proofErr w:type="spellStart"/>
      <w:r w:rsidRPr="00DB6887">
        <w:rPr>
          <w:i/>
          <w:iCs/>
        </w:rPr>
        <w:t>hiuH</w:t>
      </w:r>
      <w:proofErr w:type="spellEnd"/>
      <w:r w:rsidRPr="00DB6887">
        <w:t> start codon). These observations suggest that </w:t>
      </w:r>
      <w:proofErr w:type="spellStart"/>
      <w:r w:rsidRPr="00DB6887">
        <w:rPr>
          <w:i/>
          <w:iCs/>
        </w:rPr>
        <w:t>hiuH</w:t>
      </w:r>
      <w:proofErr w:type="spellEnd"/>
      <w:r w:rsidRPr="00DB6887">
        <w:t>, </w:t>
      </w:r>
      <w:proofErr w:type="spellStart"/>
      <w:r w:rsidRPr="00DB6887">
        <w:rPr>
          <w:i/>
          <w:iCs/>
        </w:rPr>
        <w:t>msrP</w:t>
      </w:r>
      <w:proofErr w:type="spellEnd"/>
      <w:r w:rsidRPr="00DB6887">
        <w:t>, and </w:t>
      </w:r>
      <w:proofErr w:type="spellStart"/>
      <w:r w:rsidRPr="00DB6887">
        <w:rPr>
          <w:i/>
          <w:iCs/>
        </w:rPr>
        <w:t>msrQ</w:t>
      </w:r>
      <w:proofErr w:type="spellEnd"/>
      <w:r w:rsidRPr="00DB6887">
        <w:t> might belong to the same operon. This hypothesis was explored further by reverse transcription-PCR (RT-PCR) using converging pairs of primers located within each of the three genes: after RNA reverse transcription, PCR amplifications were observed between </w:t>
      </w:r>
      <w:proofErr w:type="spellStart"/>
      <w:r w:rsidRPr="00DB6887">
        <w:rPr>
          <w:i/>
          <w:iCs/>
        </w:rPr>
        <w:t>hiuH</w:t>
      </w:r>
      <w:proofErr w:type="spellEnd"/>
      <w:r w:rsidRPr="00DB6887">
        <w:t> and </w:t>
      </w:r>
      <w:proofErr w:type="spellStart"/>
      <w:r w:rsidRPr="00DB6887">
        <w:rPr>
          <w:i/>
          <w:iCs/>
        </w:rPr>
        <w:t>msrP</w:t>
      </w:r>
      <w:proofErr w:type="spellEnd"/>
      <w:r w:rsidRPr="00DB6887">
        <w:t> and between </w:t>
      </w:r>
      <w:proofErr w:type="spellStart"/>
      <w:r w:rsidRPr="00DB6887">
        <w:rPr>
          <w:i/>
          <w:iCs/>
        </w:rPr>
        <w:t>msrP</w:t>
      </w:r>
      <w:proofErr w:type="spellEnd"/>
      <w:r w:rsidRPr="00DB6887">
        <w:t> and </w:t>
      </w:r>
      <w:proofErr w:type="spellStart"/>
      <w:r w:rsidRPr="00DB6887">
        <w:rPr>
          <w:i/>
          <w:iCs/>
        </w:rPr>
        <w:t>msrQ</w:t>
      </w:r>
      <w:proofErr w:type="spellEnd"/>
      <w:r w:rsidRPr="00DB6887">
        <w:t xml:space="preserve">, showing a </w:t>
      </w:r>
      <w:proofErr w:type="spellStart"/>
      <w:r w:rsidRPr="00DB6887">
        <w:t>tricistronic</w:t>
      </w:r>
      <w:proofErr w:type="spellEnd"/>
      <w:r w:rsidRPr="00DB6887">
        <w:t xml:space="preserve"> organization (</w:t>
      </w:r>
      <w:hyperlink r:id="rId15" w:anchor="F1" w:history="1">
        <w:r w:rsidRPr="00DB6887">
          <w:rPr>
            <w:rStyle w:val="Hyperlink"/>
          </w:rPr>
          <w:t>Fig. 1B</w:t>
        </w:r>
      </w:hyperlink>
      <w:r w:rsidRPr="00DB6887">
        <w:t>). As positive and negative controls, we used chromosomal DNA and total RNA, respectively, as templates for PCR amplifications with the same pairs of primers. Together, these experiments strongly suggest that </w:t>
      </w:r>
      <w:proofErr w:type="spellStart"/>
      <w:r w:rsidRPr="00DB6887">
        <w:rPr>
          <w:i/>
          <w:iCs/>
        </w:rPr>
        <w:t>hiuH</w:t>
      </w:r>
      <w:proofErr w:type="spellEnd"/>
      <w:r w:rsidRPr="00DB6887">
        <w:t>, </w:t>
      </w:r>
      <w:proofErr w:type="spellStart"/>
      <w:r w:rsidRPr="00DB6887">
        <w:rPr>
          <w:i/>
          <w:iCs/>
        </w:rPr>
        <w:t>msrP</w:t>
      </w:r>
      <w:proofErr w:type="spellEnd"/>
      <w:r w:rsidRPr="00DB6887">
        <w:t>, and </w:t>
      </w:r>
      <w:proofErr w:type="spellStart"/>
      <w:r w:rsidRPr="00DB6887">
        <w:rPr>
          <w:i/>
          <w:iCs/>
        </w:rPr>
        <w:t>msrQ</w:t>
      </w:r>
      <w:proofErr w:type="spellEnd"/>
      <w:r w:rsidRPr="00DB6887">
        <w:t xml:space="preserve"> are part of the same operon. </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DB6887" w:rsidRPr="000B3121" w14:paraId="7B5D5252" w14:textId="77777777" w:rsidTr="00B4211A">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4919DE3B" w14:textId="77777777" w:rsidR="00DB6887" w:rsidRPr="000B3121" w:rsidRDefault="00DB6887" w:rsidP="00B4211A">
            <w:r>
              <w:rPr>
                <w:u w:val="single"/>
              </w:rPr>
              <w:t>Sugges</w:t>
            </w:r>
            <w:r w:rsidRPr="004727D6">
              <w:rPr>
                <w:u w:val="single"/>
              </w:rPr>
              <w:t>t</w:t>
            </w:r>
            <w:r>
              <w:rPr>
                <w:u w:val="single"/>
              </w:rPr>
              <w:t>ed improvements?</w:t>
            </w:r>
          </w:p>
          <w:p w14:paraId="006F59D3" w14:textId="77777777" w:rsidR="00DB6887" w:rsidRDefault="00DB6887" w:rsidP="00B4211A"/>
          <w:p w14:paraId="0142D11F" w14:textId="6267A6E4" w:rsidR="00DB6887" w:rsidRPr="000B3121" w:rsidRDefault="00DB6887" w:rsidP="00B4211A"/>
        </w:tc>
      </w:tr>
    </w:tbl>
    <w:p w14:paraId="0EA6CC49" w14:textId="5B15343B" w:rsidR="000A7DDE" w:rsidRPr="00DB6887" w:rsidRDefault="00DB6887" w:rsidP="000B3121">
      <w:r>
        <w:t xml:space="preserve"> </w:t>
      </w:r>
    </w:p>
    <w:p w14:paraId="23ECD8CA" w14:textId="7EAEB01A" w:rsidR="006848F2" w:rsidRPr="000A7DDE" w:rsidRDefault="006848F2" w:rsidP="000B3121">
      <w:r w:rsidRPr="000B3121">
        <w:rPr>
          <w:b/>
          <w:bCs/>
          <w:u w:val="single"/>
        </w:rPr>
        <w:t xml:space="preserve">Sample </w:t>
      </w:r>
      <w:r>
        <w:rPr>
          <w:b/>
          <w:bCs/>
          <w:u w:val="single"/>
        </w:rPr>
        <w:t>9</w:t>
      </w:r>
      <w:r w:rsidRPr="000B3121">
        <w:rPr>
          <w:b/>
          <w:bCs/>
          <w:u w:val="single"/>
        </w:rPr>
        <w:t>.</w:t>
      </w:r>
      <w:r>
        <w:rPr>
          <w:b/>
          <w:bCs/>
          <w:u w:val="single"/>
        </w:rPr>
        <w:t>3</w:t>
      </w:r>
      <w:r w:rsidRPr="000B3121">
        <w:rPr>
          <w:u w:val="single"/>
        </w:rPr>
        <w:t xml:space="preserve"> </w:t>
      </w:r>
      <w:r>
        <w:rPr>
          <w:vertAlign w:val="superscript"/>
        </w:rPr>
        <w:t>2</w:t>
      </w:r>
      <w:r w:rsidRPr="000B3121">
        <w:t> </w:t>
      </w:r>
    </w:p>
    <w:p w14:paraId="3357BCCD" w14:textId="0FEDD120" w:rsidR="006848F2" w:rsidRDefault="006B4BE8" w:rsidP="006848F2">
      <w:pPr>
        <w:rPr>
          <w:bCs/>
        </w:rPr>
      </w:pPr>
      <w:r w:rsidRPr="006B4BE8">
        <w:rPr>
          <w:bCs/>
        </w:rPr>
        <w:t xml:space="preserve">A previous study characterized the critical role of </w:t>
      </w:r>
      <w:proofErr w:type="spellStart"/>
      <w:r w:rsidRPr="006B4BE8">
        <w:rPr>
          <w:bCs/>
        </w:rPr>
        <w:t>DnaA</w:t>
      </w:r>
      <w:proofErr w:type="spellEnd"/>
      <w:r w:rsidRPr="006B4BE8">
        <w:rPr>
          <w:bCs/>
        </w:rPr>
        <w:t xml:space="preserve"> boxes 6 and 7 on the </w:t>
      </w:r>
      <w:proofErr w:type="spellStart"/>
      <w:r w:rsidRPr="006B4BE8">
        <w:rPr>
          <w:bCs/>
          <w:i/>
          <w:iCs/>
        </w:rPr>
        <w:t>oriC</w:t>
      </w:r>
      <w:proofErr w:type="spellEnd"/>
      <w:r w:rsidRPr="006B4BE8">
        <w:rPr>
          <w:bCs/>
        </w:rPr>
        <w:t> of </w:t>
      </w:r>
      <w:r w:rsidRPr="006B4BE8">
        <w:rPr>
          <w:bCs/>
          <w:i/>
          <w:iCs/>
        </w:rPr>
        <w:t>B. subtilis</w:t>
      </w:r>
      <w:r w:rsidRPr="006B4BE8">
        <w:rPr>
          <w:bCs/>
        </w:rPr>
        <w:t> in orchestrating DNA unwinding and replication initiation (</w:t>
      </w:r>
      <w:hyperlink r:id="rId16" w:anchor="core-B16" w:history="1">
        <w:r w:rsidRPr="006B4BE8">
          <w:rPr>
            <w:rStyle w:val="Hyperlink"/>
            <w:bCs/>
          </w:rPr>
          <w:t>16</w:t>
        </w:r>
      </w:hyperlink>
      <w:r w:rsidRPr="006B4BE8">
        <w:rPr>
          <w:bCs/>
        </w:rPr>
        <w:t>). We therefore hypothesized that replication initiation could be blocked by inducing dCas9 expression in the presence of single guide RNAs (</w:t>
      </w:r>
      <w:proofErr w:type="spellStart"/>
      <w:r w:rsidRPr="006B4BE8">
        <w:rPr>
          <w:bCs/>
        </w:rPr>
        <w:t>sgRNAs</w:t>
      </w:r>
      <w:proofErr w:type="spellEnd"/>
      <w:r w:rsidRPr="006B4BE8">
        <w:rPr>
          <w:bCs/>
        </w:rPr>
        <w:t xml:space="preserve">) specifically designed to target the inactivated nuclease to these boxes and thereby hinder </w:t>
      </w:r>
      <w:proofErr w:type="spellStart"/>
      <w:r w:rsidRPr="006B4BE8">
        <w:rPr>
          <w:bCs/>
        </w:rPr>
        <w:t>DnaA</w:t>
      </w:r>
      <w:proofErr w:type="spellEnd"/>
      <w:r w:rsidRPr="006B4BE8">
        <w:rPr>
          <w:bCs/>
        </w:rPr>
        <w:t xml:space="preserve"> binding (</w:t>
      </w:r>
      <w:hyperlink r:id="rId17" w:anchor="core-B23" w:history="1">
        <w:r w:rsidRPr="006B4BE8">
          <w:rPr>
            <w:rStyle w:val="Hyperlink"/>
            <w:bCs/>
          </w:rPr>
          <w:t>23</w:t>
        </w:r>
      </w:hyperlink>
      <w:r w:rsidRPr="006B4BE8">
        <w:rPr>
          <w:bCs/>
        </w:rPr>
        <w:t>) (</w:t>
      </w:r>
      <w:hyperlink r:id="rId18" w:anchor="F1" w:history="1">
        <w:r w:rsidRPr="006B4BE8">
          <w:rPr>
            <w:rStyle w:val="Hyperlink"/>
            <w:bCs/>
          </w:rPr>
          <w:t>Fig. 1A</w:t>
        </w:r>
      </w:hyperlink>
      <w:r w:rsidRPr="006B4BE8">
        <w:rPr>
          <w:bCs/>
        </w:rPr>
        <w:t>). To this end, we constructed </w:t>
      </w:r>
      <w:r w:rsidRPr="006B4BE8">
        <w:rPr>
          <w:bCs/>
          <w:i/>
          <w:iCs/>
        </w:rPr>
        <w:t>B. subtilis</w:t>
      </w:r>
      <w:r w:rsidRPr="006B4BE8">
        <w:rPr>
          <w:bCs/>
        </w:rPr>
        <w:t> strains carrying a xylose-inducible dCas9 as well as constitutively expressed sgRNA</w:t>
      </w:r>
      <w:r w:rsidRPr="006B4BE8">
        <w:rPr>
          <w:bCs/>
          <w:vertAlign w:val="superscript"/>
        </w:rPr>
        <w:t>box6–7</w:t>
      </w:r>
      <w:r w:rsidRPr="006B4BE8">
        <w:rPr>
          <w:bCs/>
        </w:rPr>
        <w:t xml:space="preserve"> designed to target </w:t>
      </w:r>
      <w:proofErr w:type="spellStart"/>
      <w:r w:rsidRPr="006B4BE8">
        <w:rPr>
          <w:bCs/>
        </w:rPr>
        <w:t>DnaA</w:t>
      </w:r>
      <w:proofErr w:type="spellEnd"/>
      <w:r w:rsidRPr="006B4BE8">
        <w:rPr>
          <w:bCs/>
        </w:rPr>
        <w:t xml:space="preserve"> boxes 6 and 7. In addition, strains encoding </w:t>
      </w:r>
      <w:proofErr w:type="spellStart"/>
      <w:r w:rsidRPr="006B4BE8">
        <w:rPr>
          <w:bCs/>
        </w:rPr>
        <w:t>sgRNAs</w:t>
      </w:r>
      <w:proofErr w:type="spellEnd"/>
      <w:r w:rsidRPr="006B4BE8">
        <w:rPr>
          <w:bCs/>
        </w:rPr>
        <w:t xml:space="preserve"> designed to target </w:t>
      </w:r>
      <w:proofErr w:type="spellStart"/>
      <w:r w:rsidRPr="006B4BE8">
        <w:rPr>
          <w:bCs/>
        </w:rPr>
        <w:t>DnaA</w:t>
      </w:r>
      <w:proofErr w:type="spellEnd"/>
      <w:r w:rsidRPr="006B4BE8">
        <w:rPr>
          <w:bCs/>
        </w:rPr>
        <w:t xml:space="preserve"> boxes 1 and 2 or 3 and 4 (sgRNA</w:t>
      </w:r>
      <w:r w:rsidRPr="006B4BE8">
        <w:rPr>
          <w:bCs/>
          <w:vertAlign w:val="superscript"/>
        </w:rPr>
        <w:t>box1–2</w:t>
      </w:r>
      <w:r w:rsidRPr="006B4BE8">
        <w:rPr>
          <w:bCs/>
        </w:rPr>
        <w:t> and sgRNA</w:t>
      </w:r>
      <w:r w:rsidRPr="006B4BE8">
        <w:rPr>
          <w:bCs/>
          <w:vertAlign w:val="superscript"/>
        </w:rPr>
        <w:t>box3–4</w:t>
      </w:r>
      <w:r w:rsidRPr="006B4BE8">
        <w:rPr>
          <w:bCs/>
        </w:rPr>
        <w:t>, respectively) were constructed as controls (</w:t>
      </w:r>
      <w:hyperlink r:id="rId19" w:anchor="F1" w:history="1">
        <w:r w:rsidRPr="006B4BE8">
          <w:rPr>
            <w:rStyle w:val="Hyperlink"/>
            <w:bCs/>
          </w:rPr>
          <w:t>Fig. 1B</w:t>
        </w:r>
      </w:hyperlink>
      <w:r w:rsidRPr="006B4BE8">
        <w:rPr>
          <w:bCs/>
        </w:rPr>
        <w:t>; Table S1) (</w:t>
      </w:r>
      <w:hyperlink r:id="rId20" w:anchor="core-B16" w:history="1">
        <w:r w:rsidRPr="006B4BE8">
          <w:rPr>
            <w:rStyle w:val="Hyperlink"/>
            <w:bCs/>
          </w:rPr>
          <w:t>16</w:t>
        </w:r>
      </w:hyperlink>
      <w:r w:rsidRPr="006B4BE8">
        <w:rPr>
          <w:bCs/>
        </w:rPr>
        <w:t>). This system allows conditional expression of dCas9 in the presence of xylose and tight repression when glucose is available.</w:t>
      </w:r>
    </w:p>
    <w:p w14:paraId="522E0284" w14:textId="77777777" w:rsidR="006B4BE8" w:rsidRPr="006B4BE8" w:rsidRDefault="006B4BE8" w:rsidP="006B4BE8">
      <w:pPr>
        <w:rPr>
          <w:bCs/>
        </w:rPr>
      </w:pPr>
      <w:r w:rsidRPr="006B4BE8">
        <w:rPr>
          <w:bCs/>
        </w:rPr>
        <w:t xml:space="preserve">To assess the impact of this blockade on replication initiation, we examined cell growth during the early logarithmic phase under dCas9 induction or repression conditions. Cells with dCas9 in the absence of </w:t>
      </w:r>
      <w:proofErr w:type="spellStart"/>
      <w:r w:rsidRPr="006B4BE8">
        <w:rPr>
          <w:bCs/>
        </w:rPr>
        <w:t>sgRNA</w:t>
      </w:r>
      <w:proofErr w:type="spellEnd"/>
      <w:r w:rsidRPr="006B4BE8">
        <w:rPr>
          <w:bCs/>
        </w:rPr>
        <w:t xml:space="preserve"> [wild-type (WT)-dCas9] exhibited normal growth </w:t>
      </w:r>
      <w:proofErr w:type="spellStart"/>
      <w:r w:rsidRPr="006B4BE8">
        <w:rPr>
          <w:bCs/>
        </w:rPr>
        <w:t>behavior</w:t>
      </w:r>
      <w:proofErr w:type="spellEnd"/>
      <w:r w:rsidRPr="006B4BE8">
        <w:rPr>
          <w:bCs/>
        </w:rPr>
        <w:t>, indicating that dCas9 expression alone does not affect bacterial proliferation (</w:t>
      </w:r>
      <w:hyperlink r:id="rId21" w:anchor="F1" w:history="1">
        <w:r w:rsidRPr="006B4BE8">
          <w:rPr>
            <w:rStyle w:val="Hyperlink"/>
            <w:bCs/>
          </w:rPr>
          <w:t>Fig. 1C</w:t>
        </w:r>
      </w:hyperlink>
      <w:r w:rsidRPr="006B4BE8">
        <w:rPr>
          <w:bCs/>
        </w:rPr>
        <w:t>). Furthermore, cultures repressed by glucose, containing either sgRNA</w:t>
      </w:r>
      <w:r w:rsidRPr="006B4BE8">
        <w:rPr>
          <w:bCs/>
          <w:vertAlign w:val="superscript"/>
        </w:rPr>
        <w:t>box1–2</w:t>
      </w:r>
      <w:r w:rsidRPr="006B4BE8">
        <w:rPr>
          <w:bCs/>
        </w:rPr>
        <w:t>, sgRNA</w:t>
      </w:r>
      <w:r w:rsidRPr="006B4BE8">
        <w:rPr>
          <w:bCs/>
          <w:vertAlign w:val="superscript"/>
        </w:rPr>
        <w:t>box3–4</w:t>
      </w:r>
      <w:r w:rsidRPr="006B4BE8">
        <w:rPr>
          <w:bCs/>
        </w:rPr>
        <w:t>, or sgRNA</w:t>
      </w:r>
      <w:r w:rsidRPr="006B4BE8">
        <w:rPr>
          <w:bCs/>
          <w:vertAlign w:val="superscript"/>
        </w:rPr>
        <w:t>box6–7</w:t>
      </w:r>
      <w:r w:rsidRPr="006B4BE8">
        <w:rPr>
          <w:bCs/>
        </w:rPr>
        <w:t> showed subtle growth variations compared with the control, while inducing dCas9 with sgRNA</w:t>
      </w:r>
      <w:r w:rsidRPr="006B4BE8">
        <w:rPr>
          <w:bCs/>
          <w:vertAlign w:val="superscript"/>
        </w:rPr>
        <w:t>box6-7</w:t>
      </w:r>
      <w:r w:rsidRPr="006B4BE8">
        <w:rPr>
          <w:bCs/>
        </w:rPr>
        <w:t xml:space="preserve"> led to a significant decrease in colony forming units (CFU) per </w:t>
      </w:r>
      <w:proofErr w:type="spellStart"/>
      <w:r w:rsidRPr="006B4BE8">
        <w:rPr>
          <w:bCs/>
        </w:rPr>
        <w:t>milliliter</w:t>
      </w:r>
      <w:proofErr w:type="spellEnd"/>
      <w:r w:rsidRPr="006B4BE8">
        <w:rPr>
          <w:bCs/>
        </w:rPr>
        <w:t xml:space="preserve"> after 3 h compared to the WT (</w:t>
      </w:r>
      <w:hyperlink r:id="rId22" w:anchor="F1" w:history="1">
        <w:r w:rsidRPr="006B4BE8">
          <w:rPr>
            <w:rStyle w:val="Hyperlink"/>
            <w:bCs/>
          </w:rPr>
          <w:t>Fig. 1C</w:t>
        </w:r>
      </w:hyperlink>
      <w:r w:rsidRPr="006B4BE8">
        <w:rPr>
          <w:bCs/>
        </w:rPr>
        <w:t xml:space="preserve">). Notably, targeting adjacent boxes by inducing the </w:t>
      </w:r>
      <w:proofErr w:type="spellStart"/>
      <w:r w:rsidRPr="006B4BE8">
        <w:rPr>
          <w:bCs/>
        </w:rPr>
        <w:t>CRISPRi</w:t>
      </w:r>
      <w:proofErr w:type="spellEnd"/>
      <w:r w:rsidRPr="006B4BE8">
        <w:rPr>
          <w:bCs/>
        </w:rPr>
        <w:t xml:space="preserve"> system did not inhibit growth (</w:t>
      </w:r>
      <w:hyperlink r:id="rId23" w:anchor="F1" w:history="1">
        <w:r w:rsidRPr="006B4BE8">
          <w:rPr>
            <w:rStyle w:val="Hyperlink"/>
            <w:bCs/>
          </w:rPr>
          <w:t>Fig. 1C</w:t>
        </w:r>
      </w:hyperlink>
      <w:r w:rsidRPr="006B4BE8">
        <w:rPr>
          <w:bCs/>
        </w:rPr>
        <w:t xml:space="preserve">). This indicates specific competition between </w:t>
      </w:r>
      <w:proofErr w:type="spellStart"/>
      <w:r w:rsidRPr="006B4BE8">
        <w:rPr>
          <w:bCs/>
        </w:rPr>
        <w:t>DnaA</w:t>
      </w:r>
      <w:proofErr w:type="spellEnd"/>
      <w:r w:rsidRPr="006B4BE8">
        <w:rPr>
          <w:bCs/>
        </w:rPr>
        <w:t xml:space="preserve"> and dCas9 for binding to </w:t>
      </w:r>
      <w:proofErr w:type="spellStart"/>
      <w:r w:rsidRPr="006B4BE8">
        <w:rPr>
          <w:bCs/>
        </w:rPr>
        <w:t>DnaA</w:t>
      </w:r>
      <w:proofErr w:type="spellEnd"/>
      <w:r w:rsidRPr="006B4BE8">
        <w:rPr>
          <w:bCs/>
        </w:rPr>
        <w:t xml:space="preserve"> boxes 6 and 7.</w:t>
      </w:r>
    </w:p>
    <w:p w14:paraId="3469F3A9" w14:textId="144F7CC7" w:rsidR="00DB6887" w:rsidRPr="00DB6887" w:rsidRDefault="006B4BE8" w:rsidP="00DB6887">
      <w:pPr>
        <w:rPr>
          <w:bCs/>
        </w:rPr>
      </w:pPr>
      <w:r w:rsidRPr="006B4BE8">
        <w:rPr>
          <w:bCs/>
        </w:rPr>
        <w:t>The formation of the dCas9-sgRNA</w:t>
      </w:r>
      <w:r w:rsidRPr="006B4BE8">
        <w:rPr>
          <w:bCs/>
          <w:vertAlign w:val="superscript"/>
        </w:rPr>
        <w:t>box6–7</w:t>
      </w:r>
      <w:r w:rsidRPr="006B4BE8">
        <w:rPr>
          <w:bCs/>
        </w:rPr>
        <w:t xml:space="preserve"> complex could specifically block the formation of </w:t>
      </w:r>
      <w:proofErr w:type="spellStart"/>
      <w:r w:rsidRPr="006B4BE8">
        <w:rPr>
          <w:bCs/>
        </w:rPr>
        <w:t>DnaA</w:t>
      </w:r>
      <w:proofErr w:type="spellEnd"/>
      <w:r w:rsidRPr="006B4BE8">
        <w:rPr>
          <w:bCs/>
        </w:rPr>
        <w:t xml:space="preserve"> filaments, preventing the opening of the replication bubble associated with initiation. These results confirm the high specificity of </w:t>
      </w:r>
      <w:proofErr w:type="spellStart"/>
      <w:r w:rsidRPr="006B4BE8">
        <w:rPr>
          <w:bCs/>
        </w:rPr>
        <w:t>DnaA</w:t>
      </w:r>
      <w:proofErr w:type="spellEnd"/>
      <w:r w:rsidRPr="006B4BE8">
        <w:rPr>
          <w:bCs/>
        </w:rPr>
        <w:t xml:space="preserve"> binding to boxes 6 and 7 and demonstrate the potential of the </w:t>
      </w:r>
      <w:proofErr w:type="spellStart"/>
      <w:r w:rsidRPr="006B4BE8">
        <w:rPr>
          <w:bCs/>
        </w:rPr>
        <w:t>CRISPRi</w:t>
      </w:r>
      <w:proofErr w:type="spellEnd"/>
      <w:r w:rsidRPr="006B4BE8">
        <w:rPr>
          <w:bCs/>
        </w:rPr>
        <w:t xml:space="preserve"> system to modulate critical steps in replication initiation, as previously reported (</w:t>
      </w:r>
      <w:hyperlink r:id="rId24" w:anchor="core-B16" w:history="1">
        <w:r w:rsidRPr="006B4BE8">
          <w:rPr>
            <w:rStyle w:val="Hyperlink"/>
            <w:bCs/>
          </w:rPr>
          <w:t>16</w:t>
        </w:r>
      </w:hyperlink>
      <w:r w:rsidRPr="006B4BE8">
        <w:rPr>
          <w:bCs/>
        </w:rPr>
        <w:t>).</w:t>
      </w:r>
    </w:p>
    <w:tbl>
      <w:tblPr>
        <w:tblW w:w="94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7"/>
      </w:tblGrid>
      <w:tr w:rsidR="00DB6887" w:rsidRPr="000B3121" w14:paraId="5A227B17" w14:textId="77777777" w:rsidTr="00B4211A">
        <w:trPr>
          <w:trHeight w:val="650"/>
        </w:trPr>
        <w:tc>
          <w:tcPr>
            <w:tcW w:w="9497" w:type="dxa"/>
            <w:tcBorders>
              <w:top w:val="single" w:sz="6" w:space="0" w:color="auto"/>
              <w:left w:val="single" w:sz="6" w:space="0" w:color="auto"/>
              <w:bottom w:val="single" w:sz="6" w:space="0" w:color="auto"/>
              <w:right w:val="single" w:sz="6" w:space="0" w:color="auto"/>
            </w:tcBorders>
            <w:shd w:val="clear" w:color="auto" w:fill="auto"/>
            <w:hideMark/>
          </w:tcPr>
          <w:p w14:paraId="5FB55DFA" w14:textId="77777777" w:rsidR="00DB6887" w:rsidRPr="000B3121" w:rsidRDefault="00DB6887" w:rsidP="00B4211A">
            <w:r>
              <w:rPr>
                <w:u w:val="single"/>
              </w:rPr>
              <w:t>Sugges</w:t>
            </w:r>
            <w:r w:rsidRPr="004727D6">
              <w:rPr>
                <w:u w:val="single"/>
              </w:rPr>
              <w:t>t</w:t>
            </w:r>
            <w:r>
              <w:rPr>
                <w:u w:val="single"/>
              </w:rPr>
              <w:t>ed improvements?</w:t>
            </w:r>
          </w:p>
          <w:p w14:paraId="4BE339E1" w14:textId="77777777" w:rsidR="00DB6887" w:rsidRDefault="00DB6887" w:rsidP="00B4211A"/>
          <w:p w14:paraId="4172548D" w14:textId="3D7A6759" w:rsidR="00DB6887" w:rsidRPr="000B3121" w:rsidRDefault="00DB6887" w:rsidP="00B4211A"/>
        </w:tc>
      </w:tr>
    </w:tbl>
    <w:p w14:paraId="77D90156" w14:textId="77777777" w:rsidR="00DB6887" w:rsidRDefault="00DB6887" w:rsidP="00DB6887">
      <w:pPr>
        <w:spacing w:after="0"/>
      </w:pPr>
    </w:p>
    <w:p w14:paraId="25B10D01" w14:textId="4A469A34" w:rsidR="006D3BCC" w:rsidRPr="00714EA4" w:rsidRDefault="006D3BCC" w:rsidP="006D3BCC">
      <w:pPr>
        <w:pStyle w:val="Heading3"/>
        <w:spacing w:before="0"/>
        <w:rPr>
          <w:u w:val="single"/>
        </w:rPr>
      </w:pPr>
      <w:r w:rsidRPr="00714EA4">
        <w:rPr>
          <w:u w:val="single"/>
        </w:rPr>
        <w:lastRenderedPageBreak/>
        <w:t xml:space="preserve">Exercise </w:t>
      </w:r>
      <w:r w:rsidR="00DB6887">
        <w:rPr>
          <w:u w:val="single"/>
        </w:rPr>
        <w:t>10</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7BBB7581" w:rsidR="00806EBA" w:rsidRDefault="00DB6887" w:rsidP="00806EBA">
      <w:r>
        <w:t xml:space="preserve">Look at your </w:t>
      </w:r>
      <w:r w:rsidRPr="00DB6887">
        <w:t>t</w:t>
      </w:r>
      <w:r>
        <w:t>hesis</w:t>
      </w:r>
      <w:r w:rsidR="00806EBA" w:rsidRPr="00806EBA">
        <w:t xml:space="preserve"> thus far </w:t>
      </w:r>
      <w:r w:rsidR="00806EBA">
        <w:t xml:space="preserve">(or any other piece of writing). </w:t>
      </w:r>
      <w:r w:rsidR="00806EBA" w:rsidRPr="00806EBA">
        <w:t xml:space="preserve">Go through it, and examine your </w:t>
      </w:r>
      <w:r>
        <w:t>narrative/whe</w:t>
      </w:r>
      <w:r w:rsidRPr="00DB6887">
        <w:t>t</w:t>
      </w:r>
      <w:r>
        <w:t>her you have described experimen</w:t>
      </w:r>
      <w:r w:rsidRPr="00DB6887">
        <w:t>t</w:t>
      </w:r>
      <w:r>
        <w:t>s in a logical order.</w:t>
      </w:r>
      <w:r w:rsidR="00806EBA">
        <w:t xml:space="preserve"> </w:t>
      </w:r>
      <w:r w:rsidR="00806EBA" w:rsidRPr="00806EBA">
        <w:t>Consider how your writing can be improved and make the appropriate edits</w:t>
      </w:r>
      <w:r w:rsidR="00806EBA">
        <w:t>.</w:t>
      </w:r>
    </w:p>
    <w:p w14:paraId="02811CED" w14:textId="77777777" w:rsidR="004F6BD3" w:rsidRPr="004F6BD3" w:rsidRDefault="004F6BD3" w:rsidP="004F6BD3"/>
    <w:p w14:paraId="310406D5" w14:textId="77777777" w:rsidR="00156FFD" w:rsidRDefault="00156FFD" w:rsidP="00156FFD">
      <w:pPr>
        <w:pStyle w:val="Heading3"/>
      </w:pPr>
      <w:r>
        <w:t>References</w:t>
      </w:r>
    </w:p>
    <w:p w14:paraId="3B56927E" w14:textId="77777777" w:rsidR="00DB6887" w:rsidRPr="00112F01" w:rsidRDefault="00DB6887" w:rsidP="00DB6887">
      <w:pPr>
        <w:pStyle w:val="paragraph"/>
        <w:numPr>
          <w:ilvl w:val="0"/>
          <w:numId w:val="3"/>
        </w:numPr>
        <w:textAlignment w:val="baseline"/>
        <w:rPr>
          <w:rFonts w:ascii="Arial" w:hAnsi="Arial" w:cs="Arial"/>
          <w:sz w:val="20"/>
          <w:szCs w:val="20"/>
        </w:rPr>
      </w:pPr>
      <w:proofErr w:type="spellStart"/>
      <w:r w:rsidRPr="00112F01">
        <w:rPr>
          <w:rFonts w:ascii="Arial" w:hAnsi="Arial" w:cs="Arial"/>
          <w:sz w:val="20"/>
          <w:szCs w:val="20"/>
        </w:rPr>
        <w:t>Tschowri</w:t>
      </w:r>
      <w:proofErr w:type="spellEnd"/>
      <w:r w:rsidRPr="00112F01">
        <w:rPr>
          <w:rFonts w:ascii="Arial" w:hAnsi="Arial" w:cs="Arial"/>
          <w:sz w:val="20"/>
          <w:szCs w:val="20"/>
        </w:rPr>
        <w:t xml:space="preserve"> N, Schumacher MA, </w:t>
      </w:r>
      <w:proofErr w:type="spellStart"/>
      <w:r w:rsidRPr="00112F01">
        <w:rPr>
          <w:rFonts w:ascii="Arial" w:hAnsi="Arial" w:cs="Arial"/>
          <w:sz w:val="20"/>
          <w:szCs w:val="20"/>
        </w:rPr>
        <w:t>Schlimpert</w:t>
      </w:r>
      <w:proofErr w:type="spellEnd"/>
      <w:r w:rsidRPr="00112F01">
        <w:rPr>
          <w:rFonts w:ascii="Arial" w:hAnsi="Arial" w:cs="Arial"/>
          <w:sz w:val="20"/>
          <w:szCs w:val="20"/>
        </w:rPr>
        <w:t xml:space="preserve"> S, et al. Tetrameric c-di-GMP mediates effective transcription factor dimerization to control </w:t>
      </w:r>
      <w:r w:rsidRPr="00DB6887">
        <w:rPr>
          <w:rFonts w:ascii="Arial" w:hAnsi="Arial" w:cs="Arial"/>
          <w:i/>
          <w:sz w:val="20"/>
          <w:szCs w:val="20"/>
        </w:rPr>
        <w:t>Streptomyces</w:t>
      </w:r>
      <w:r w:rsidRPr="00112F01">
        <w:rPr>
          <w:rFonts w:ascii="Arial" w:hAnsi="Arial" w:cs="Arial"/>
          <w:sz w:val="20"/>
          <w:szCs w:val="20"/>
        </w:rPr>
        <w:t xml:space="preserve"> development. </w:t>
      </w:r>
      <w:r w:rsidRPr="00DB6887">
        <w:rPr>
          <w:rFonts w:ascii="Arial" w:hAnsi="Arial" w:cs="Arial"/>
          <w:i/>
          <w:sz w:val="20"/>
          <w:szCs w:val="20"/>
        </w:rPr>
        <w:t>Cell.</w:t>
      </w:r>
      <w:r w:rsidRPr="00112F01">
        <w:rPr>
          <w:rFonts w:ascii="Arial" w:hAnsi="Arial" w:cs="Arial"/>
          <w:sz w:val="20"/>
          <w:szCs w:val="20"/>
        </w:rPr>
        <w:t xml:space="preserve"> 2014;158(5):1136-1147.</w:t>
      </w:r>
    </w:p>
    <w:p w14:paraId="361C37C1" w14:textId="0BE8D352" w:rsidR="00372EA4" w:rsidRDefault="003C793F" w:rsidP="003C793F">
      <w:pPr>
        <w:pStyle w:val="paragraph"/>
        <w:numPr>
          <w:ilvl w:val="0"/>
          <w:numId w:val="3"/>
        </w:numPr>
        <w:textAlignment w:val="baseline"/>
        <w:rPr>
          <w:rFonts w:ascii="Arial" w:eastAsiaTheme="majorEastAsia" w:hAnsi="Arial" w:cs="Arial"/>
          <w:sz w:val="20"/>
          <w:szCs w:val="20"/>
        </w:rPr>
      </w:pPr>
      <w:r w:rsidRPr="003C793F">
        <w:rPr>
          <w:rFonts w:ascii="Arial" w:eastAsiaTheme="majorEastAsia" w:hAnsi="Arial" w:cs="Arial"/>
          <w:sz w:val="20"/>
          <w:szCs w:val="20"/>
        </w:rPr>
        <w:t xml:space="preserve">Thomason, L. C., &amp; Court, D. L. (2022). Study of Ren, </w:t>
      </w:r>
      <w:proofErr w:type="spellStart"/>
      <w:r w:rsidRPr="003C793F">
        <w:rPr>
          <w:rFonts w:ascii="Arial" w:eastAsiaTheme="majorEastAsia" w:hAnsi="Arial" w:cs="Arial"/>
          <w:sz w:val="20"/>
          <w:szCs w:val="20"/>
        </w:rPr>
        <w:t>RexA</w:t>
      </w:r>
      <w:proofErr w:type="spellEnd"/>
      <w:r w:rsidRPr="003C793F">
        <w:rPr>
          <w:rFonts w:ascii="Arial" w:eastAsiaTheme="majorEastAsia" w:hAnsi="Arial" w:cs="Arial"/>
          <w:sz w:val="20"/>
          <w:szCs w:val="20"/>
        </w:rPr>
        <w:t xml:space="preserve">, and </w:t>
      </w:r>
      <w:proofErr w:type="spellStart"/>
      <w:r w:rsidRPr="003C793F">
        <w:rPr>
          <w:rFonts w:ascii="Arial" w:eastAsiaTheme="majorEastAsia" w:hAnsi="Arial" w:cs="Arial"/>
          <w:sz w:val="20"/>
          <w:szCs w:val="20"/>
        </w:rPr>
        <w:t>RexB</w:t>
      </w:r>
      <w:proofErr w:type="spellEnd"/>
      <w:r w:rsidRPr="003C793F">
        <w:rPr>
          <w:rFonts w:ascii="Arial" w:eastAsiaTheme="majorEastAsia" w:hAnsi="Arial" w:cs="Arial"/>
          <w:sz w:val="20"/>
          <w:szCs w:val="20"/>
        </w:rPr>
        <w:t xml:space="preserve"> Functions Provides Insight </w:t>
      </w:r>
      <w:proofErr w:type="gramStart"/>
      <w:r w:rsidRPr="003C793F">
        <w:rPr>
          <w:rFonts w:ascii="Arial" w:eastAsiaTheme="majorEastAsia" w:hAnsi="Arial" w:cs="Arial"/>
          <w:sz w:val="20"/>
          <w:szCs w:val="20"/>
        </w:rPr>
        <w:t>Into</w:t>
      </w:r>
      <w:proofErr w:type="gramEnd"/>
      <w:r w:rsidRPr="003C793F">
        <w:rPr>
          <w:rFonts w:ascii="Arial" w:eastAsiaTheme="majorEastAsia" w:hAnsi="Arial" w:cs="Arial"/>
          <w:sz w:val="20"/>
          <w:szCs w:val="20"/>
        </w:rPr>
        <w:t xml:space="preserve"> the Complex Interaction Between Bacteriophage λ and Its Host, </w:t>
      </w:r>
      <w:r w:rsidRPr="00DB6887">
        <w:rPr>
          <w:rFonts w:ascii="Arial" w:eastAsiaTheme="majorEastAsia" w:hAnsi="Arial" w:cs="Arial"/>
          <w:i/>
          <w:sz w:val="20"/>
          <w:szCs w:val="20"/>
        </w:rPr>
        <w:t>Escherichia coli</w:t>
      </w:r>
      <w:r w:rsidRPr="003C793F">
        <w:rPr>
          <w:rFonts w:ascii="Arial" w:eastAsiaTheme="majorEastAsia" w:hAnsi="Arial" w:cs="Arial"/>
          <w:sz w:val="20"/>
          <w:szCs w:val="20"/>
        </w:rPr>
        <w:t>. </w:t>
      </w:r>
      <w:r w:rsidRPr="003C793F">
        <w:rPr>
          <w:rFonts w:ascii="Arial" w:eastAsiaTheme="majorEastAsia" w:hAnsi="Arial" w:cs="Arial"/>
          <w:i/>
          <w:iCs/>
          <w:sz w:val="20"/>
          <w:szCs w:val="20"/>
        </w:rPr>
        <w:t>PHAGE</w:t>
      </w:r>
      <w:r w:rsidRPr="003C793F">
        <w:rPr>
          <w:rFonts w:ascii="Arial" w:eastAsiaTheme="majorEastAsia" w:hAnsi="Arial" w:cs="Arial"/>
          <w:sz w:val="20"/>
          <w:szCs w:val="20"/>
        </w:rPr>
        <w:t>, </w:t>
      </w:r>
      <w:r w:rsidRPr="003C793F">
        <w:rPr>
          <w:rFonts w:ascii="Arial" w:eastAsiaTheme="majorEastAsia" w:hAnsi="Arial" w:cs="Arial"/>
          <w:i/>
          <w:iCs/>
          <w:sz w:val="20"/>
          <w:szCs w:val="20"/>
        </w:rPr>
        <w:t>3</w:t>
      </w:r>
      <w:r w:rsidRPr="003C793F">
        <w:rPr>
          <w:rFonts w:ascii="Arial" w:eastAsiaTheme="majorEastAsia" w:hAnsi="Arial" w:cs="Arial"/>
          <w:sz w:val="20"/>
          <w:szCs w:val="20"/>
        </w:rPr>
        <w:t>(3), 153–164. </w:t>
      </w:r>
      <w:r w:rsidR="006B4BE8" w:rsidRPr="00DB6887">
        <w:rPr>
          <w:rFonts w:ascii="Arial" w:eastAsiaTheme="majorEastAsia" w:hAnsi="Arial" w:cs="Arial"/>
          <w:sz w:val="20"/>
          <w:szCs w:val="20"/>
        </w:rPr>
        <w:t>https://doi.org/10.1089/phage.2022.0020</w:t>
      </w:r>
    </w:p>
    <w:p w14:paraId="22D8D9D8" w14:textId="07AF0E0E" w:rsidR="00DB6887" w:rsidRDefault="00DB6887" w:rsidP="003C793F">
      <w:pPr>
        <w:pStyle w:val="paragraph"/>
        <w:numPr>
          <w:ilvl w:val="0"/>
          <w:numId w:val="3"/>
        </w:numPr>
        <w:textAlignment w:val="baseline"/>
        <w:rPr>
          <w:rFonts w:ascii="Arial" w:eastAsiaTheme="majorEastAsia" w:hAnsi="Arial" w:cs="Arial"/>
          <w:sz w:val="20"/>
          <w:szCs w:val="20"/>
        </w:rPr>
      </w:pPr>
      <w:r w:rsidRPr="00DB6887">
        <w:rPr>
          <w:rFonts w:ascii="Arial" w:eastAsiaTheme="majorEastAsia" w:hAnsi="Arial" w:cs="Arial"/>
          <w:sz w:val="20"/>
          <w:szCs w:val="20"/>
        </w:rPr>
        <w:t xml:space="preserve">Hajj, S. E., Henry, C., </w:t>
      </w:r>
      <w:proofErr w:type="spellStart"/>
      <w:r w:rsidRPr="00DB6887">
        <w:rPr>
          <w:rFonts w:ascii="Arial" w:eastAsiaTheme="majorEastAsia" w:hAnsi="Arial" w:cs="Arial"/>
          <w:sz w:val="20"/>
          <w:szCs w:val="20"/>
        </w:rPr>
        <w:t>Andrieu</w:t>
      </w:r>
      <w:proofErr w:type="spellEnd"/>
      <w:r w:rsidRPr="00DB6887">
        <w:rPr>
          <w:rFonts w:ascii="Arial" w:eastAsiaTheme="majorEastAsia" w:hAnsi="Arial" w:cs="Arial"/>
          <w:sz w:val="20"/>
          <w:szCs w:val="20"/>
        </w:rPr>
        <w:t xml:space="preserve">, C., </w:t>
      </w:r>
      <w:proofErr w:type="spellStart"/>
      <w:r w:rsidRPr="00DB6887">
        <w:rPr>
          <w:rFonts w:ascii="Arial" w:eastAsiaTheme="majorEastAsia" w:hAnsi="Arial" w:cs="Arial"/>
          <w:sz w:val="20"/>
          <w:szCs w:val="20"/>
        </w:rPr>
        <w:t>Vergnes</w:t>
      </w:r>
      <w:proofErr w:type="spellEnd"/>
      <w:r w:rsidRPr="00DB6887">
        <w:rPr>
          <w:rFonts w:ascii="Arial" w:eastAsiaTheme="majorEastAsia" w:hAnsi="Arial" w:cs="Arial"/>
          <w:sz w:val="20"/>
          <w:szCs w:val="20"/>
        </w:rPr>
        <w:t xml:space="preserve">, A., </w:t>
      </w:r>
      <w:proofErr w:type="spellStart"/>
      <w:r w:rsidRPr="00DB6887">
        <w:rPr>
          <w:rFonts w:ascii="Arial" w:eastAsiaTheme="majorEastAsia" w:hAnsi="Arial" w:cs="Arial"/>
          <w:sz w:val="20"/>
          <w:szCs w:val="20"/>
        </w:rPr>
        <w:t>Loiseau</w:t>
      </w:r>
      <w:proofErr w:type="spellEnd"/>
      <w:r w:rsidRPr="00DB6887">
        <w:rPr>
          <w:rFonts w:ascii="Arial" w:eastAsiaTheme="majorEastAsia" w:hAnsi="Arial" w:cs="Arial"/>
          <w:sz w:val="20"/>
          <w:szCs w:val="20"/>
        </w:rPr>
        <w:t xml:space="preserve">, L., Brasseur, G., </w:t>
      </w:r>
      <w:proofErr w:type="spellStart"/>
      <w:r w:rsidRPr="00DB6887">
        <w:rPr>
          <w:rFonts w:ascii="Arial" w:eastAsiaTheme="majorEastAsia" w:hAnsi="Arial" w:cs="Arial"/>
          <w:sz w:val="20"/>
          <w:szCs w:val="20"/>
        </w:rPr>
        <w:t>Barré</w:t>
      </w:r>
      <w:proofErr w:type="spellEnd"/>
      <w:r w:rsidRPr="00DB6887">
        <w:rPr>
          <w:rFonts w:ascii="Arial" w:eastAsiaTheme="majorEastAsia" w:hAnsi="Arial" w:cs="Arial"/>
          <w:sz w:val="20"/>
          <w:szCs w:val="20"/>
        </w:rPr>
        <w:t xml:space="preserve">, R., </w:t>
      </w:r>
      <w:proofErr w:type="spellStart"/>
      <w:r w:rsidRPr="00DB6887">
        <w:rPr>
          <w:rFonts w:ascii="Arial" w:eastAsiaTheme="majorEastAsia" w:hAnsi="Arial" w:cs="Arial"/>
          <w:sz w:val="20"/>
          <w:szCs w:val="20"/>
        </w:rPr>
        <w:t>Aussel</w:t>
      </w:r>
      <w:proofErr w:type="spellEnd"/>
      <w:r w:rsidRPr="00DB6887">
        <w:rPr>
          <w:rFonts w:ascii="Arial" w:eastAsiaTheme="majorEastAsia" w:hAnsi="Arial" w:cs="Arial"/>
          <w:sz w:val="20"/>
          <w:szCs w:val="20"/>
        </w:rPr>
        <w:t xml:space="preserve">, L., &amp; </w:t>
      </w:r>
      <w:proofErr w:type="spellStart"/>
      <w:r w:rsidRPr="00DB6887">
        <w:rPr>
          <w:rFonts w:ascii="Arial" w:eastAsiaTheme="majorEastAsia" w:hAnsi="Arial" w:cs="Arial"/>
          <w:sz w:val="20"/>
          <w:szCs w:val="20"/>
        </w:rPr>
        <w:t>Ezraty</w:t>
      </w:r>
      <w:proofErr w:type="spellEnd"/>
      <w:r w:rsidRPr="00DB6887">
        <w:rPr>
          <w:rFonts w:ascii="Arial" w:eastAsiaTheme="majorEastAsia" w:hAnsi="Arial" w:cs="Arial"/>
          <w:sz w:val="20"/>
          <w:szCs w:val="20"/>
        </w:rPr>
        <w:t xml:space="preserve">, B. (2022). </w:t>
      </w:r>
      <w:proofErr w:type="spellStart"/>
      <w:r w:rsidRPr="00DB6887">
        <w:rPr>
          <w:rFonts w:ascii="Arial" w:eastAsiaTheme="majorEastAsia" w:hAnsi="Arial" w:cs="Arial"/>
          <w:sz w:val="20"/>
          <w:szCs w:val="20"/>
        </w:rPr>
        <w:t>HprSR</w:t>
      </w:r>
      <w:proofErr w:type="spellEnd"/>
      <w:r w:rsidRPr="00DB6887">
        <w:rPr>
          <w:rFonts w:ascii="Arial" w:eastAsiaTheme="majorEastAsia" w:hAnsi="Arial" w:cs="Arial"/>
          <w:sz w:val="20"/>
          <w:szCs w:val="20"/>
        </w:rPr>
        <w:t xml:space="preserve"> Is a Reactive Chlorine Species-Sensing, Two-Component System in Escherichia coli. </w:t>
      </w:r>
      <w:r w:rsidRPr="00DB6887">
        <w:rPr>
          <w:rFonts w:ascii="Arial" w:eastAsiaTheme="majorEastAsia" w:hAnsi="Arial" w:cs="Arial"/>
          <w:i/>
          <w:iCs/>
          <w:sz w:val="20"/>
          <w:szCs w:val="20"/>
        </w:rPr>
        <w:t>Journal of Bacteriology</w:t>
      </w:r>
      <w:r w:rsidRPr="00DB6887">
        <w:rPr>
          <w:rFonts w:ascii="Arial" w:eastAsiaTheme="majorEastAsia" w:hAnsi="Arial" w:cs="Arial"/>
          <w:sz w:val="20"/>
          <w:szCs w:val="20"/>
        </w:rPr>
        <w:t>, </w:t>
      </w:r>
      <w:r w:rsidRPr="00DB6887">
        <w:rPr>
          <w:rFonts w:ascii="Arial" w:eastAsiaTheme="majorEastAsia" w:hAnsi="Arial" w:cs="Arial"/>
          <w:i/>
          <w:iCs/>
          <w:sz w:val="20"/>
          <w:szCs w:val="20"/>
        </w:rPr>
        <w:t>204</w:t>
      </w:r>
      <w:r w:rsidRPr="00DB6887">
        <w:rPr>
          <w:rFonts w:ascii="Arial" w:eastAsiaTheme="majorEastAsia" w:hAnsi="Arial" w:cs="Arial"/>
          <w:sz w:val="20"/>
          <w:szCs w:val="20"/>
        </w:rPr>
        <w:t>(2). https://doi.org/10.1128/jb.00449-21</w:t>
      </w:r>
    </w:p>
    <w:p w14:paraId="2B917FFC" w14:textId="047CAA95" w:rsidR="006B4BE8" w:rsidRPr="00F73F28" w:rsidRDefault="006B4BE8" w:rsidP="003C793F">
      <w:pPr>
        <w:pStyle w:val="paragraph"/>
        <w:numPr>
          <w:ilvl w:val="0"/>
          <w:numId w:val="3"/>
        </w:numPr>
        <w:textAlignment w:val="baseline"/>
        <w:rPr>
          <w:rFonts w:ascii="Arial" w:eastAsiaTheme="majorEastAsia" w:hAnsi="Arial" w:cs="Arial"/>
          <w:sz w:val="20"/>
          <w:szCs w:val="20"/>
        </w:rPr>
      </w:pPr>
      <w:r w:rsidRPr="006B4BE8">
        <w:rPr>
          <w:rFonts w:ascii="Arial" w:eastAsiaTheme="majorEastAsia" w:hAnsi="Arial" w:cs="Arial"/>
          <w:sz w:val="20"/>
          <w:szCs w:val="20"/>
        </w:rPr>
        <w:t xml:space="preserve">Muñoz-Gutierrez, V., Cornejo, F. A., Schmidt, K., </w:t>
      </w:r>
      <w:proofErr w:type="spellStart"/>
      <w:r w:rsidRPr="006B4BE8">
        <w:rPr>
          <w:rFonts w:ascii="Arial" w:eastAsiaTheme="majorEastAsia" w:hAnsi="Arial" w:cs="Arial"/>
          <w:sz w:val="20"/>
          <w:szCs w:val="20"/>
        </w:rPr>
        <w:t>Frese</w:t>
      </w:r>
      <w:proofErr w:type="spellEnd"/>
      <w:r w:rsidRPr="006B4BE8">
        <w:rPr>
          <w:rFonts w:ascii="Arial" w:eastAsiaTheme="majorEastAsia" w:hAnsi="Arial" w:cs="Arial"/>
          <w:sz w:val="20"/>
          <w:szCs w:val="20"/>
        </w:rPr>
        <w:t xml:space="preserve">, C. K., </w:t>
      </w:r>
      <w:proofErr w:type="spellStart"/>
      <w:r w:rsidRPr="006B4BE8">
        <w:rPr>
          <w:rFonts w:ascii="Arial" w:eastAsiaTheme="majorEastAsia" w:hAnsi="Arial" w:cs="Arial"/>
          <w:sz w:val="20"/>
          <w:szCs w:val="20"/>
        </w:rPr>
        <w:t>Halte</w:t>
      </w:r>
      <w:proofErr w:type="spellEnd"/>
      <w:r w:rsidRPr="006B4BE8">
        <w:rPr>
          <w:rFonts w:ascii="Arial" w:eastAsiaTheme="majorEastAsia" w:hAnsi="Arial" w:cs="Arial"/>
          <w:sz w:val="20"/>
          <w:szCs w:val="20"/>
        </w:rPr>
        <w:t xml:space="preserve">, M., </w:t>
      </w:r>
      <w:proofErr w:type="spellStart"/>
      <w:r w:rsidRPr="006B4BE8">
        <w:rPr>
          <w:rFonts w:ascii="Arial" w:eastAsiaTheme="majorEastAsia" w:hAnsi="Arial" w:cs="Arial"/>
          <w:sz w:val="20"/>
          <w:szCs w:val="20"/>
        </w:rPr>
        <w:t>Erhardt</w:t>
      </w:r>
      <w:proofErr w:type="spellEnd"/>
      <w:r w:rsidRPr="006B4BE8">
        <w:rPr>
          <w:rFonts w:ascii="Arial" w:eastAsiaTheme="majorEastAsia" w:hAnsi="Arial" w:cs="Arial"/>
          <w:sz w:val="20"/>
          <w:szCs w:val="20"/>
        </w:rPr>
        <w:t xml:space="preserve">, M., </w:t>
      </w:r>
      <w:proofErr w:type="spellStart"/>
      <w:r w:rsidRPr="006B4BE8">
        <w:rPr>
          <w:rFonts w:ascii="Arial" w:eastAsiaTheme="majorEastAsia" w:hAnsi="Arial" w:cs="Arial"/>
          <w:sz w:val="20"/>
          <w:szCs w:val="20"/>
        </w:rPr>
        <w:t>Elsholz</w:t>
      </w:r>
      <w:proofErr w:type="spellEnd"/>
      <w:r w:rsidRPr="006B4BE8">
        <w:rPr>
          <w:rFonts w:ascii="Arial" w:eastAsiaTheme="majorEastAsia" w:hAnsi="Arial" w:cs="Arial"/>
          <w:sz w:val="20"/>
          <w:szCs w:val="20"/>
        </w:rPr>
        <w:t xml:space="preserve">, A. K. W., </w:t>
      </w:r>
      <w:proofErr w:type="spellStart"/>
      <w:r w:rsidRPr="006B4BE8">
        <w:rPr>
          <w:rFonts w:ascii="Arial" w:eastAsiaTheme="majorEastAsia" w:hAnsi="Arial" w:cs="Arial"/>
          <w:sz w:val="20"/>
          <w:szCs w:val="20"/>
        </w:rPr>
        <w:t>Turgay</w:t>
      </w:r>
      <w:proofErr w:type="spellEnd"/>
      <w:r w:rsidRPr="006B4BE8">
        <w:rPr>
          <w:rFonts w:ascii="Arial" w:eastAsiaTheme="majorEastAsia" w:hAnsi="Arial" w:cs="Arial"/>
          <w:sz w:val="20"/>
          <w:szCs w:val="20"/>
        </w:rPr>
        <w:t xml:space="preserve">, K., &amp; </w:t>
      </w:r>
      <w:proofErr w:type="spellStart"/>
      <w:r w:rsidRPr="006B4BE8">
        <w:rPr>
          <w:rFonts w:ascii="Arial" w:eastAsiaTheme="majorEastAsia" w:hAnsi="Arial" w:cs="Arial"/>
          <w:sz w:val="20"/>
          <w:szCs w:val="20"/>
        </w:rPr>
        <w:t>Charpentier</w:t>
      </w:r>
      <w:proofErr w:type="spellEnd"/>
      <w:r w:rsidRPr="006B4BE8">
        <w:rPr>
          <w:rFonts w:ascii="Arial" w:eastAsiaTheme="majorEastAsia" w:hAnsi="Arial" w:cs="Arial"/>
          <w:sz w:val="20"/>
          <w:szCs w:val="20"/>
        </w:rPr>
        <w:t xml:space="preserve">, E. (2024). </w:t>
      </w:r>
      <w:r w:rsidRPr="00DB6887">
        <w:rPr>
          <w:rFonts w:ascii="Arial" w:eastAsiaTheme="majorEastAsia" w:hAnsi="Arial" w:cs="Arial"/>
          <w:i/>
          <w:sz w:val="20"/>
          <w:szCs w:val="20"/>
        </w:rPr>
        <w:t>Bacillus subtilis</w:t>
      </w:r>
      <w:r w:rsidRPr="006B4BE8">
        <w:rPr>
          <w:rFonts w:ascii="Arial" w:eastAsiaTheme="majorEastAsia" w:hAnsi="Arial" w:cs="Arial"/>
          <w:sz w:val="20"/>
          <w:szCs w:val="20"/>
        </w:rPr>
        <w:t xml:space="preserve"> remains translationally active after </w:t>
      </w:r>
      <w:proofErr w:type="spellStart"/>
      <w:r w:rsidRPr="006B4BE8">
        <w:rPr>
          <w:rFonts w:ascii="Arial" w:eastAsiaTheme="majorEastAsia" w:hAnsi="Arial" w:cs="Arial"/>
          <w:sz w:val="20"/>
          <w:szCs w:val="20"/>
        </w:rPr>
        <w:t>CRISPRi</w:t>
      </w:r>
      <w:proofErr w:type="spellEnd"/>
      <w:r w:rsidRPr="006B4BE8">
        <w:rPr>
          <w:rFonts w:ascii="Arial" w:eastAsiaTheme="majorEastAsia" w:hAnsi="Arial" w:cs="Arial"/>
          <w:sz w:val="20"/>
          <w:szCs w:val="20"/>
        </w:rPr>
        <w:t>-mediated replication initiation arrest. </w:t>
      </w:r>
      <w:r w:rsidRPr="006B4BE8">
        <w:rPr>
          <w:rFonts w:ascii="Arial" w:eastAsiaTheme="majorEastAsia" w:hAnsi="Arial" w:cs="Arial"/>
          <w:i/>
          <w:iCs/>
          <w:sz w:val="20"/>
          <w:szCs w:val="20"/>
        </w:rPr>
        <w:t>mSystems</w:t>
      </w:r>
      <w:r w:rsidRPr="006B4BE8">
        <w:rPr>
          <w:rFonts w:ascii="Arial" w:eastAsiaTheme="majorEastAsia" w:hAnsi="Arial" w:cs="Arial"/>
          <w:sz w:val="20"/>
          <w:szCs w:val="20"/>
        </w:rPr>
        <w:t>, </w:t>
      </w:r>
      <w:r w:rsidRPr="006B4BE8">
        <w:rPr>
          <w:rFonts w:ascii="Arial" w:eastAsiaTheme="majorEastAsia" w:hAnsi="Arial" w:cs="Arial"/>
          <w:i/>
          <w:iCs/>
          <w:sz w:val="20"/>
          <w:szCs w:val="20"/>
        </w:rPr>
        <w:t>9</w:t>
      </w:r>
      <w:r w:rsidRPr="006B4BE8">
        <w:rPr>
          <w:rFonts w:ascii="Arial" w:eastAsiaTheme="majorEastAsia" w:hAnsi="Arial" w:cs="Arial"/>
          <w:sz w:val="20"/>
          <w:szCs w:val="20"/>
        </w:rPr>
        <w:t>(4). https://doi.org/10.1128/msystems.00221-24</w:t>
      </w:r>
    </w:p>
    <w:sectPr w:rsidR="006B4BE8"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D86"/>
    <w:multiLevelType w:val="hybridMultilevel"/>
    <w:tmpl w:val="1DBAD4FC"/>
    <w:lvl w:ilvl="0" w:tplc="C4E4E300">
      <w:start w:val="2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D48D7"/>
    <w:multiLevelType w:val="hybridMultilevel"/>
    <w:tmpl w:val="6820F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8"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9"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abstractNum w:abstractNumId="10" w15:restartNumberingAfterBreak="0">
    <w:nsid w:val="6F222FB4"/>
    <w:multiLevelType w:val="hybridMultilevel"/>
    <w:tmpl w:val="A642C4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2D535F"/>
    <w:multiLevelType w:val="hybridMultilevel"/>
    <w:tmpl w:val="2480B63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4"/>
  </w:num>
  <w:num w:numId="5">
    <w:abstractNumId w:val="1"/>
  </w:num>
  <w:num w:numId="6">
    <w:abstractNumId w:val="6"/>
  </w:num>
  <w:num w:numId="7">
    <w:abstractNumId w:val="5"/>
  </w:num>
  <w:num w:numId="8">
    <w:abstractNumId w:val="8"/>
  </w:num>
  <w:num w:numId="9">
    <w:abstractNumId w:val="0"/>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E8"/>
    <w:rsid w:val="00010E3A"/>
    <w:rsid w:val="0006051A"/>
    <w:rsid w:val="00083F34"/>
    <w:rsid w:val="000A7DDE"/>
    <w:rsid w:val="000B3121"/>
    <w:rsid w:val="000C2AE8"/>
    <w:rsid w:val="000F0A8B"/>
    <w:rsid w:val="00112F01"/>
    <w:rsid w:val="00156FFD"/>
    <w:rsid w:val="00174C5A"/>
    <w:rsid w:val="00183079"/>
    <w:rsid w:val="001A6A63"/>
    <w:rsid w:val="00212AEE"/>
    <w:rsid w:val="002C3CD4"/>
    <w:rsid w:val="0034372C"/>
    <w:rsid w:val="003714FD"/>
    <w:rsid w:val="00372EA4"/>
    <w:rsid w:val="00376F05"/>
    <w:rsid w:val="00391E3E"/>
    <w:rsid w:val="00396FC3"/>
    <w:rsid w:val="00397530"/>
    <w:rsid w:val="003C793F"/>
    <w:rsid w:val="00456A62"/>
    <w:rsid w:val="004727D6"/>
    <w:rsid w:val="0049285A"/>
    <w:rsid w:val="00492F55"/>
    <w:rsid w:val="004A3A79"/>
    <w:rsid w:val="004F6BD3"/>
    <w:rsid w:val="00512CCD"/>
    <w:rsid w:val="0051399C"/>
    <w:rsid w:val="005166D0"/>
    <w:rsid w:val="00606034"/>
    <w:rsid w:val="006848F2"/>
    <w:rsid w:val="006B4BE8"/>
    <w:rsid w:val="006D3BCC"/>
    <w:rsid w:val="006E7748"/>
    <w:rsid w:val="00714EA4"/>
    <w:rsid w:val="0074467A"/>
    <w:rsid w:val="007731CA"/>
    <w:rsid w:val="0077397D"/>
    <w:rsid w:val="00806EBA"/>
    <w:rsid w:val="00820B14"/>
    <w:rsid w:val="00857E69"/>
    <w:rsid w:val="00867C9A"/>
    <w:rsid w:val="008744B6"/>
    <w:rsid w:val="0087701C"/>
    <w:rsid w:val="008A04D9"/>
    <w:rsid w:val="0091168C"/>
    <w:rsid w:val="009A4DB2"/>
    <w:rsid w:val="009A67E2"/>
    <w:rsid w:val="009C62D0"/>
    <w:rsid w:val="009D29D9"/>
    <w:rsid w:val="00A353FE"/>
    <w:rsid w:val="00AA0413"/>
    <w:rsid w:val="00B16F24"/>
    <w:rsid w:val="00B416DE"/>
    <w:rsid w:val="00B82D0F"/>
    <w:rsid w:val="00BB76DF"/>
    <w:rsid w:val="00BE32B1"/>
    <w:rsid w:val="00C07FB7"/>
    <w:rsid w:val="00CB1EFB"/>
    <w:rsid w:val="00CB728F"/>
    <w:rsid w:val="00CD448E"/>
    <w:rsid w:val="00D44AFE"/>
    <w:rsid w:val="00D64122"/>
    <w:rsid w:val="00D70430"/>
    <w:rsid w:val="00DB6887"/>
    <w:rsid w:val="00DC669C"/>
    <w:rsid w:val="00DD2F34"/>
    <w:rsid w:val="00DF01B5"/>
    <w:rsid w:val="00DF691A"/>
    <w:rsid w:val="00E02E40"/>
    <w:rsid w:val="00E37704"/>
    <w:rsid w:val="00E851B1"/>
    <w:rsid w:val="00E863CF"/>
    <w:rsid w:val="00F028DC"/>
    <w:rsid w:val="00F24624"/>
    <w:rsid w:val="00F7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
    <w:name w:val="Unresolved Mention"/>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E863CF"/>
  </w:style>
  <w:style w:type="character" w:styleId="Strong">
    <w:name w:val="Strong"/>
    <w:basedOn w:val="DefaultParagraphFont"/>
    <w:uiPriority w:val="22"/>
    <w:qFormat/>
    <w:rsid w:val="000A7DDE"/>
    <w:rPr>
      <w:b/>
      <w:bCs/>
    </w:rPr>
  </w:style>
  <w:style w:type="character" w:styleId="Emphasis">
    <w:name w:val="Emphasis"/>
    <w:basedOn w:val="DefaultParagraphFont"/>
    <w:uiPriority w:val="20"/>
    <w:qFormat/>
    <w:rsid w:val="000A7D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45561412">
      <w:bodyDiv w:val="1"/>
      <w:marLeft w:val="0"/>
      <w:marRight w:val="0"/>
      <w:marTop w:val="0"/>
      <w:marBottom w:val="0"/>
      <w:divBdr>
        <w:top w:val="none" w:sz="0" w:space="0" w:color="auto"/>
        <w:left w:val="none" w:sz="0" w:space="0" w:color="auto"/>
        <w:bottom w:val="none" w:sz="0" w:space="0" w:color="auto"/>
        <w:right w:val="none" w:sz="0" w:space="0" w:color="auto"/>
      </w:divBdr>
    </w:div>
    <w:div w:id="173804200">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484856527">
      <w:bodyDiv w:val="1"/>
      <w:marLeft w:val="0"/>
      <w:marRight w:val="0"/>
      <w:marTop w:val="0"/>
      <w:marBottom w:val="0"/>
      <w:divBdr>
        <w:top w:val="none" w:sz="0" w:space="0" w:color="auto"/>
        <w:left w:val="none" w:sz="0" w:space="0" w:color="auto"/>
        <w:bottom w:val="none" w:sz="0" w:space="0" w:color="auto"/>
        <w:right w:val="none" w:sz="0" w:space="0" w:color="auto"/>
      </w:divBdr>
    </w:div>
    <w:div w:id="484977196">
      <w:bodyDiv w:val="1"/>
      <w:marLeft w:val="0"/>
      <w:marRight w:val="0"/>
      <w:marTop w:val="0"/>
      <w:marBottom w:val="0"/>
      <w:divBdr>
        <w:top w:val="none" w:sz="0" w:space="0" w:color="auto"/>
        <w:left w:val="none" w:sz="0" w:space="0" w:color="auto"/>
        <w:bottom w:val="none" w:sz="0" w:space="0" w:color="auto"/>
        <w:right w:val="none" w:sz="0" w:space="0" w:color="auto"/>
      </w:divBdr>
    </w:div>
    <w:div w:id="50570527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18293761">
      <w:bodyDiv w:val="1"/>
      <w:marLeft w:val="0"/>
      <w:marRight w:val="0"/>
      <w:marTop w:val="0"/>
      <w:marBottom w:val="0"/>
      <w:divBdr>
        <w:top w:val="none" w:sz="0" w:space="0" w:color="auto"/>
        <w:left w:val="none" w:sz="0" w:space="0" w:color="auto"/>
        <w:bottom w:val="none" w:sz="0" w:space="0" w:color="auto"/>
        <w:right w:val="none" w:sz="0" w:space="0" w:color="auto"/>
      </w:divBdr>
    </w:div>
    <w:div w:id="6449406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69241890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996570369">
      <w:bodyDiv w:val="1"/>
      <w:marLeft w:val="0"/>
      <w:marRight w:val="0"/>
      <w:marTop w:val="0"/>
      <w:marBottom w:val="0"/>
      <w:divBdr>
        <w:top w:val="none" w:sz="0" w:space="0" w:color="auto"/>
        <w:left w:val="none" w:sz="0" w:space="0" w:color="auto"/>
        <w:bottom w:val="none" w:sz="0" w:space="0" w:color="auto"/>
        <w:right w:val="none" w:sz="0" w:space="0" w:color="auto"/>
      </w:divBdr>
    </w:div>
    <w:div w:id="998465210">
      <w:bodyDiv w:val="1"/>
      <w:marLeft w:val="0"/>
      <w:marRight w:val="0"/>
      <w:marTop w:val="0"/>
      <w:marBottom w:val="0"/>
      <w:divBdr>
        <w:top w:val="none" w:sz="0" w:space="0" w:color="auto"/>
        <w:left w:val="none" w:sz="0" w:space="0" w:color="auto"/>
        <w:bottom w:val="none" w:sz="0" w:space="0" w:color="auto"/>
        <w:right w:val="none" w:sz="0" w:space="0" w:color="auto"/>
      </w:divBdr>
      <w:divsChild>
        <w:div w:id="208614499">
          <w:marLeft w:val="0"/>
          <w:marRight w:val="0"/>
          <w:marTop w:val="0"/>
          <w:marBottom w:val="240"/>
          <w:divBdr>
            <w:top w:val="none" w:sz="0" w:space="0" w:color="auto"/>
            <w:left w:val="none" w:sz="0" w:space="0" w:color="auto"/>
            <w:bottom w:val="none" w:sz="0" w:space="0" w:color="auto"/>
            <w:right w:val="none" w:sz="0" w:space="0" w:color="auto"/>
          </w:divBdr>
        </w:div>
        <w:div w:id="1281037171">
          <w:marLeft w:val="0"/>
          <w:marRight w:val="0"/>
          <w:marTop w:val="0"/>
          <w:marBottom w:val="240"/>
          <w:divBdr>
            <w:top w:val="none" w:sz="0" w:space="0" w:color="auto"/>
            <w:left w:val="none" w:sz="0" w:space="0" w:color="auto"/>
            <w:bottom w:val="none" w:sz="0" w:space="0" w:color="auto"/>
            <w:right w:val="none" w:sz="0" w:space="0" w:color="auto"/>
          </w:divBdr>
        </w:div>
      </w:divsChild>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88499508">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177036351">
      <w:bodyDiv w:val="1"/>
      <w:marLeft w:val="0"/>
      <w:marRight w:val="0"/>
      <w:marTop w:val="0"/>
      <w:marBottom w:val="0"/>
      <w:divBdr>
        <w:top w:val="none" w:sz="0" w:space="0" w:color="auto"/>
        <w:left w:val="none" w:sz="0" w:space="0" w:color="auto"/>
        <w:bottom w:val="none" w:sz="0" w:space="0" w:color="auto"/>
        <w:right w:val="none" w:sz="0" w:space="0" w:color="auto"/>
      </w:divBdr>
      <w:divsChild>
        <w:div w:id="1418862988">
          <w:marLeft w:val="0"/>
          <w:marRight w:val="0"/>
          <w:marTop w:val="0"/>
          <w:marBottom w:val="240"/>
          <w:divBdr>
            <w:top w:val="none" w:sz="0" w:space="0" w:color="auto"/>
            <w:left w:val="none" w:sz="0" w:space="0" w:color="auto"/>
            <w:bottom w:val="none" w:sz="0" w:space="0" w:color="auto"/>
            <w:right w:val="none" w:sz="0" w:space="0" w:color="auto"/>
          </w:divBdr>
        </w:div>
        <w:div w:id="222445661">
          <w:marLeft w:val="0"/>
          <w:marRight w:val="0"/>
          <w:marTop w:val="0"/>
          <w:marBottom w:val="24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38406567">
      <w:bodyDiv w:val="1"/>
      <w:marLeft w:val="0"/>
      <w:marRight w:val="0"/>
      <w:marTop w:val="0"/>
      <w:marBottom w:val="0"/>
      <w:divBdr>
        <w:top w:val="none" w:sz="0" w:space="0" w:color="auto"/>
        <w:left w:val="none" w:sz="0" w:space="0" w:color="auto"/>
        <w:bottom w:val="none" w:sz="0" w:space="0" w:color="auto"/>
        <w:right w:val="none" w:sz="0" w:space="0" w:color="auto"/>
      </w:divBdr>
    </w:div>
    <w:div w:id="1454977981">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44442369">
      <w:bodyDiv w:val="1"/>
      <w:marLeft w:val="0"/>
      <w:marRight w:val="0"/>
      <w:marTop w:val="0"/>
      <w:marBottom w:val="0"/>
      <w:divBdr>
        <w:top w:val="none" w:sz="0" w:space="0" w:color="auto"/>
        <w:left w:val="none" w:sz="0" w:space="0" w:color="auto"/>
        <w:bottom w:val="none" w:sz="0" w:space="0" w:color="auto"/>
        <w:right w:val="none" w:sz="0" w:space="0" w:color="auto"/>
      </w:divBdr>
    </w:div>
    <w:div w:id="158086545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0964712">
      <w:bodyDiv w:val="1"/>
      <w:marLeft w:val="0"/>
      <w:marRight w:val="0"/>
      <w:marTop w:val="0"/>
      <w:marBottom w:val="0"/>
      <w:divBdr>
        <w:top w:val="none" w:sz="0" w:space="0" w:color="auto"/>
        <w:left w:val="none" w:sz="0" w:space="0" w:color="auto"/>
        <w:bottom w:val="none" w:sz="0" w:space="0" w:color="auto"/>
        <w:right w:val="none" w:sz="0" w:space="0" w:color="auto"/>
      </w:divBdr>
    </w:div>
    <w:div w:id="1661807965">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927183173">
      <w:bodyDiv w:val="1"/>
      <w:marLeft w:val="0"/>
      <w:marRight w:val="0"/>
      <w:marTop w:val="0"/>
      <w:marBottom w:val="0"/>
      <w:divBdr>
        <w:top w:val="none" w:sz="0" w:space="0" w:color="auto"/>
        <w:left w:val="none" w:sz="0" w:space="0" w:color="auto"/>
        <w:bottom w:val="none" w:sz="0" w:space="0" w:color="auto"/>
        <w:right w:val="none" w:sz="0" w:space="0" w:color="auto"/>
      </w:divBdr>
    </w:div>
    <w:div w:id="1938949325">
      <w:bodyDiv w:val="1"/>
      <w:marLeft w:val="0"/>
      <w:marRight w:val="0"/>
      <w:marTop w:val="0"/>
      <w:marBottom w:val="0"/>
      <w:divBdr>
        <w:top w:val="none" w:sz="0" w:space="0" w:color="auto"/>
        <w:left w:val="none" w:sz="0" w:space="0" w:color="auto"/>
        <w:bottom w:val="none" w:sz="0" w:space="0" w:color="auto"/>
        <w:right w:val="none" w:sz="0" w:space="0" w:color="auto"/>
      </w:divBdr>
    </w:div>
    <w:div w:id="1978141766">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681">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1779317">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529316/figure/f2/" TargetMode="External"/><Relationship Id="rId13" Type="http://schemas.openxmlformats.org/officeDocument/2006/relationships/hyperlink" Target="https://journals.asm.org/doi/10.1128/jb.00449-21?url_ver=Z39.88-2003&amp;rfr_id=ori%3Arid%3Acrossref.org&amp;rfr_dat=cr_pub++0pubmed" TargetMode="External"/><Relationship Id="rId18" Type="http://schemas.openxmlformats.org/officeDocument/2006/relationships/hyperlink" Target="https://journals.asm.org/doi/full/10.1128/msystems.00221-24?rfr_dat=cr_pub++0pubmed&amp;url_ver=Z39.88-2003&amp;rfr_id=ori%3Arid%3Acrossref.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ournals.asm.org/doi/full/10.1128/msystems.00221-24?rfr_dat=cr_pub++0pubmed&amp;url_ver=Z39.88-2003&amp;rfr_id=ori%3Arid%3Acrossref.org" TargetMode="External"/><Relationship Id="rId7" Type="http://schemas.openxmlformats.org/officeDocument/2006/relationships/hyperlink" Target="https://www.ncbi.nlm.nih.gov/pmc/articles/PMC9529316/" TargetMode="External"/><Relationship Id="rId12" Type="http://schemas.openxmlformats.org/officeDocument/2006/relationships/hyperlink" Target="https://journals.asm.org/doi/10.1128/jb.00449-21?url_ver=Z39.88-2003&amp;rfr_id=ori%3Arid%3Acrossref.org&amp;rfr_dat=cr_pub++0pubmed" TargetMode="External"/><Relationship Id="rId17" Type="http://schemas.openxmlformats.org/officeDocument/2006/relationships/hyperlink" Target="https://journals.asm.org/doi/full/10.1128/msystems.00221-24?rfr_dat=cr_pub++0pubmed&amp;url_ver=Z39.88-2003&amp;rfr_id=ori%3Arid%3Acrossref.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ournals.asm.org/doi/full/10.1128/msystems.00221-24?rfr_dat=cr_pub++0pubmed&amp;url_ver=Z39.88-2003&amp;rfr_id=ori%3Arid%3Acrossref.org" TargetMode="External"/><Relationship Id="rId20" Type="http://schemas.openxmlformats.org/officeDocument/2006/relationships/hyperlink" Target="https://journals.asm.org/doi/full/10.1128/msystems.00221-24?rfr_dat=cr_pub++0pubmed&amp;url_ver=Z39.88-2003&amp;rfr_id=ori%3Arid%3Acrossref.org" TargetMode="External"/><Relationship Id="rId1" Type="http://schemas.openxmlformats.org/officeDocument/2006/relationships/customXml" Target="../customXml/item1.xml"/><Relationship Id="rId6" Type="http://schemas.openxmlformats.org/officeDocument/2006/relationships/hyperlink" Target="https://www.ncbi.nlm.nih.gov/pmc/articles/PMC9529316/" TargetMode="External"/><Relationship Id="rId11" Type="http://schemas.openxmlformats.org/officeDocument/2006/relationships/hyperlink" Target="https://www.ncbi.nlm.nih.gov/pmc/articles/PMC9529316/figure/f2/" TargetMode="External"/><Relationship Id="rId24" Type="http://schemas.openxmlformats.org/officeDocument/2006/relationships/hyperlink" Target="https://journals.asm.org/doi/full/10.1128/msystems.00221-24?rfr_dat=cr_pub++0pubmed&amp;url_ver=Z39.88-2003&amp;rfr_id=ori%3Arid%3Acrossref.org" TargetMode="External"/><Relationship Id="rId5" Type="http://schemas.openxmlformats.org/officeDocument/2006/relationships/webSettings" Target="webSettings.xml"/><Relationship Id="rId15" Type="http://schemas.openxmlformats.org/officeDocument/2006/relationships/hyperlink" Target="https://journals.asm.org/doi/10.1128/jb.00449-21?url_ver=Z39.88-2003&amp;rfr_id=ori%3Arid%3Acrossref.org&amp;rfr_dat=cr_pub++0pubmed" TargetMode="External"/><Relationship Id="rId23" Type="http://schemas.openxmlformats.org/officeDocument/2006/relationships/hyperlink" Target="https://journals.asm.org/doi/full/10.1128/msystems.00221-24?rfr_dat=cr_pub++0pubmed&amp;url_ver=Z39.88-2003&amp;rfr_id=ori%3Arid%3Acrossref.org" TargetMode="External"/><Relationship Id="rId10" Type="http://schemas.openxmlformats.org/officeDocument/2006/relationships/hyperlink" Target="https://www.ncbi.nlm.nih.gov/pmc/articles/PMC9529316/figure/f2/" TargetMode="External"/><Relationship Id="rId19" Type="http://schemas.openxmlformats.org/officeDocument/2006/relationships/hyperlink" Target="https://journals.asm.org/doi/full/10.1128/msystems.00221-24?rfr_dat=cr_pub++0pubmed&amp;url_ver=Z39.88-2003&amp;rfr_id=ori%3Arid%3Acrossref.org" TargetMode="External"/><Relationship Id="rId4" Type="http://schemas.openxmlformats.org/officeDocument/2006/relationships/settings" Target="settings.xml"/><Relationship Id="rId9" Type="http://schemas.openxmlformats.org/officeDocument/2006/relationships/hyperlink" Target="https://www.ncbi.nlm.nih.gov/pmc/articles/PMC9529316/figure/f1/" TargetMode="External"/><Relationship Id="rId14" Type="http://schemas.openxmlformats.org/officeDocument/2006/relationships/hyperlink" Target="https://journals.asm.org/doi/10.1128/jb.00449-21?url_ver=Z39.88-2003&amp;rfr_id=ori%3Arid%3Acrossref.org&amp;rfr_dat=cr_pub++0pubmed" TargetMode="External"/><Relationship Id="rId22" Type="http://schemas.openxmlformats.org/officeDocument/2006/relationships/hyperlink" Target="https://journals.asm.org/doi/full/10.1128/msystems.00221-24?rfr_dat=cr_pub++0pubmed&amp;url_ver=Z39.88-2003&amp;rfr_id=ori%3Arid%3Acrossre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CBBEF-790A-497D-BA0D-15931683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3</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69</cp:revision>
  <dcterms:created xsi:type="dcterms:W3CDTF">2024-08-13T12:13:00Z</dcterms:created>
  <dcterms:modified xsi:type="dcterms:W3CDTF">2024-08-16T10:11:00Z</dcterms:modified>
</cp:coreProperties>
</file>