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8F5BD" w14:textId="574F0246" w:rsidR="000C2AE8" w:rsidRDefault="00BE32B1" w:rsidP="00606034">
      <w:pPr>
        <w:pStyle w:val="Heading1"/>
        <w:jc w:val="center"/>
      </w:pPr>
      <w:r>
        <w:t xml:space="preserve">Writing exercise </w:t>
      </w:r>
      <w:r w:rsidR="00174C5A">
        <w:t>10</w:t>
      </w:r>
      <w:r>
        <w:t xml:space="preserve">: </w:t>
      </w:r>
      <w:r w:rsidR="00174C5A">
        <w:t>Experimental Narratives</w:t>
      </w:r>
    </w:p>
    <w:p w14:paraId="673E1915" w14:textId="72A83370" w:rsidR="00BE32B1" w:rsidRDefault="00BE32B1" w:rsidP="00BE32B1">
      <w:pPr>
        <w:pStyle w:val="Heading2"/>
        <w:jc w:val="center"/>
      </w:pPr>
      <w:proofErr w:type="spellStart"/>
      <w:r>
        <w:t>Dr.</w:t>
      </w:r>
      <w:proofErr w:type="spellEnd"/>
      <w:r>
        <w:t xml:space="preserve"> Morgan Feeney, AY 2024-25</w:t>
      </w:r>
    </w:p>
    <w:p w14:paraId="5F3F4D72" w14:textId="420FFEF2" w:rsidR="00B16F24" w:rsidRDefault="00B16F24" w:rsidP="00BE32B1"/>
    <w:p w14:paraId="0F0C6143" w14:textId="14E91ED7" w:rsidR="00B416DE" w:rsidRDefault="005166D0" w:rsidP="004A3A79">
      <w:pPr>
        <w:pStyle w:val="Heading3"/>
      </w:pPr>
      <w:r w:rsidRPr="005166D0">
        <w:t>Y</w:t>
      </w:r>
      <w:r>
        <w:t xml:space="preserve">ou will want to describe </w:t>
      </w:r>
      <w:r w:rsidRPr="00B416DE">
        <w:t>y</w:t>
      </w:r>
      <w:r>
        <w:t>our experiments in a logical wa</w:t>
      </w:r>
      <w:r w:rsidRPr="00B416DE">
        <w:t>y</w:t>
      </w:r>
      <w:r w:rsidR="00B416DE">
        <w:t>:</w:t>
      </w:r>
    </w:p>
    <w:p w14:paraId="70EE2A5E" w14:textId="3C611E94" w:rsidR="00B416DE" w:rsidRDefault="005166D0" w:rsidP="00B416DE">
      <w:pPr>
        <w:pStyle w:val="ListParagraph"/>
        <w:numPr>
          <w:ilvl w:val="0"/>
          <w:numId w:val="12"/>
        </w:numPr>
      </w:pPr>
      <w:r>
        <w:t xml:space="preserve">Aim (what </w:t>
      </w:r>
      <w:r w:rsidRPr="00B416DE">
        <w:t>y</w:t>
      </w:r>
      <w:r>
        <w:t>ou intended to do/show with the experiment)</w:t>
      </w:r>
    </w:p>
    <w:p w14:paraId="37D9C35D" w14:textId="36CC550C" w:rsidR="005166D0" w:rsidRDefault="005166D0" w:rsidP="00B416DE">
      <w:pPr>
        <w:pStyle w:val="ListParagraph"/>
        <w:numPr>
          <w:ilvl w:val="0"/>
          <w:numId w:val="12"/>
        </w:numPr>
      </w:pPr>
      <w:r>
        <w:t>Method (what the experiment was, how you performed it)</w:t>
      </w:r>
    </w:p>
    <w:p w14:paraId="15DDFC19" w14:textId="48E5E699" w:rsidR="005166D0" w:rsidRDefault="005166D0" w:rsidP="00B416DE">
      <w:pPr>
        <w:pStyle w:val="ListParagraph"/>
        <w:numPr>
          <w:ilvl w:val="0"/>
          <w:numId w:val="12"/>
        </w:numPr>
      </w:pPr>
      <w:r>
        <w:t>Results (what you showed/discovered)</w:t>
      </w:r>
    </w:p>
    <w:p w14:paraId="62C166FA" w14:textId="140C96FA" w:rsidR="005166D0" w:rsidRPr="00B416DE" w:rsidRDefault="005166D0" w:rsidP="00B416DE">
      <w:pPr>
        <w:pStyle w:val="ListParagraph"/>
        <w:numPr>
          <w:ilvl w:val="0"/>
          <w:numId w:val="12"/>
        </w:numPr>
      </w:pPr>
      <w:r>
        <w:t>Significance (what the results mean, a logical transition to the next experiment)</w:t>
      </w:r>
    </w:p>
    <w:p w14:paraId="3D7928D2" w14:textId="19437462" w:rsidR="00E863CF" w:rsidRDefault="00E863CF" w:rsidP="003714FD">
      <w:pPr>
        <w:pStyle w:val="Heading3"/>
      </w:pPr>
    </w:p>
    <w:p w14:paraId="65FA15C4" w14:textId="786D1960" w:rsidR="000A7DDE" w:rsidRPr="00DF01B5" w:rsidRDefault="00820B14" w:rsidP="000A7DDE">
      <w:pPr>
        <w:pStyle w:val="Heading3"/>
        <w:spacing w:before="0"/>
      </w:pPr>
      <w:r>
        <w:rPr>
          <w:u w:val="single"/>
        </w:rPr>
        <w:t>Examples from a published paper</w:t>
      </w:r>
      <w:r w:rsidRPr="00820B14">
        <w:rPr>
          <w:u w:val="single"/>
          <w:vertAlign w:val="superscript"/>
        </w:rPr>
        <w:t>1</w:t>
      </w:r>
      <w:r w:rsidR="000A7DDE">
        <w:rPr>
          <w:u w:val="single"/>
        </w:rPr>
        <w:t>:</w:t>
      </w:r>
      <w:r w:rsidR="00DF01B5" w:rsidRPr="00DF01B5">
        <w:t xml:space="preserve"> (</w:t>
      </w:r>
      <w:r w:rsidR="00DF01B5" w:rsidRPr="00DF01B5">
        <w:rPr>
          <w:highlight w:val="yellow"/>
        </w:rPr>
        <w:t>aim</w:t>
      </w:r>
      <w:r w:rsidR="00DF01B5" w:rsidRPr="00DF01B5">
        <w:t xml:space="preserve">, </w:t>
      </w:r>
      <w:r w:rsidR="00DF01B5" w:rsidRPr="00DF01B5">
        <w:rPr>
          <w:highlight w:val="green"/>
        </w:rPr>
        <w:t>method</w:t>
      </w:r>
      <w:r w:rsidR="00DF01B5" w:rsidRPr="00DF01B5">
        <w:t xml:space="preserve">, </w:t>
      </w:r>
      <w:r w:rsidR="00DF01B5" w:rsidRPr="00DF01B5">
        <w:rPr>
          <w:highlight w:val="cyan"/>
        </w:rPr>
        <w:t>results</w:t>
      </w:r>
      <w:r w:rsidR="00DF01B5" w:rsidRPr="00DF01B5">
        <w:t xml:space="preserve">, </w:t>
      </w:r>
      <w:r w:rsidR="00DF01B5" w:rsidRPr="00DF01B5">
        <w:rPr>
          <w:highlight w:val="magenta"/>
        </w:rPr>
        <w:t>significance</w:t>
      </w:r>
      <w:r w:rsidR="00DF01B5" w:rsidRPr="00DF01B5">
        <w:t xml:space="preserve"> highlighted)</w:t>
      </w:r>
    </w:p>
    <w:p w14:paraId="2919DD51" w14:textId="340592F9" w:rsidR="000A7DDE" w:rsidRDefault="000A7DDE" w:rsidP="00C9766A">
      <w:r>
        <w:br/>
      </w:r>
      <w:r w:rsidR="00DF01B5" w:rsidRPr="00DF01B5">
        <w:rPr>
          <w:highlight w:val="yellow"/>
        </w:rPr>
        <w:t xml:space="preserve">To gain insight into the cellular processes controlled by c-di-GMP in </w:t>
      </w:r>
      <w:proofErr w:type="spellStart"/>
      <w:r w:rsidR="00DF01B5" w:rsidRPr="00DF01B5">
        <w:rPr>
          <w:highlight w:val="yellow"/>
        </w:rPr>
        <w:t>streptomycetes</w:t>
      </w:r>
      <w:proofErr w:type="spellEnd"/>
      <w:r w:rsidR="00DF01B5" w:rsidRPr="00DF01B5">
        <w:t xml:space="preserve">, </w:t>
      </w:r>
      <w:r w:rsidR="00DF01B5" w:rsidRPr="00DF01B5">
        <w:rPr>
          <w:highlight w:val="green"/>
        </w:rPr>
        <w:t xml:space="preserve">we overexpressed either the active DGC </w:t>
      </w:r>
      <w:proofErr w:type="spellStart"/>
      <w:r w:rsidR="00DF01B5" w:rsidRPr="00DF01B5">
        <w:rPr>
          <w:highlight w:val="green"/>
        </w:rPr>
        <w:t>CdgB</w:t>
      </w:r>
      <w:proofErr w:type="spellEnd"/>
      <w:r w:rsidR="00DF01B5" w:rsidRPr="00DF01B5">
        <w:rPr>
          <w:highlight w:val="green"/>
        </w:rPr>
        <w:t xml:space="preserve"> from </w:t>
      </w:r>
      <w:r w:rsidR="00DF01B5" w:rsidRPr="00DF01B5">
        <w:rPr>
          <w:i/>
          <w:iCs/>
          <w:highlight w:val="green"/>
        </w:rPr>
        <w:t xml:space="preserve">S. </w:t>
      </w:r>
      <w:proofErr w:type="spellStart"/>
      <w:r w:rsidR="00DF01B5" w:rsidRPr="00DF01B5">
        <w:rPr>
          <w:i/>
          <w:iCs/>
          <w:highlight w:val="green"/>
        </w:rPr>
        <w:t>coelicolor</w:t>
      </w:r>
      <w:proofErr w:type="spellEnd"/>
      <w:r w:rsidR="00DF01B5" w:rsidRPr="00DF01B5">
        <w:rPr>
          <w:i/>
          <w:iCs/>
          <w:highlight w:val="green"/>
        </w:rPr>
        <w:t xml:space="preserve"> </w:t>
      </w:r>
      <w:r w:rsidR="00DF01B5" w:rsidRPr="00DF01B5">
        <w:rPr>
          <w:highlight w:val="green"/>
        </w:rPr>
        <w:t xml:space="preserve">(Tran et al., 2011) or the active PDE </w:t>
      </w:r>
      <w:proofErr w:type="spellStart"/>
      <w:r w:rsidR="00DF01B5" w:rsidRPr="00DF01B5">
        <w:rPr>
          <w:highlight w:val="green"/>
        </w:rPr>
        <w:t>YhjH</w:t>
      </w:r>
      <w:proofErr w:type="spellEnd"/>
      <w:r w:rsidR="00DF01B5" w:rsidRPr="00DF01B5">
        <w:rPr>
          <w:highlight w:val="green"/>
        </w:rPr>
        <w:t xml:space="preserve"> from </w:t>
      </w:r>
      <w:r w:rsidR="00DF01B5" w:rsidRPr="00DF01B5">
        <w:rPr>
          <w:i/>
          <w:iCs/>
          <w:highlight w:val="green"/>
        </w:rPr>
        <w:t xml:space="preserve">E. coli </w:t>
      </w:r>
      <w:r w:rsidR="00DF01B5" w:rsidRPr="00DF01B5">
        <w:rPr>
          <w:highlight w:val="green"/>
        </w:rPr>
        <w:t>(Pesavento et al., 2008)</w:t>
      </w:r>
      <w:r w:rsidR="00DF01B5" w:rsidRPr="00DF01B5">
        <w:t xml:space="preserve">. </w:t>
      </w:r>
      <w:r w:rsidR="00DF01B5" w:rsidRPr="00DF01B5">
        <w:rPr>
          <w:highlight w:val="cyan"/>
        </w:rPr>
        <w:t xml:space="preserve">Strikingly, overexpression of both </w:t>
      </w:r>
      <w:proofErr w:type="spellStart"/>
      <w:r w:rsidR="00DF01B5" w:rsidRPr="00DF01B5">
        <w:rPr>
          <w:highlight w:val="cyan"/>
        </w:rPr>
        <w:t>CdgB</w:t>
      </w:r>
      <w:proofErr w:type="spellEnd"/>
      <w:r w:rsidR="00DF01B5" w:rsidRPr="00DF01B5">
        <w:rPr>
          <w:highlight w:val="cyan"/>
        </w:rPr>
        <w:t xml:space="preserve"> and </w:t>
      </w:r>
      <w:proofErr w:type="spellStart"/>
      <w:r w:rsidR="00DF01B5" w:rsidRPr="00DF01B5">
        <w:rPr>
          <w:highlight w:val="cyan"/>
        </w:rPr>
        <w:t>YhjH</w:t>
      </w:r>
      <w:proofErr w:type="spellEnd"/>
      <w:r w:rsidR="00DF01B5" w:rsidRPr="00DF01B5">
        <w:rPr>
          <w:highlight w:val="cyan"/>
        </w:rPr>
        <w:t xml:space="preserve"> blocked the generation of aerial mycelium by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 xml:space="preserve">(Figure 1B). However, scanning electron micrographs (SEMs) revealed that, whereas overexpression of </w:t>
      </w:r>
      <w:proofErr w:type="spellStart"/>
      <w:r w:rsidR="00DF01B5" w:rsidRPr="00DF01B5">
        <w:rPr>
          <w:highlight w:val="cyan"/>
        </w:rPr>
        <w:t>CdgB</w:t>
      </w:r>
      <w:proofErr w:type="spellEnd"/>
      <w:r w:rsidR="00DF01B5" w:rsidRPr="00DF01B5">
        <w:rPr>
          <w:highlight w:val="cyan"/>
        </w:rPr>
        <w:t xml:space="preserve"> blocked development, resulting in a classical bald phenotype, overexpression of the PDE </w:t>
      </w:r>
      <w:proofErr w:type="spellStart"/>
      <w:r w:rsidR="00DF01B5" w:rsidRPr="00DF01B5">
        <w:rPr>
          <w:highlight w:val="cyan"/>
        </w:rPr>
        <w:t>YhjH</w:t>
      </w:r>
      <w:proofErr w:type="spellEnd"/>
      <w:r w:rsidR="00DF01B5" w:rsidRPr="00DF01B5">
        <w:rPr>
          <w:highlight w:val="cyan"/>
        </w:rPr>
        <w:t xml:space="preserve"> in fact promoted sporulation, but the colonies appeared bald to the naked eye because aerial mycelium formation had been bypassed (Figure 1C).</w:t>
      </w:r>
      <w:r w:rsidR="00DF01B5" w:rsidRPr="00DF01B5">
        <w:t xml:space="preserve"> </w:t>
      </w:r>
      <w:r w:rsidR="00DF01B5" w:rsidRPr="00DF01B5">
        <w:rPr>
          <w:highlight w:val="cyan"/>
        </w:rPr>
        <w:t xml:space="preserve">As judged by heat resistance, the spores made by the </w:t>
      </w:r>
      <w:proofErr w:type="spellStart"/>
      <w:r w:rsidR="00DF01B5" w:rsidRPr="00DF01B5">
        <w:rPr>
          <w:highlight w:val="cyan"/>
        </w:rPr>
        <w:t>YhjH</w:t>
      </w:r>
      <w:proofErr w:type="spellEnd"/>
      <w:r w:rsidR="00DF01B5" w:rsidRPr="00DF01B5">
        <w:rPr>
          <w:highlight w:val="cyan"/>
        </w:rPr>
        <w:t xml:space="preserve"> overexpression strain were as robust as those of the wildtype (WT) (Figure S1A available online). Moreover, overexpression of catalytically inactive versions of </w:t>
      </w:r>
      <w:proofErr w:type="spellStart"/>
      <w:r w:rsidR="00DF01B5" w:rsidRPr="00DF01B5">
        <w:rPr>
          <w:highlight w:val="cyan"/>
        </w:rPr>
        <w:t>YhjH</w:t>
      </w:r>
      <w:proofErr w:type="spellEnd"/>
      <w:r w:rsidR="00DF01B5" w:rsidRPr="00DF01B5">
        <w:rPr>
          <w:highlight w:val="cyan"/>
        </w:rPr>
        <w:t xml:space="preserve"> or </w:t>
      </w:r>
      <w:proofErr w:type="spellStart"/>
      <w:r w:rsidR="00DF01B5" w:rsidRPr="00DF01B5">
        <w:rPr>
          <w:highlight w:val="cyan"/>
        </w:rPr>
        <w:t>CdgB</w:t>
      </w:r>
      <w:proofErr w:type="spellEnd"/>
      <w:r w:rsidR="00DF01B5" w:rsidRPr="00DF01B5">
        <w:rPr>
          <w:highlight w:val="cyan"/>
        </w:rPr>
        <w:t xml:space="preserve"> had no effect on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development (Figure S1B).</w:t>
      </w:r>
      <w:r w:rsidR="00DF01B5" w:rsidRPr="00DF01B5">
        <w:t xml:space="preserve"> </w:t>
      </w:r>
      <w:r w:rsidR="00DF01B5" w:rsidRPr="00DF01B5">
        <w:rPr>
          <w:highlight w:val="magenta"/>
        </w:rPr>
        <w:t xml:space="preserve">These data suggest that intracellular levels of c-di-GMP influence the timing of development. </w:t>
      </w:r>
      <w:proofErr w:type="gramStart"/>
      <w:r w:rsidR="00DF01B5" w:rsidRPr="00DF01B5">
        <w:rPr>
          <w:highlight w:val="magenta"/>
        </w:rPr>
        <w:t>In particular, they</w:t>
      </w:r>
      <w:proofErr w:type="gramEnd"/>
      <w:r w:rsidR="00DF01B5" w:rsidRPr="00DF01B5">
        <w:rPr>
          <w:highlight w:val="magenta"/>
        </w:rPr>
        <w:t xml:space="preserve"> suggest that increased c-di-GMP levels delay differentiation, arresting the colonies in the vegetative growth stage, whereas decreased levels of the second messenger accelerate development, </w:t>
      </w:r>
      <w:proofErr w:type="spellStart"/>
      <w:r w:rsidR="00DF01B5" w:rsidRPr="00DF01B5">
        <w:rPr>
          <w:highlight w:val="magenta"/>
        </w:rPr>
        <w:t>favoring</w:t>
      </w:r>
      <w:proofErr w:type="spellEnd"/>
      <w:r w:rsidR="00DF01B5" w:rsidRPr="00DF01B5">
        <w:rPr>
          <w:highlight w:val="magenta"/>
        </w:rPr>
        <w:t xml:space="preserve"> sporulation</w:t>
      </w:r>
      <w:r w:rsidR="00DF01B5" w:rsidRPr="00DF01B5">
        <w:t>.</w:t>
      </w:r>
    </w:p>
    <w:p w14:paraId="01397062" w14:textId="0CA013C1" w:rsidR="000A7DDE" w:rsidRDefault="00250E0C" w:rsidP="000A7DDE">
      <w:pPr>
        <w:spacing w:after="0"/>
      </w:pPr>
      <w:r>
        <w:rPr>
          <w:noProof/>
        </w:rPr>
        <w:drawing>
          <wp:inline distT="0" distB="0" distL="0" distR="0" wp14:anchorId="2EA161D9" wp14:editId="1EC88862">
            <wp:extent cx="3057525" cy="2092800"/>
            <wp:effectExtent l="0" t="0" r="0" b="3175"/>
            <wp:docPr id="264904244" name="Picture 1" descr="A close-up of a micr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04244" name="Picture 1" descr="A close-up of a microsco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960" cy="2099943"/>
                    </a:xfrm>
                    <a:prstGeom prst="rect">
                      <a:avLst/>
                    </a:prstGeom>
                    <a:noFill/>
                    <a:ln>
                      <a:noFill/>
                    </a:ln>
                  </pic:spPr>
                </pic:pic>
              </a:graphicData>
            </a:graphic>
          </wp:inline>
        </w:drawing>
      </w:r>
    </w:p>
    <w:p w14:paraId="4078F705" w14:textId="77777777" w:rsidR="00257598" w:rsidRPr="00257598" w:rsidRDefault="00257598" w:rsidP="00257598">
      <w:pPr>
        <w:spacing w:after="0"/>
        <w:rPr>
          <w:sz w:val="20"/>
          <w:szCs w:val="20"/>
        </w:rPr>
      </w:pPr>
      <w:r w:rsidRPr="00257598">
        <w:rPr>
          <w:sz w:val="20"/>
          <w:szCs w:val="20"/>
        </w:rPr>
        <w:t>Figure 1. c-di-GMP Levels Affect </w:t>
      </w:r>
      <w:r w:rsidRPr="00257598">
        <w:rPr>
          <w:i/>
          <w:iCs/>
          <w:sz w:val="20"/>
          <w:szCs w:val="20"/>
        </w:rPr>
        <w:t>S. </w:t>
      </w:r>
      <w:proofErr w:type="spellStart"/>
      <w:r w:rsidRPr="00257598">
        <w:rPr>
          <w:i/>
          <w:iCs/>
          <w:sz w:val="20"/>
          <w:szCs w:val="20"/>
        </w:rPr>
        <w:t>venezuelae</w:t>
      </w:r>
      <w:proofErr w:type="spellEnd"/>
      <w:r w:rsidRPr="00257598">
        <w:rPr>
          <w:sz w:val="20"/>
          <w:szCs w:val="20"/>
        </w:rPr>
        <w:t> Development</w:t>
      </w:r>
    </w:p>
    <w:p w14:paraId="7BA95BB2" w14:textId="77777777" w:rsidR="00257598" w:rsidRPr="00257598" w:rsidRDefault="00257598" w:rsidP="00257598">
      <w:pPr>
        <w:spacing w:after="0"/>
        <w:rPr>
          <w:sz w:val="20"/>
          <w:szCs w:val="20"/>
        </w:rPr>
      </w:pPr>
      <w:r w:rsidRPr="00257598">
        <w:rPr>
          <w:sz w:val="20"/>
          <w:szCs w:val="20"/>
        </w:rPr>
        <w:t>(A) Domain organization of predicted active c-di-GMP-metabolizing proteins in </w:t>
      </w:r>
      <w:r w:rsidRPr="00257598">
        <w:rPr>
          <w:i/>
          <w:iCs/>
          <w:sz w:val="20"/>
          <w:szCs w:val="20"/>
        </w:rPr>
        <w:t>S. </w:t>
      </w:r>
      <w:proofErr w:type="spellStart"/>
      <w:r w:rsidRPr="00257598">
        <w:rPr>
          <w:i/>
          <w:iCs/>
          <w:sz w:val="20"/>
          <w:szCs w:val="20"/>
        </w:rPr>
        <w:t>venezuelae</w:t>
      </w:r>
      <w:proofErr w:type="spellEnd"/>
      <w:r w:rsidRPr="00257598">
        <w:rPr>
          <w:sz w:val="20"/>
          <w:szCs w:val="20"/>
        </w:rPr>
        <w:t>. GGDEF domains are shown as red boxes. Amino acids different from the conserved product inhibition site (</w:t>
      </w:r>
      <w:proofErr w:type="spellStart"/>
      <w:r w:rsidRPr="00257598">
        <w:rPr>
          <w:sz w:val="20"/>
          <w:szCs w:val="20"/>
        </w:rPr>
        <w:t>RxxD</w:t>
      </w:r>
      <w:proofErr w:type="spellEnd"/>
      <w:r w:rsidRPr="00257598">
        <w:rPr>
          <w:sz w:val="20"/>
          <w:szCs w:val="20"/>
        </w:rPr>
        <w:t xml:space="preserve">) are shown in red. Noncanonical residues of the EAL domains (blue box) and HD-GYP domains (green box) are highlighted in red. Predicted transmembrane helices are shown as black bars, and N-terminal GAF, PAS, and PAC </w:t>
      </w:r>
      <w:proofErr w:type="spellStart"/>
      <w:r w:rsidRPr="00257598">
        <w:rPr>
          <w:sz w:val="20"/>
          <w:szCs w:val="20"/>
        </w:rPr>
        <w:t>signaling</w:t>
      </w:r>
      <w:proofErr w:type="spellEnd"/>
      <w:r w:rsidRPr="00257598">
        <w:rPr>
          <w:sz w:val="20"/>
          <w:szCs w:val="20"/>
        </w:rPr>
        <w:t xml:space="preserve"> domains are boxed in black.</w:t>
      </w:r>
    </w:p>
    <w:p w14:paraId="2B2FB68C" w14:textId="77777777" w:rsidR="00257598" w:rsidRPr="00257598" w:rsidRDefault="00257598" w:rsidP="00257598">
      <w:pPr>
        <w:spacing w:after="0"/>
        <w:rPr>
          <w:sz w:val="20"/>
          <w:szCs w:val="20"/>
        </w:rPr>
      </w:pPr>
      <w:r w:rsidRPr="00257598">
        <w:rPr>
          <w:sz w:val="20"/>
          <w:szCs w:val="20"/>
        </w:rPr>
        <w:t xml:space="preserve">(B) Overexpression of </w:t>
      </w:r>
      <w:proofErr w:type="spellStart"/>
      <w:r w:rsidRPr="00257598">
        <w:rPr>
          <w:sz w:val="20"/>
          <w:szCs w:val="20"/>
        </w:rPr>
        <w:t>CdgB</w:t>
      </w:r>
      <w:proofErr w:type="spellEnd"/>
      <w:r w:rsidRPr="00257598">
        <w:rPr>
          <w:sz w:val="20"/>
          <w:szCs w:val="20"/>
        </w:rPr>
        <w:t xml:space="preserve"> (a DGC from </w:t>
      </w:r>
      <w:r w:rsidRPr="00257598">
        <w:rPr>
          <w:i/>
          <w:iCs/>
          <w:sz w:val="20"/>
          <w:szCs w:val="20"/>
        </w:rPr>
        <w:t>S. </w:t>
      </w:r>
      <w:proofErr w:type="spellStart"/>
      <w:r w:rsidRPr="00257598">
        <w:rPr>
          <w:i/>
          <w:iCs/>
          <w:sz w:val="20"/>
          <w:szCs w:val="20"/>
        </w:rPr>
        <w:t>coelicolor</w:t>
      </w:r>
      <w:proofErr w:type="spellEnd"/>
      <w:r w:rsidRPr="00257598">
        <w:rPr>
          <w:sz w:val="20"/>
          <w:szCs w:val="20"/>
        </w:rPr>
        <w:t xml:space="preserve">) or </w:t>
      </w:r>
      <w:proofErr w:type="spellStart"/>
      <w:r w:rsidRPr="00257598">
        <w:rPr>
          <w:sz w:val="20"/>
          <w:szCs w:val="20"/>
        </w:rPr>
        <w:t>YhjH</w:t>
      </w:r>
      <w:proofErr w:type="spellEnd"/>
      <w:r w:rsidRPr="00257598">
        <w:rPr>
          <w:sz w:val="20"/>
          <w:szCs w:val="20"/>
        </w:rPr>
        <w:t xml:space="preserve"> (a PDE from </w:t>
      </w:r>
      <w:r w:rsidRPr="00257598">
        <w:rPr>
          <w:i/>
          <w:iCs/>
          <w:sz w:val="20"/>
          <w:szCs w:val="20"/>
        </w:rPr>
        <w:t>E. coli</w:t>
      </w:r>
      <w:r w:rsidRPr="00257598">
        <w:rPr>
          <w:sz w:val="20"/>
          <w:szCs w:val="20"/>
        </w:rPr>
        <w:t>) from the </w:t>
      </w:r>
      <w:proofErr w:type="spellStart"/>
      <w:r w:rsidRPr="00257598">
        <w:rPr>
          <w:i/>
          <w:iCs/>
          <w:sz w:val="20"/>
          <w:szCs w:val="20"/>
        </w:rPr>
        <w:t>ermEp</w:t>
      </w:r>
      <w:proofErr w:type="spellEnd"/>
      <w:r w:rsidRPr="00257598">
        <w:rPr>
          <w:rFonts w:ascii="Cambria Math" w:hAnsi="Cambria Math" w:cs="Cambria Math"/>
          <w:sz w:val="20"/>
          <w:szCs w:val="20"/>
          <w:vertAlign w:val="superscript"/>
        </w:rPr>
        <w:t>∗</w:t>
      </w:r>
      <w:r w:rsidRPr="00257598">
        <w:rPr>
          <w:sz w:val="20"/>
          <w:szCs w:val="20"/>
        </w:rPr>
        <w:t> promoter in </w:t>
      </w:r>
      <w:r w:rsidRPr="00257598">
        <w:rPr>
          <w:i/>
          <w:iCs/>
          <w:sz w:val="20"/>
          <w:szCs w:val="20"/>
        </w:rPr>
        <w:t>S. </w:t>
      </w:r>
      <w:proofErr w:type="spellStart"/>
      <w:r w:rsidRPr="00257598">
        <w:rPr>
          <w:i/>
          <w:iCs/>
          <w:sz w:val="20"/>
          <w:szCs w:val="20"/>
        </w:rPr>
        <w:t>venezuelae</w:t>
      </w:r>
      <w:proofErr w:type="spellEnd"/>
      <w:r w:rsidRPr="00257598">
        <w:rPr>
          <w:sz w:val="20"/>
          <w:szCs w:val="20"/>
        </w:rPr>
        <w:t> results in loss of aerial </w:t>
      </w:r>
      <w:hyperlink r:id="rId7" w:tooltip="Learn more about mycelium from ScienceDirect's AI-generated Topic Pages" w:history="1">
        <w:r w:rsidRPr="00257598">
          <w:rPr>
            <w:rStyle w:val="Hyperlink"/>
            <w:sz w:val="20"/>
            <w:szCs w:val="20"/>
          </w:rPr>
          <w:t>mycelium</w:t>
        </w:r>
      </w:hyperlink>
      <w:r w:rsidRPr="00257598">
        <w:rPr>
          <w:sz w:val="20"/>
          <w:szCs w:val="20"/>
        </w:rPr>
        <w:t> formation.</w:t>
      </w:r>
    </w:p>
    <w:p w14:paraId="607AEE80" w14:textId="77777777" w:rsidR="00257598" w:rsidRPr="00257598" w:rsidRDefault="00257598" w:rsidP="00257598">
      <w:pPr>
        <w:spacing w:after="0"/>
        <w:rPr>
          <w:sz w:val="20"/>
          <w:szCs w:val="20"/>
        </w:rPr>
      </w:pPr>
      <w:r w:rsidRPr="00257598">
        <w:rPr>
          <w:sz w:val="20"/>
          <w:szCs w:val="20"/>
        </w:rPr>
        <w:t xml:space="preserve">(C) SEMs reveal that while </w:t>
      </w:r>
      <w:proofErr w:type="spellStart"/>
      <w:r w:rsidRPr="00257598">
        <w:rPr>
          <w:sz w:val="20"/>
          <w:szCs w:val="20"/>
        </w:rPr>
        <w:t>CdgB</w:t>
      </w:r>
      <w:proofErr w:type="spellEnd"/>
      <w:r w:rsidRPr="00257598">
        <w:rPr>
          <w:sz w:val="20"/>
          <w:szCs w:val="20"/>
        </w:rPr>
        <w:t xml:space="preserve"> overexpression blocks development (giving rise to a classic “bald” phenotype; middle), </w:t>
      </w:r>
      <w:proofErr w:type="spellStart"/>
      <w:r w:rsidRPr="00257598">
        <w:rPr>
          <w:sz w:val="20"/>
          <w:szCs w:val="20"/>
        </w:rPr>
        <w:t>YhjH</w:t>
      </w:r>
      <w:proofErr w:type="spellEnd"/>
      <w:r w:rsidRPr="00257598">
        <w:rPr>
          <w:sz w:val="20"/>
          <w:szCs w:val="20"/>
        </w:rPr>
        <w:t xml:space="preserve"> overexpression (right) induces precocious </w:t>
      </w:r>
      <w:proofErr w:type="spellStart"/>
      <w:r w:rsidRPr="00257598">
        <w:rPr>
          <w:sz w:val="20"/>
          <w:szCs w:val="20"/>
        </w:rPr>
        <w:t>hypersporulation</w:t>
      </w:r>
      <w:proofErr w:type="spellEnd"/>
      <w:r w:rsidRPr="00257598">
        <w:rPr>
          <w:sz w:val="20"/>
          <w:szCs w:val="20"/>
        </w:rPr>
        <w:t xml:space="preserve"> without formation of aerial hyphae. Spore-bearing aerial hyphae of the WT are shown for comparison (left). Cells were grown on maltose-yeast extract-malt extract (MYM) agar for four days at 30°C prior to imaging.</w:t>
      </w:r>
    </w:p>
    <w:p w14:paraId="75123336" w14:textId="77777777" w:rsidR="00257598" w:rsidRPr="000A7DDE" w:rsidRDefault="00257598" w:rsidP="000A7DDE">
      <w:pPr>
        <w:spacing w:after="0"/>
      </w:pPr>
    </w:p>
    <w:p w14:paraId="7BA81DCA" w14:textId="246FD50E" w:rsidR="00BE32B1" w:rsidRPr="00714EA4" w:rsidRDefault="00B82D0F" w:rsidP="001A6A63">
      <w:pPr>
        <w:pStyle w:val="Heading3"/>
        <w:spacing w:before="0"/>
        <w:rPr>
          <w:u w:val="single"/>
        </w:rPr>
      </w:pPr>
      <w:r w:rsidRPr="00714EA4">
        <w:rPr>
          <w:u w:val="single"/>
        </w:rPr>
        <w:lastRenderedPageBreak/>
        <w:t xml:space="preserve">Exercise </w:t>
      </w:r>
      <w:r w:rsidR="00820B14">
        <w:rPr>
          <w:u w:val="single"/>
        </w:rPr>
        <w:t>10</w:t>
      </w:r>
      <w:r w:rsidRPr="00714EA4">
        <w:rPr>
          <w:u w:val="single"/>
        </w:rPr>
        <w:t>A.</w:t>
      </w:r>
    </w:p>
    <w:p w14:paraId="402D2EFC" w14:textId="78899BEA" w:rsidR="00F028DC" w:rsidRPr="000A7DDE" w:rsidRDefault="009D29D9" w:rsidP="000B3121">
      <w:r w:rsidRPr="009D29D9">
        <w:t>Read each exam</w:t>
      </w:r>
      <w:r w:rsidR="0074467A">
        <w:t xml:space="preserve">ple and </w:t>
      </w:r>
      <w:r w:rsidR="00820B14">
        <w:t>iden</w:t>
      </w:r>
      <w:r w:rsidR="00820B14" w:rsidRPr="00820B14">
        <w:t>t</w:t>
      </w:r>
      <w:r w:rsidR="00820B14">
        <w:t xml:space="preserve">ify </w:t>
      </w:r>
      <w:r w:rsidR="00820B14" w:rsidRPr="00820B14">
        <w:t>t</w:t>
      </w:r>
      <w:r w:rsidR="00820B14">
        <w:t>he aim, me</w:t>
      </w:r>
      <w:r w:rsidR="00820B14" w:rsidRPr="00820B14">
        <w:t>t</w:t>
      </w:r>
      <w:r w:rsidR="00820B14">
        <w:t>hod, resul</w:t>
      </w:r>
      <w:r w:rsidR="00820B14" w:rsidRPr="00820B14">
        <w:t>t</w:t>
      </w:r>
      <w:r w:rsidR="00820B14">
        <w:t>, and significance par</w:t>
      </w:r>
      <w:r w:rsidR="00820B14" w:rsidRPr="00820B14">
        <w:t>t</w:t>
      </w:r>
      <w:r w:rsidR="00820B14">
        <w:t xml:space="preserve">s of </w:t>
      </w:r>
      <w:r w:rsidR="00820B14" w:rsidRPr="00820B14">
        <w:t>t</w:t>
      </w:r>
      <w:r w:rsidR="00820B14">
        <w:t>he au</w:t>
      </w:r>
      <w:r w:rsidR="00820B14" w:rsidRPr="00820B14">
        <w:t>t</w:t>
      </w:r>
      <w:r w:rsidR="00820B14">
        <w:t>hor’s descrip</w:t>
      </w:r>
      <w:r w:rsidR="00820B14" w:rsidRPr="00820B14">
        <w:t>t</w:t>
      </w:r>
      <w:r w:rsidR="00820B14">
        <w:t xml:space="preserve">ion. </w:t>
      </w:r>
      <w:r w:rsidR="0077397D">
        <w:t xml:space="preserve">Can you improve </w:t>
      </w:r>
      <w:r w:rsidR="0077397D" w:rsidRPr="0077397D">
        <w:t>t</w:t>
      </w:r>
      <w:r w:rsidR="0077397D">
        <w:t xml:space="preserve">he logical flow of </w:t>
      </w:r>
      <w:r w:rsidR="0077397D" w:rsidRPr="0077397D">
        <w:t>t</w:t>
      </w:r>
      <w:r w:rsidR="0077397D">
        <w:t>he narra</w:t>
      </w:r>
      <w:r w:rsidR="0077397D" w:rsidRPr="0077397D">
        <w:t>t</w:t>
      </w:r>
      <w:r w:rsidR="0077397D">
        <w:t>ive?</w:t>
      </w:r>
    </w:p>
    <w:p w14:paraId="77E87516" w14:textId="6F2466A1" w:rsidR="000B3121" w:rsidRDefault="000B3121" w:rsidP="000B3121">
      <w:r w:rsidRPr="000B3121">
        <w:rPr>
          <w:b/>
          <w:bCs/>
          <w:u w:val="single"/>
        </w:rPr>
        <w:t xml:space="preserve">Sample </w:t>
      </w:r>
      <w:r w:rsidR="00820B14">
        <w:rPr>
          <w:b/>
          <w:bCs/>
          <w:u w:val="single"/>
        </w:rPr>
        <w:t>10</w:t>
      </w:r>
      <w:r w:rsidRPr="000B3121">
        <w:rPr>
          <w:b/>
          <w:bCs/>
          <w:u w:val="single"/>
        </w:rPr>
        <w:t>.1</w:t>
      </w:r>
      <w:r w:rsidRPr="000B3121">
        <w:rPr>
          <w:u w:val="single"/>
        </w:rPr>
        <w:t xml:space="preserve"> </w:t>
      </w:r>
      <w:r w:rsidR="00B41BCD">
        <w:rPr>
          <w:vertAlign w:val="superscript"/>
        </w:rPr>
        <w:t>2</w:t>
      </w:r>
      <w:r w:rsidRPr="000B3121">
        <w:t> </w:t>
      </w:r>
    </w:p>
    <w:p w14:paraId="3A4CAD57" w14:textId="05D1175C" w:rsidR="006848F2" w:rsidRDefault="003C793F" w:rsidP="006848F2">
      <w:r w:rsidRPr="003C793F">
        <w:t>As first reported by Li</w:t>
      </w:r>
      <w:hyperlink r:id="rId8" w:anchor="B8" w:history="1">
        <w:r w:rsidRPr="003C793F">
          <w:rPr>
            <w:rStyle w:val="Hyperlink"/>
            <w:vertAlign w:val="superscript"/>
          </w:rPr>
          <w:t>8</w:t>
        </w:r>
      </w:hyperlink>
      <w:r w:rsidRPr="003C793F">
        <w:t> and Fix et al,</w:t>
      </w:r>
      <w:hyperlink r:id="rId9" w:anchor="B9" w:history="1">
        <w:r w:rsidRPr="003C793F">
          <w:rPr>
            <w:rStyle w:val="Hyperlink"/>
            <w:vertAlign w:val="superscript"/>
          </w:rPr>
          <w:t>9</w:t>
        </w:r>
      </w:hyperlink>
      <w:r w:rsidRPr="003C793F">
        <w:t xml:space="preserve"> we found that concurrent expression of RexA and </w:t>
      </w:r>
      <w:proofErr w:type="spellStart"/>
      <w:r w:rsidRPr="003C793F">
        <w:t>RexB</w:t>
      </w:r>
      <w:proofErr w:type="spellEnd"/>
      <w:r w:rsidRPr="003C793F">
        <w:t xml:space="preserve"> in </w:t>
      </w:r>
      <w:r w:rsidRPr="003C793F">
        <w:rPr>
          <w:i/>
          <w:iCs/>
        </w:rPr>
        <w:t>E. coli</w:t>
      </w:r>
      <w:r w:rsidRPr="003C793F">
        <w:t> sensitizes the cells to UV irradiation (</w:t>
      </w:r>
      <w:hyperlink r:id="rId10" w:tgtFrame="figure" w:history="1">
        <w:r w:rsidRPr="003C793F">
          <w:rPr>
            <w:rStyle w:val="Hyperlink"/>
          </w:rPr>
          <w:t>Fig. 2A</w:t>
        </w:r>
      </w:hyperlink>
      <w:r w:rsidRPr="003C793F">
        <w:t xml:space="preserve">). In strain LT732, the RexA, </w:t>
      </w:r>
      <w:proofErr w:type="spellStart"/>
      <w:r w:rsidRPr="003C793F">
        <w:t>RexB</w:t>
      </w:r>
      <w:proofErr w:type="spellEnd"/>
      <w:r w:rsidRPr="003C793F">
        <w:t>, and the CI857 repressor proteins are expressed from the bacterial chromosome in single copy from the phage </w:t>
      </w:r>
      <w:r w:rsidRPr="003C793F">
        <w:rPr>
          <w:i/>
          <w:iCs/>
        </w:rPr>
        <w:t>P</w:t>
      </w:r>
      <w:r w:rsidRPr="003C793F">
        <w:rPr>
          <w:vertAlign w:val="subscript"/>
        </w:rPr>
        <w:t>RM</w:t>
      </w:r>
      <w:r w:rsidRPr="003C793F">
        <w:t> and </w:t>
      </w:r>
      <w:r w:rsidRPr="003C793F">
        <w:rPr>
          <w:i/>
          <w:iCs/>
        </w:rPr>
        <w:t>P</w:t>
      </w:r>
      <w:r w:rsidRPr="003C793F">
        <w:rPr>
          <w:vertAlign w:val="subscript"/>
        </w:rPr>
        <w:t>LIT</w:t>
      </w:r>
      <w:r w:rsidRPr="003C793F">
        <w:t> promoters (</w:t>
      </w:r>
      <w:hyperlink r:id="rId11" w:tgtFrame="figure" w:history="1">
        <w:r w:rsidRPr="003C793F">
          <w:rPr>
            <w:rStyle w:val="Hyperlink"/>
          </w:rPr>
          <w:t>Fig. 1B</w:t>
        </w:r>
      </w:hyperlink>
      <w:r w:rsidRPr="003C793F">
        <w:t>), in the absence of any other phage functions. Strain LT1964 is identical to strain LT732 except for a mutation in the −10 region of the </w:t>
      </w:r>
      <w:r w:rsidRPr="003C793F">
        <w:rPr>
          <w:i/>
          <w:iCs/>
        </w:rPr>
        <w:t>P</w:t>
      </w:r>
      <w:r w:rsidRPr="003C793F">
        <w:rPr>
          <w:vertAlign w:val="subscript"/>
        </w:rPr>
        <w:t>LIT</w:t>
      </w:r>
      <w:r w:rsidRPr="003C793F">
        <w:t xml:space="preserve"> promoter, thereby reducing the level of </w:t>
      </w:r>
      <w:proofErr w:type="spellStart"/>
      <w:r w:rsidRPr="003C793F">
        <w:t>RexB</w:t>
      </w:r>
      <w:proofErr w:type="spellEnd"/>
      <w:r w:rsidRPr="003C793F">
        <w:t xml:space="preserve"> relative to RexA in LT1964. This change in the ratio of the </w:t>
      </w:r>
      <w:proofErr w:type="spellStart"/>
      <w:r w:rsidRPr="003C793F">
        <w:t>RexB</w:t>
      </w:r>
      <w:proofErr w:type="spellEnd"/>
      <w:r w:rsidRPr="003C793F">
        <w:t xml:space="preserve"> and RexA proteins increases LT1964 sensitivity to UV-mediated DNA damage (</w:t>
      </w:r>
      <w:hyperlink r:id="rId12" w:tgtFrame="figure" w:history="1">
        <w:r w:rsidRPr="003C793F">
          <w:rPr>
            <w:rStyle w:val="Hyperlink"/>
          </w:rPr>
          <w:t>Fig. 2A</w:t>
        </w:r>
      </w:hyperlink>
      <w:r w:rsidRPr="003C793F">
        <w:t>). Note that strains with null mutations in either or both </w:t>
      </w:r>
      <w:r w:rsidRPr="003C793F">
        <w:rPr>
          <w:i/>
          <w:iCs/>
        </w:rPr>
        <w:t>rex</w:t>
      </w:r>
      <w:r w:rsidRPr="003C793F">
        <w:t> genes have UV survival curves such as those of wild type </w:t>
      </w:r>
      <w:r w:rsidRPr="003C793F">
        <w:rPr>
          <w:i/>
          <w:iCs/>
        </w:rPr>
        <w:t>E. coli</w:t>
      </w:r>
      <w:r w:rsidRPr="003C793F">
        <w:t> (</w:t>
      </w:r>
      <w:hyperlink r:id="rId13" w:tgtFrame="figure" w:history="1">
        <w:r w:rsidRPr="003C793F">
          <w:rPr>
            <w:rStyle w:val="Hyperlink"/>
          </w:rPr>
          <w:t>Fig. 2B</w:t>
        </w:r>
      </w:hyperlink>
      <w:r w:rsidRPr="003C793F">
        <w:t xml:space="preserve">). </w:t>
      </w:r>
      <w:r w:rsidRPr="00047CEC">
        <w:rPr>
          <w:highlight w:val="magenta"/>
        </w:rPr>
        <w:t xml:space="preserve">Thus, it is the relative change in RexA and </w:t>
      </w:r>
      <w:proofErr w:type="spellStart"/>
      <w:r w:rsidRPr="00047CEC">
        <w:rPr>
          <w:highlight w:val="magenta"/>
        </w:rPr>
        <w:t>RexB</w:t>
      </w:r>
      <w:proofErr w:type="spellEnd"/>
      <w:r w:rsidRPr="00047CEC">
        <w:rPr>
          <w:highlight w:val="magenta"/>
        </w:rPr>
        <w:t xml:space="preserve"> expression levels that causes increased UV sensitivity.</w:t>
      </w:r>
    </w:p>
    <w:p w14:paraId="6A51E20E" w14:textId="77777777" w:rsidR="00B933DF" w:rsidRDefault="00B933DF" w:rsidP="006848F2"/>
    <w:p w14:paraId="39601034" w14:textId="4BB02E22" w:rsidR="00B933DF" w:rsidRDefault="00B933DF" w:rsidP="006848F2">
      <w:r>
        <w:rPr>
          <w:noProof/>
        </w:rPr>
        <w:drawing>
          <wp:inline distT="0" distB="0" distL="0" distR="0" wp14:anchorId="3500516F" wp14:editId="7F918880">
            <wp:extent cx="3448050" cy="3224185"/>
            <wp:effectExtent l="0" t="0" r="0" b="0"/>
            <wp:docPr id="1155216476"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0763"/>
                    <a:stretch/>
                  </pic:blipFill>
                  <pic:spPr bwMode="auto">
                    <a:xfrm>
                      <a:off x="0" y="0"/>
                      <a:ext cx="3453708" cy="3229475"/>
                    </a:xfrm>
                    <a:prstGeom prst="rect">
                      <a:avLst/>
                    </a:prstGeom>
                    <a:noFill/>
                    <a:ln>
                      <a:noFill/>
                    </a:ln>
                    <a:extLst>
                      <a:ext uri="{53640926-AAD7-44D8-BBD7-CCE9431645EC}">
                        <a14:shadowObscured xmlns:a14="http://schemas.microsoft.com/office/drawing/2010/main"/>
                      </a:ext>
                    </a:extLst>
                  </pic:spPr>
                </pic:pic>
              </a:graphicData>
            </a:graphic>
          </wp:inline>
        </w:drawing>
      </w:r>
    </w:p>
    <w:p w14:paraId="28BF102B" w14:textId="7C928163" w:rsidR="000F4137" w:rsidRPr="000F4137" w:rsidRDefault="000F4137" w:rsidP="006848F2">
      <w:pPr>
        <w:rPr>
          <w:sz w:val="20"/>
          <w:szCs w:val="20"/>
        </w:rPr>
      </w:pPr>
      <w:r w:rsidRPr="000F4137">
        <w:rPr>
          <w:sz w:val="20"/>
          <w:szCs w:val="20"/>
        </w:rPr>
        <w:t xml:space="preserve">FIG. 2. λ RexA and </w:t>
      </w:r>
      <w:proofErr w:type="spellStart"/>
      <w:r w:rsidRPr="000F4137">
        <w:rPr>
          <w:sz w:val="20"/>
          <w:szCs w:val="20"/>
        </w:rPr>
        <w:t>RexB</w:t>
      </w:r>
      <w:proofErr w:type="spellEnd"/>
      <w:r w:rsidRPr="000F4137">
        <w:rPr>
          <w:sz w:val="20"/>
          <w:szCs w:val="20"/>
        </w:rPr>
        <w:t xml:space="preserve"> function sensitizes </w:t>
      </w:r>
      <w:r w:rsidRPr="000F4137">
        <w:rPr>
          <w:i/>
          <w:iCs/>
          <w:sz w:val="20"/>
          <w:szCs w:val="20"/>
        </w:rPr>
        <w:t>Escherichia coli</w:t>
      </w:r>
      <w:r w:rsidRPr="000F4137">
        <w:rPr>
          <w:sz w:val="20"/>
          <w:szCs w:val="20"/>
        </w:rPr>
        <w:t> to UV irradiation, and λ Ren rescues UV sensitivity. UV survival curves were generated as described in the </w:t>
      </w:r>
      <w:hyperlink r:id="rId15" w:anchor="s002" w:history="1">
        <w:r w:rsidRPr="000F4137">
          <w:rPr>
            <w:rStyle w:val="Hyperlink"/>
            <w:sz w:val="20"/>
            <w:szCs w:val="20"/>
          </w:rPr>
          <w:t>Materials and Methods</w:t>
        </w:r>
      </w:hyperlink>
      <w:r w:rsidRPr="000F4137">
        <w:rPr>
          <w:sz w:val="20"/>
          <w:szCs w:val="20"/>
        </w:rPr>
        <w:t> section. The phage λ genes present in each strain are indicated in the figure legend. For all strains except those lacking any phage DNA, the phage genes are inserted in single copy at the </w:t>
      </w:r>
      <w:r w:rsidRPr="000F4137">
        <w:rPr>
          <w:i/>
          <w:iCs/>
          <w:sz w:val="20"/>
          <w:szCs w:val="20"/>
        </w:rPr>
        <w:t>E. coli lac</w:t>
      </w:r>
      <w:r w:rsidRPr="000F4137">
        <w:rPr>
          <w:sz w:val="20"/>
          <w:szCs w:val="20"/>
        </w:rPr>
        <w:t> operon</w:t>
      </w:r>
      <w:hyperlink r:id="rId16" w:anchor="B5" w:history="1">
        <w:r w:rsidRPr="000F4137">
          <w:rPr>
            <w:rStyle w:val="Hyperlink"/>
            <w:sz w:val="20"/>
            <w:szCs w:val="20"/>
            <w:vertAlign w:val="superscript"/>
          </w:rPr>
          <w:t>5</w:t>
        </w:r>
      </w:hyperlink>
      <w:r w:rsidRPr="000F4137">
        <w:rPr>
          <w:sz w:val="20"/>
          <w:szCs w:val="20"/>
        </w:rPr>
        <w:t> and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repressor gene is present. The number of independent experiments (</w:t>
      </w:r>
      <w:r w:rsidRPr="000F4137">
        <w:rPr>
          <w:i/>
          <w:iCs/>
          <w:sz w:val="20"/>
          <w:szCs w:val="20"/>
        </w:rPr>
        <w:t>n</w:t>
      </w:r>
      <w:r w:rsidRPr="000F4137">
        <w:rPr>
          <w:sz w:val="20"/>
          <w:szCs w:val="20"/>
        </w:rPr>
        <w:t xml:space="preserve">) is 3 unless otherwise indicated, and the SD is indicated by vertical bars. Strain LT351 is MG1655 (●), which provides a wildtype control of survival after UV </w:t>
      </w:r>
      <w:proofErr w:type="gramStart"/>
      <w:r w:rsidRPr="000F4137">
        <w:rPr>
          <w:sz w:val="20"/>
          <w:szCs w:val="20"/>
        </w:rPr>
        <w:t>exposure, and</w:t>
      </w:r>
      <w:proofErr w:type="gramEnd"/>
      <w:r w:rsidRPr="000F4137">
        <w:rPr>
          <w:sz w:val="20"/>
          <w:szCs w:val="20"/>
        </w:rPr>
        <w:t xml:space="preserve"> is shown in all graphs (</w:t>
      </w:r>
      <w:r w:rsidRPr="000F4137">
        <w:rPr>
          <w:i/>
          <w:iCs/>
          <w:sz w:val="20"/>
          <w:szCs w:val="20"/>
        </w:rPr>
        <w:t>n</w:t>
      </w:r>
      <w:r w:rsidRPr="000F4137">
        <w:rPr>
          <w:sz w:val="20"/>
          <w:szCs w:val="20"/>
        </w:rPr>
        <w:t> = 4). </w:t>
      </w:r>
      <w:r w:rsidRPr="000F4137">
        <w:rPr>
          <w:b/>
          <w:bCs/>
          <w:sz w:val="20"/>
          <w:szCs w:val="20"/>
        </w:rPr>
        <w:t>(A)</w:t>
      </w:r>
      <w:r w:rsidRPr="000F4137">
        <w:rPr>
          <w:sz w:val="20"/>
          <w:szCs w:val="20"/>
        </w:rPr>
        <w:t> Expression of phage λ </w:t>
      </w:r>
      <w:proofErr w:type="spellStart"/>
      <w:r w:rsidRPr="000F4137">
        <w:rPr>
          <w:i/>
          <w:iCs/>
          <w:sz w:val="20"/>
          <w:szCs w:val="20"/>
        </w:rPr>
        <w:t>rexA</w:t>
      </w:r>
      <w:proofErr w:type="spellEnd"/>
      <w:r w:rsidRPr="000F4137">
        <w:rPr>
          <w:sz w:val="20"/>
          <w:szCs w:val="20"/>
        </w:rPr>
        <w:t> and </w:t>
      </w:r>
      <w:proofErr w:type="spellStart"/>
      <w:r w:rsidRPr="000F4137">
        <w:rPr>
          <w:i/>
          <w:iCs/>
          <w:sz w:val="20"/>
          <w:szCs w:val="20"/>
        </w:rPr>
        <w:t>rexB</w:t>
      </w:r>
      <w:proofErr w:type="spellEnd"/>
      <w:r w:rsidRPr="000F4137">
        <w:rPr>
          <w:sz w:val="20"/>
          <w:szCs w:val="20"/>
        </w:rPr>
        <w:t> genes increases UV sensitivity of </w:t>
      </w:r>
      <w:r w:rsidRPr="000F4137">
        <w:rPr>
          <w:i/>
          <w:iCs/>
          <w:sz w:val="20"/>
          <w:szCs w:val="20"/>
        </w:rPr>
        <w:t>E. coli.</w:t>
      </w:r>
      <w:r w:rsidRPr="000F4137">
        <w:rPr>
          <w:sz w:val="20"/>
          <w:szCs w:val="20"/>
        </w:rPr>
        <w:t> Strain LT732 (○) bears the λ immunity region with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sz w:val="20"/>
          <w:szCs w:val="20"/>
        </w:rPr>
        <w:t>, </w:t>
      </w:r>
      <w:proofErr w:type="spellStart"/>
      <w:r w:rsidRPr="000F4137">
        <w:rPr>
          <w:i/>
          <w:iCs/>
          <w:sz w:val="20"/>
          <w:szCs w:val="20"/>
        </w:rPr>
        <w:t>rexB</w:t>
      </w:r>
      <w:proofErr w:type="spellEnd"/>
      <w:r w:rsidRPr="000F4137">
        <w:rPr>
          <w:sz w:val="20"/>
          <w:szCs w:val="20"/>
        </w:rPr>
        <w:t>, and </w:t>
      </w:r>
      <w:r w:rsidRPr="000F4137">
        <w:rPr>
          <w:i/>
          <w:iCs/>
          <w:sz w:val="20"/>
          <w:szCs w:val="20"/>
        </w:rPr>
        <w:t>T</w:t>
      </w:r>
      <w:r w:rsidRPr="000F4137">
        <w:rPr>
          <w:sz w:val="20"/>
          <w:szCs w:val="20"/>
          <w:vertAlign w:val="subscript"/>
        </w:rPr>
        <w:t>IMM</w:t>
      </w:r>
      <w:r w:rsidRPr="000F4137">
        <w:rPr>
          <w:sz w:val="20"/>
          <w:szCs w:val="20"/>
        </w:rPr>
        <w:t> (</w:t>
      </w:r>
      <w:r w:rsidRPr="000F4137">
        <w:rPr>
          <w:i/>
          <w:iCs/>
          <w:sz w:val="20"/>
          <w:szCs w:val="20"/>
        </w:rPr>
        <w:t>n</w:t>
      </w:r>
      <w:r w:rsidRPr="000F4137">
        <w:rPr>
          <w:sz w:val="20"/>
          <w:szCs w:val="20"/>
        </w:rPr>
        <w:t> = 4) as shown in </w:t>
      </w:r>
      <w:hyperlink r:id="rId17" w:anchor="f1" w:history="1">
        <w:r w:rsidRPr="000F4137">
          <w:rPr>
            <w:rStyle w:val="Hyperlink"/>
            <w:sz w:val="20"/>
            <w:szCs w:val="20"/>
          </w:rPr>
          <w:t>Figure 1B</w:t>
        </w:r>
      </w:hyperlink>
      <w:r w:rsidRPr="000F4137">
        <w:rPr>
          <w:sz w:val="20"/>
          <w:szCs w:val="20"/>
        </w:rPr>
        <w:t>. Strain LT1964 (</w:t>
      </w:r>
      <w:r w:rsidRPr="000F4137">
        <w:rPr>
          <w:rFonts w:ascii="Cambria Math" w:hAnsi="Cambria Math" w:cs="Cambria Math"/>
          <w:sz w:val="20"/>
          <w:szCs w:val="20"/>
        </w:rPr>
        <w:t>▵</w:t>
      </w:r>
      <w:r w:rsidRPr="000F4137">
        <w:rPr>
          <w:sz w:val="20"/>
          <w:szCs w:val="20"/>
        </w:rPr>
        <w:t xml:space="preserve">) has the same DNA as LT732 but with a mutation in the </w:t>
      </w:r>
      <w:r w:rsidRPr="000F4137">
        <w:rPr>
          <w:rFonts w:cs="Arial"/>
          <w:sz w:val="20"/>
          <w:szCs w:val="20"/>
        </w:rPr>
        <w:t>−</w:t>
      </w:r>
      <w:r w:rsidRPr="000F4137">
        <w:rPr>
          <w:sz w:val="20"/>
          <w:szCs w:val="20"/>
        </w:rPr>
        <w:t>10 region of the</w:t>
      </w:r>
      <w:r w:rsidRPr="000F4137">
        <w:rPr>
          <w:rFonts w:cs="Arial"/>
          <w:sz w:val="20"/>
          <w:szCs w:val="20"/>
        </w:rPr>
        <w:t> </w:t>
      </w:r>
      <w:r w:rsidRPr="000F4137">
        <w:rPr>
          <w:i/>
          <w:iCs/>
          <w:sz w:val="20"/>
          <w:szCs w:val="20"/>
        </w:rPr>
        <w:t>P</w:t>
      </w:r>
      <w:r w:rsidRPr="000F4137">
        <w:rPr>
          <w:sz w:val="20"/>
          <w:szCs w:val="20"/>
          <w:vertAlign w:val="subscript"/>
        </w:rPr>
        <w:t>LIT</w:t>
      </w:r>
      <w:r w:rsidRPr="000F4137">
        <w:rPr>
          <w:sz w:val="20"/>
          <w:szCs w:val="20"/>
        </w:rPr>
        <w:t> promoter, </w:t>
      </w:r>
      <w:r w:rsidRPr="000F4137">
        <w:rPr>
          <w:i/>
          <w:iCs/>
          <w:sz w:val="20"/>
          <w:szCs w:val="20"/>
        </w:rPr>
        <w:t>P</w:t>
      </w:r>
      <w:r w:rsidRPr="000F4137">
        <w:rPr>
          <w:sz w:val="20"/>
          <w:szCs w:val="20"/>
          <w:vertAlign w:val="subscript"/>
        </w:rPr>
        <w:t>LIT-10</w:t>
      </w:r>
      <w:r w:rsidRPr="000F4137">
        <w:rPr>
          <w:sz w:val="20"/>
          <w:szCs w:val="20"/>
        </w:rPr>
        <w:t>. Survival of a </w:t>
      </w:r>
      <w:proofErr w:type="spellStart"/>
      <w:r w:rsidRPr="000F4137">
        <w:rPr>
          <w:i/>
          <w:iCs/>
          <w:sz w:val="20"/>
          <w:szCs w:val="20"/>
        </w:rPr>
        <w:t>recA</w:t>
      </w:r>
      <w:proofErr w:type="spellEnd"/>
      <w:r w:rsidRPr="000F4137">
        <w:rPr>
          <w:sz w:val="20"/>
          <w:szCs w:val="20"/>
        </w:rPr>
        <w:t> mutant, strain LT1015, is shown for comparison (▼). </w:t>
      </w:r>
      <w:r w:rsidRPr="000F4137">
        <w:rPr>
          <w:b/>
          <w:bCs/>
          <w:sz w:val="20"/>
          <w:szCs w:val="20"/>
        </w:rPr>
        <w:t>(B)</w:t>
      </w:r>
      <w:r w:rsidRPr="000F4137">
        <w:rPr>
          <w:sz w:val="20"/>
          <w:szCs w:val="20"/>
        </w:rPr>
        <w:t> Strains lacking </w:t>
      </w:r>
      <w:proofErr w:type="spellStart"/>
      <w:r w:rsidRPr="000F4137">
        <w:rPr>
          <w:i/>
          <w:iCs/>
          <w:sz w:val="20"/>
          <w:szCs w:val="20"/>
        </w:rPr>
        <w:t>rexA</w:t>
      </w:r>
      <w:proofErr w:type="spellEnd"/>
      <w:r w:rsidRPr="000F4137">
        <w:rPr>
          <w:sz w:val="20"/>
          <w:szCs w:val="20"/>
        </w:rPr>
        <w:t> and/or </w:t>
      </w:r>
      <w:proofErr w:type="spellStart"/>
      <w:r w:rsidRPr="000F4137">
        <w:rPr>
          <w:i/>
          <w:iCs/>
          <w:sz w:val="20"/>
          <w:szCs w:val="20"/>
        </w:rPr>
        <w:t>rexB</w:t>
      </w:r>
      <w:proofErr w:type="spellEnd"/>
      <w:r w:rsidRPr="000F4137">
        <w:rPr>
          <w:sz w:val="20"/>
          <w:szCs w:val="20"/>
        </w:rPr>
        <w:t> have UV resistance like that of MG1655. The individual </w:t>
      </w:r>
      <w:r w:rsidRPr="000F4137">
        <w:rPr>
          <w:i/>
          <w:iCs/>
          <w:sz w:val="20"/>
          <w:szCs w:val="20"/>
        </w:rPr>
        <w:t>rex</w:t>
      </w:r>
      <w:r w:rsidRPr="000F4137">
        <w:rPr>
          <w:sz w:val="20"/>
          <w:szCs w:val="20"/>
        </w:rPr>
        <w:t> mutants LT2154 </w:t>
      </w:r>
      <w:proofErr w:type="spellStart"/>
      <w:r w:rsidRPr="000F4137">
        <w:rPr>
          <w:i/>
          <w:iCs/>
          <w:sz w:val="20"/>
          <w:szCs w:val="20"/>
        </w:rPr>
        <w:t>rexA</w:t>
      </w:r>
      <w:proofErr w:type="spellEnd"/>
      <w:r w:rsidRPr="000F4137">
        <w:rPr>
          <w:i/>
          <w:iCs/>
          <w:sz w:val="20"/>
          <w:szCs w:val="20"/>
        </w:rPr>
        <w:t>&lt;&gt;cat P</w:t>
      </w:r>
      <w:r w:rsidRPr="000F4137">
        <w:rPr>
          <w:sz w:val="20"/>
          <w:szCs w:val="20"/>
          <w:vertAlign w:val="subscript"/>
        </w:rPr>
        <w:t>LIT-10</w:t>
      </w:r>
      <w:r w:rsidRPr="000F4137">
        <w:rPr>
          <w:sz w:val="20"/>
          <w:szCs w:val="20"/>
        </w:rPr>
        <w:t> (▼) and LT2155 </w:t>
      </w:r>
      <w:proofErr w:type="spellStart"/>
      <w:r w:rsidRPr="000F4137">
        <w:rPr>
          <w:i/>
          <w:iCs/>
          <w:sz w:val="20"/>
          <w:szCs w:val="20"/>
        </w:rPr>
        <w:t>rexB</w:t>
      </w:r>
      <w:proofErr w:type="spellEnd"/>
      <w:r w:rsidRPr="000F4137">
        <w:rPr>
          <w:i/>
          <w:iCs/>
          <w:sz w:val="20"/>
          <w:szCs w:val="20"/>
        </w:rPr>
        <w:t>&lt;&gt;cat P</w:t>
      </w:r>
      <w:r w:rsidRPr="000F4137">
        <w:rPr>
          <w:sz w:val="20"/>
          <w:szCs w:val="20"/>
          <w:vertAlign w:val="subscript"/>
        </w:rPr>
        <w:t>LIT-10</w:t>
      </w:r>
      <w:r w:rsidRPr="000F4137">
        <w:rPr>
          <w:sz w:val="20"/>
          <w:szCs w:val="20"/>
        </w:rPr>
        <w:t> (</w:t>
      </w:r>
      <w:r w:rsidRPr="000F4137">
        <w:rPr>
          <w:rFonts w:ascii="Cambria Math" w:hAnsi="Cambria Math" w:cs="Cambria Math"/>
          <w:sz w:val="20"/>
          <w:szCs w:val="20"/>
        </w:rPr>
        <w:t>▵</w:t>
      </w:r>
      <w:r w:rsidRPr="000F4137">
        <w:rPr>
          <w:sz w:val="20"/>
          <w:szCs w:val="20"/>
        </w:rPr>
        <w:t>) contain the</w:t>
      </w:r>
      <w:r w:rsidRPr="000F4137">
        <w:rPr>
          <w:rFonts w:cs="Arial"/>
          <w:sz w:val="20"/>
          <w:szCs w:val="20"/>
        </w:rPr>
        <w:t> </w:t>
      </w:r>
      <w:r w:rsidRPr="000F4137">
        <w:rPr>
          <w:i/>
          <w:iCs/>
          <w:sz w:val="20"/>
          <w:szCs w:val="20"/>
        </w:rPr>
        <w:t>P</w:t>
      </w:r>
      <w:r w:rsidRPr="000F4137">
        <w:rPr>
          <w:sz w:val="20"/>
          <w:szCs w:val="20"/>
          <w:vertAlign w:val="subscript"/>
        </w:rPr>
        <w:t>LIT-10</w:t>
      </w:r>
      <w:r w:rsidRPr="000F4137">
        <w:rPr>
          <w:sz w:val="20"/>
          <w:szCs w:val="20"/>
        </w:rPr>
        <w:t> mutation. The doubly </w:t>
      </w:r>
      <w:r w:rsidRPr="000F4137">
        <w:rPr>
          <w:i/>
          <w:iCs/>
          <w:sz w:val="20"/>
          <w:szCs w:val="20"/>
        </w:rPr>
        <w:t>rex</w:t>
      </w:r>
      <w:r w:rsidRPr="000F4137">
        <w:rPr>
          <w:sz w:val="20"/>
          <w:szCs w:val="20"/>
        </w:rPr>
        <w:t> mutant strain, LT1651 </w:t>
      </w:r>
      <w:r w:rsidRPr="000F4137">
        <w:rPr>
          <w:i/>
          <w:iCs/>
          <w:sz w:val="20"/>
          <w:szCs w:val="20"/>
        </w:rPr>
        <w:t>c</w:t>
      </w:r>
      <w:r w:rsidRPr="000F4137">
        <w:rPr>
          <w:sz w:val="20"/>
          <w:szCs w:val="20"/>
        </w:rPr>
        <w:t>I</w:t>
      </w:r>
      <w:r w:rsidRPr="000F4137">
        <w:rPr>
          <w:i/>
          <w:iCs/>
          <w:sz w:val="20"/>
          <w:szCs w:val="20"/>
        </w:rPr>
        <w:t>857</w:t>
      </w:r>
      <w:r w:rsidRPr="000F4137">
        <w:rPr>
          <w:sz w:val="20"/>
          <w:szCs w:val="20"/>
        </w:rPr>
        <w:t> (</w:t>
      </w:r>
      <w:proofErr w:type="spellStart"/>
      <w:r w:rsidRPr="000F4137">
        <w:rPr>
          <w:i/>
          <w:iCs/>
          <w:sz w:val="20"/>
          <w:szCs w:val="20"/>
        </w:rPr>
        <w:t>rexA</w:t>
      </w:r>
      <w:proofErr w:type="spellEnd"/>
      <w:r w:rsidRPr="000F4137">
        <w:rPr>
          <w:i/>
          <w:iCs/>
          <w:sz w:val="20"/>
          <w:szCs w:val="20"/>
        </w:rPr>
        <w:t xml:space="preserve"> </w:t>
      </w:r>
      <w:proofErr w:type="spellStart"/>
      <w:proofErr w:type="gramStart"/>
      <w:r w:rsidRPr="000F4137">
        <w:rPr>
          <w:i/>
          <w:iCs/>
          <w:sz w:val="20"/>
          <w:szCs w:val="20"/>
        </w:rPr>
        <w:t>rexB</w:t>
      </w:r>
      <w:proofErr w:type="spellEnd"/>
      <w:r w:rsidRPr="000F4137">
        <w:rPr>
          <w:sz w:val="20"/>
          <w:szCs w:val="20"/>
        </w:rPr>
        <w:t>)</w:t>
      </w:r>
      <w:r w:rsidRPr="000F4137">
        <w:rPr>
          <w:i/>
          <w:iCs/>
          <w:sz w:val="20"/>
          <w:szCs w:val="20"/>
        </w:rPr>
        <w:t>&lt;</w:t>
      </w:r>
      <w:proofErr w:type="gramEnd"/>
      <w:r w:rsidRPr="000F4137">
        <w:rPr>
          <w:i/>
          <w:iCs/>
          <w:sz w:val="20"/>
          <w:szCs w:val="20"/>
        </w:rPr>
        <w:t>&gt;cat</w:t>
      </w:r>
      <w:r w:rsidRPr="000F4137">
        <w:rPr>
          <w:sz w:val="20"/>
          <w:szCs w:val="20"/>
        </w:rPr>
        <w:t> (○), expresses only the phage </w:t>
      </w:r>
      <w:r w:rsidRPr="000F4137">
        <w:rPr>
          <w:i/>
          <w:iCs/>
          <w:sz w:val="20"/>
          <w:szCs w:val="20"/>
        </w:rPr>
        <w:t>c</w:t>
      </w:r>
      <w:r w:rsidRPr="000F4137">
        <w:rPr>
          <w:sz w:val="20"/>
          <w:szCs w:val="20"/>
        </w:rPr>
        <w:t>I</w:t>
      </w:r>
      <w:r w:rsidRPr="000F4137">
        <w:rPr>
          <w:i/>
          <w:iCs/>
          <w:sz w:val="20"/>
          <w:szCs w:val="20"/>
        </w:rPr>
        <w:t>857</w:t>
      </w:r>
      <w:r w:rsidRPr="000F4137">
        <w:rPr>
          <w:sz w:val="20"/>
          <w:szCs w:val="20"/>
        </w:rPr>
        <w:t> gene. </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6CAC3CDE" w:rsidR="006848F2" w:rsidRPr="000B3121" w:rsidRDefault="004727D6" w:rsidP="00B70D4E">
            <w:r>
              <w:rPr>
                <w:u w:val="single"/>
              </w:rPr>
              <w:t>Sugges</w:t>
            </w:r>
            <w:r w:rsidRPr="004727D6">
              <w:rPr>
                <w:u w:val="single"/>
              </w:rPr>
              <w:t>t</w:t>
            </w:r>
            <w:r>
              <w:rPr>
                <w:u w:val="single"/>
              </w:rPr>
              <w:t>ed</w:t>
            </w:r>
            <w:r w:rsidR="006848F2">
              <w:rPr>
                <w:u w:val="single"/>
              </w:rPr>
              <w:t xml:space="preserve"> improvements?</w:t>
            </w:r>
          </w:p>
          <w:p w14:paraId="151F13F0" w14:textId="1BDB981A" w:rsidR="006848F2" w:rsidRDefault="006848F2" w:rsidP="00B70D4E"/>
          <w:p w14:paraId="3642C54E" w14:textId="6C1C4F67" w:rsidR="00DB6887" w:rsidRPr="000B3121" w:rsidRDefault="00DB6887" w:rsidP="00B70D4E"/>
        </w:tc>
      </w:tr>
    </w:tbl>
    <w:p w14:paraId="4F5DE8E7" w14:textId="77777777" w:rsidR="00857E69" w:rsidRDefault="00857E69" w:rsidP="000B3121">
      <w:pPr>
        <w:rPr>
          <w:b/>
          <w:bCs/>
          <w:u w:val="single"/>
        </w:rPr>
      </w:pPr>
    </w:p>
    <w:p w14:paraId="65ACED7E" w14:textId="11621184" w:rsidR="00212AEE" w:rsidRDefault="00212AEE" w:rsidP="000B3121">
      <w:r w:rsidRPr="000B3121">
        <w:rPr>
          <w:b/>
          <w:bCs/>
          <w:u w:val="single"/>
        </w:rPr>
        <w:t xml:space="preserve">Sample </w:t>
      </w:r>
      <w:r w:rsidR="00B41BCD">
        <w:rPr>
          <w:b/>
          <w:bCs/>
          <w:u w:val="single"/>
        </w:rPr>
        <w:t>10.</w:t>
      </w:r>
      <w:r>
        <w:rPr>
          <w:b/>
          <w:bCs/>
          <w:u w:val="single"/>
        </w:rPr>
        <w:t>2</w:t>
      </w:r>
      <w:r w:rsidRPr="000B3121">
        <w:rPr>
          <w:u w:val="single"/>
        </w:rPr>
        <w:t xml:space="preserve"> </w:t>
      </w:r>
      <w:r w:rsidR="00B41BCD">
        <w:rPr>
          <w:vertAlign w:val="superscript"/>
        </w:rPr>
        <w:t>3</w:t>
      </w:r>
      <w:r w:rsidRPr="000B3121">
        <w:t> </w:t>
      </w:r>
    </w:p>
    <w:p w14:paraId="3B911D32" w14:textId="25C56071" w:rsidR="00DB6887" w:rsidRDefault="00DB6887" w:rsidP="00DB6887">
      <w:r w:rsidRPr="00DB6887">
        <w:t>In the genome of </w:t>
      </w:r>
      <w:r w:rsidRPr="00DB6887">
        <w:rPr>
          <w:i/>
          <w:iCs/>
        </w:rPr>
        <w:t>E. coli</w:t>
      </w:r>
      <w:r w:rsidRPr="00DB6887">
        <w:t>, the </w:t>
      </w:r>
      <w:proofErr w:type="spellStart"/>
      <w:r w:rsidRPr="00DB6887">
        <w:rPr>
          <w:i/>
          <w:iCs/>
        </w:rPr>
        <w:t>hiuH</w:t>
      </w:r>
      <w:proofErr w:type="spellEnd"/>
      <w:r w:rsidRPr="00DB6887">
        <w:t> gene is located 109 bp upstream of </w:t>
      </w:r>
      <w:proofErr w:type="spellStart"/>
      <w:r w:rsidRPr="00DB6887">
        <w:rPr>
          <w:i/>
          <w:iCs/>
        </w:rPr>
        <w:t>msrP</w:t>
      </w:r>
      <w:proofErr w:type="spellEnd"/>
      <w:r w:rsidRPr="00DB6887">
        <w:t> and 1,114 bp upstream of </w:t>
      </w:r>
      <w:proofErr w:type="spellStart"/>
      <w:r w:rsidRPr="00DB6887">
        <w:rPr>
          <w:i/>
          <w:iCs/>
        </w:rPr>
        <w:t>msrQ</w:t>
      </w:r>
      <w:proofErr w:type="spellEnd"/>
      <w:r w:rsidRPr="00DB6887">
        <w:t> (</w:t>
      </w:r>
      <w:hyperlink r:id="rId18" w:anchor="F1" w:history="1">
        <w:r w:rsidRPr="00DB6887">
          <w:rPr>
            <w:rStyle w:val="Hyperlink"/>
          </w:rPr>
          <w:t>Fig. 1A</w:t>
        </w:r>
      </w:hyperlink>
      <w:r w:rsidRPr="00DB6887">
        <w:t>). The expression of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has been reported to be under the control of the </w:t>
      </w:r>
      <w:proofErr w:type="spellStart"/>
      <w:r w:rsidRPr="00DB6887">
        <w:t>HprSR</w:t>
      </w:r>
      <w:proofErr w:type="spellEnd"/>
      <w:r w:rsidRPr="00DB6887">
        <w:t xml:space="preserve"> two-component system (</w:t>
      </w:r>
      <w:hyperlink r:id="rId19" w:anchor="core-B13" w:history="1">
        <w:r w:rsidRPr="00DB6887">
          <w:rPr>
            <w:rStyle w:val="Hyperlink"/>
          </w:rPr>
          <w:t>13</w:t>
        </w:r>
      </w:hyperlink>
      <w:r w:rsidRPr="00DB6887">
        <w:t>, </w:t>
      </w:r>
      <w:hyperlink r:id="rId20" w:anchor="core-B16" w:history="1">
        <w:r w:rsidRPr="00DB6887">
          <w:rPr>
            <w:rStyle w:val="Hyperlink"/>
          </w:rPr>
          <w:t>16</w:t>
        </w:r>
      </w:hyperlink>
      <w:r w:rsidRPr="00DB6887">
        <w:t xml:space="preserve">), with an </w:t>
      </w:r>
      <w:proofErr w:type="spellStart"/>
      <w:r w:rsidRPr="00DB6887">
        <w:t>HprR</w:t>
      </w:r>
      <w:proofErr w:type="spellEnd"/>
      <w:r w:rsidRPr="00DB6887">
        <w:t xml:space="preserve"> box located upstream of </w:t>
      </w:r>
      <w:proofErr w:type="spellStart"/>
      <w:r w:rsidRPr="00DB6887">
        <w:rPr>
          <w:i/>
          <w:iCs/>
        </w:rPr>
        <w:t>hiuH</w:t>
      </w:r>
      <w:proofErr w:type="spellEnd"/>
      <w:r w:rsidRPr="00DB6887">
        <w:t> (87 to 70 bp before the </w:t>
      </w:r>
      <w:proofErr w:type="spellStart"/>
      <w:r w:rsidRPr="00DB6887">
        <w:rPr>
          <w:i/>
          <w:iCs/>
        </w:rPr>
        <w:t>hiuH</w:t>
      </w:r>
      <w:proofErr w:type="spellEnd"/>
      <w:r w:rsidRPr="00DB6887">
        <w:t xml:space="preserve"> start codon). </w:t>
      </w:r>
      <w:r w:rsidRPr="00D65867">
        <w:rPr>
          <w:highlight w:val="yellow"/>
        </w:rPr>
        <w:t>These observations suggest that </w:t>
      </w:r>
      <w:proofErr w:type="spellStart"/>
      <w:r w:rsidRPr="00D65867">
        <w:rPr>
          <w:i/>
          <w:iCs/>
          <w:highlight w:val="yellow"/>
        </w:rPr>
        <w:t>hiuH</w:t>
      </w:r>
      <w:proofErr w:type="spellEnd"/>
      <w:r w:rsidRPr="00D65867">
        <w:rPr>
          <w:highlight w:val="yellow"/>
        </w:rPr>
        <w:t>, </w:t>
      </w:r>
      <w:proofErr w:type="spellStart"/>
      <w:r w:rsidRPr="00D65867">
        <w:rPr>
          <w:i/>
          <w:iCs/>
          <w:highlight w:val="yellow"/>
        </w:rPr>
        <w:t>msrP</w:t>
      </w:r>
      <w:proofErr w:type="spellEnd"/>
      <w:r w:rsidRPr="00D65867">
        <w:rPr>
          <w:highlight w:val="yellow"/>
        </w:rPr>
        <w:t>, and </w:t>
      </w:r>
      <w:proofErr w:type="spellStart"/>
      <w:r w:rsidRPr="00D65867">
        <w:rPr>
          <w:i/>
          <w:iCs/>
          <w:highlight w:val="yellow"/>
        </w:rPr>
        <w:t>msrQ</w:t>
      </w:r>
      <w:proofErr w:type="spellEnd"/>
      <w:r w:rsidRPr="00D65867">
        <w:rPr>
          <w:highlight w:val="yellow"/>
        </w:rPr>
        <w:t> might belong to the same operon. This hypothesis was explored further</w:t>
      </w:r>
      <w:r w:rsidRPr="00DB6887">
        <w:t xml:space="preserve"> </w:t>
      </w:r>
      <w:r w:rsidRPr="00FD2D15">
        <w:rPr>
          <w:highlight w:val="green"/>
        </w:rPr>
        <w:t xml:space="preserve">by reverse transcription-PCR (RT-PCR) using converging pairs of primers located within each of the three genes: after RNA reverse transcription, </w:t>
      </w:r>
      <w:r w:rsidRPr="00FD2D15">
        <w:rPr>
          <w:highlight w:val="cyan"/>
        </w:rPr>
        <w:t>PCR amplifications were observed between </w:t>
      </w:r>
      <w:proofErr w:type="spellStart"/>
      <w:r w:rsidRPr="00FD2D15">
        <w:rPr>
          <w:i/>
          <w:iCs/>
          <w:highlight w:val="cyan"/>
        </w:rPr>
        <w:t>hiuH</w:t>
      </w:r>
      <w:proofErr w:type="spellEnd"/>
      <w:r w:rsidRPr="00FD2D15">
        <w:rPr>
          <w:highlight w:val="cyan"/>
        </w:rPr>
        <w:t> and </w:t>
      </w:r>
      <w:proofErr w:type="spellStart"/>
      <w:r w:rsidRPr="00FD2D15">
        <w:rPr>
          <w:i/>
          <w:iCs/>
          <w:highlight w:val="cyan"/>
        </w:rPr>
        <w:t>msrP</w:t>
      </w:r>
      <w:proofErr w:type="spellEnd"/>
      <w:r w:rsidRPr="00FD2D15">
        <w:rPr>
          <w:highlight w:val="cyan"/>
        </w:rPr>
        <w:t> and between </w:t>
      </w:r>
      <w:proofErr w:type="spellStart"/>
      <w:r w:rsidRPr="00FD2D15">
        <w:rPr>
          <w:i/>
          <w:iCs/>
          <w:highlight w:val="cyan"/>
        </w:rPr>
        <w:t>msrP</w:t>
      </w:r>
      <w:proofErr w:type="spellEnd"/>
      <w:r w:rsidRPr="00FD2D15">
        <w:rPr>
          <w:highlight w:val="cyan"/>
        </w:rPr>
        <w:t> and </w:t>
      </w:r>
      <w:proofErr w:type="spellStart"/>
      <w:r w:rsidRPr="00FD2D15">
        <w:rPr>
          <w:i/>
          <w:iCs/>
          <w:highlight w:val="cyan"/>
        </w:rPr>
        <w:t>msrQ</w:t>
      </w:r>
      <w:proofErr w:type="spellEnd"/>
      <w:r w:rsidRPr="00FD2D15">
        <w:rPr>
          <w:highlight w:val="cyan"/>
        </w:rPr>
        <w:t xml:space="preserve">, showing a </w:t>
      </w:r>
      <w:proofErr w:type="spellStart"/>
      <w:r w:rsidRPr="00FD2D15">
        <w:rPr>
          <w:highlight w:val="cyan"/>
        </w:rPr>
        <w:t>tricistronic</w:t>
      </w:r>
      <w:proofErr w:type="spellEnd"/>
      <w:r w:rsidRPr="00FD2D15">
        <w:rPr>
          <w:highlight w:val="cyan"/>
        </w:rPr>
        <w:t xml:space="preserve"> organization</w:t>
      </w:r>
      <w:r w:rsidRPr="00DB6887">
        <w:t xml:space="preserve"> (</w:t>
      </w:r>
      <w:hyperlink r:id="rId21" w:anchor="F1" w:history="1">
        <w:r w:rsidRPr="00DB6887">
          <w:rPr>
            <w:rStyle w:val="Hyperlink"/>
          </w:rPr>
          <w:t>Fig. 1B</w:t>
        </w:r>
      </w:hyperlink>
      <w:r w:rsidRPr="00DB6887">
        <w:t xml:space="preserve">). </w:t>
      </w:r>
      <w:r w:rsidRPr="00684F4F">
        <w:rPr>
          <w:highlight w:val="cyan"/>
        </w:rPr>
        <w:t>As positive and negative controls, we used chromosomal DNA and total RNA, respectively, as templates for PCR amplifications with the same pairs of primers.</w:t>
      </w:r>
      <w:r w:rsidRPr="00DB6887">
        <w:t xml:space="preserve"> </w:t>
      </w:r>
      <w:r w:rsidRPr="00684F4F">
        <w:rPr>
          <w:highlight w:val="magenta"/>
        </w:rPr>
        <w:t>Together, these experiments strongly suggest that </w:t>
      </w:r>
      <w:proofErr w:type="spellStart"/>
      <w:r w:rsidRPr="00684F4F">
        <w:rPr>
          <w:i/>
          <w:iCs/>
          <w:highlight w:val="magenta"/>
        </w:rPr>
        <w:t>hiuH</w:t>
      </w:r>
      <w:proofErr w:type="spellEnd"/>
      <w:r w:rsidRPr="00684F4F">
        <w:rPr>
          <w:highlight w:val="magenta"/>
        </w:rPr>
        <w:t>, </w:t>
      </w:r>
      <w:proofErr w:type="spellStart"/>
      <w:r w:rsidRPr="00684F4F">
        <w:rPr>
          <w:i/>
          <w:iCs/>
          <w:highlight w:val="magenta"/>
        </w:rPr>
        <w:t>msrP</w:t>
      </w:r>
      <w:proofErr w:type="spellEnd"/>
      <w:r w:rsidRPr="00684F4F">
        <w:rPr>
          <w:highlight w:val="magenta"/>
        </w:rPr>
        <w:t>, and </w:t>
      </w:r>
      <w:proofErr w:type="spellStart"/>
      <w:r w:rsidRPr="00684F4F">
        <w:rPr>
          <w:i/>
          <w:iCs/>
          <w:highlight w:val="magenta"/>
        </w:rPr>
        <w:t>msrQ</w:t>
      </w:r>
      <w:proofErr w:type="spellEnd"/>
      <w:r w:rsidRPr="00684F4F">
        <w:rPr>
          <w:highlight w:val="magenta"/>
        </w:rPr>
        <w:t> are part of the same operon.</w:t>
      </w:r>
      <w:r w:rsidRPr="00DB6887">
        <w:t xml:space="preserve"> </w:t>
      </w:r>
    </w:p>
    <w:p w14:paraId="5A0D76F6" w14:textId="77777777" w:rsidR="00882126" w:rsidRDefault="00882126" w:rsidP="00882126">
      <w:r>
        <w:rPr>
          <w:noProof/>
        </w:rPr>
        <w:drawing>
          <wp:inline distT="0" distB="0" distL="0" distR="0" wp14:anchorId="0D70B33F" wp14:editId="09EB0219">
            <wp:extent cx="3762375" cy="3299794"/>
            <wp:effectExtent l="0" t="0" r="0" b="0"/>
            <wp:docPr id="513233991" name="Picture 2" descr="A diagram of dna sequ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33991" name="Picture 2" descr="A diagram of dna sequen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8687" cy="3305330"/>
                    </a:xfrm>
                    <a:prstGeom prst="rect">
                      <a:avLst/>
                    </a:prstGeom>
                    <a:noFill/>
                    <a:ln>
                      <a:noFill/>
                    </a:ln>
                  </pic:spPr>
                </pic:pic>
              </a:graphicData>
            </a:graphic>
          </wp:inline>
        </w:drawing>
      </w:r>
    </w:p>
    <w:p w14:paraId="51999EDF" w14:textId="77777777" w:rsidR="00882126" w:rsidRPr="003D14D4" w:rsidRDefault="00882126" w:rsidP="00882126">
      <w:pPr>
        <w:rPr>
          <w:sz w:val="20"/>
          <w:szCs w:val="20"/>
        </w:rPr>
      </w:pPr>
      <w:r w:rsidRPr="003D14D4">
        <w:rPr>
          <w:b/>
          <w:bCs/>
          <w:sz w:val="20"/>
          <w:szCs w:val="20"/>
        </w:rPr>
        <w:t>FIG 1</w:t>
      </w:r>
      <w:r w:rsidRPr="003D14D4">
        <w:rPr>
          <w:sz w:val="20"/>
          <w:szCs w:val="20"/>
        </w:rPr>
        <w:t> Genetic organization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in </w:t>
      </w:r>
      <w:r w:rsidRPr="003D14D4">
        <w:rPr>
          <w:i/>
          <w:iCs/>
          <w:sz w:val="20"/>
          <w:szCs w:val="20"/>
        </w:rPr>
        <w:t>Escherichia coli</w:t>
      </w:r>
      <w:r w:rsidRPr="003D14D4">
        <w:rPr>
          <w:sz w:val="20"/>
          <w:szCs w:val="20"/>
        </w:rPr>
        <w:t> K-12. (A) Schematic representation of the </w:t>
      </w:r>
      <w:proofErr w:type="spellStart"/>
      <w:r w:rsidRPr="003D14D4">
        <w:rPr>
          <w:i/>
          <w:iCs/>
          <w:sz w:val="20"/>
          <w:szCs w:val="20"/>
        </w:rPr>
        <w:t>hprRS</w:t>
      </w:r>
      <w:proofErr w:type="spellEnd"/>
      <w:r w:rsidRPr="003D14D4">
        <w:rPr>
          <w:sz w:val="20"/>
          <w:szCs w:val="20"/>
        </w:rPr>
        <w:t> operon,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genes. In the </w:t>
      </w:r>
      <w:r w:rsidRPr="003D14D4">
        <w:rPr>
          <w:i/>
          <w:iCs/>
          <w:sz w:val="20"/>
          <w:szCs w:val="20"/>
        </w:rPr>
        <w:t>E. coli</w:t>
      </w:r>
      <w:r w:rsidRPr="003D14D4">
        <w:rPr>
          <w:sz w:val="20"/>
          <w:szCs w:val="20"/>
        </w:rPr>
        <w:t> genome,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xml:space="preserve"> are adjacent: they </w:t>
      </w:r>
      <w:proofErr w:type="gramStart"/>
      <w:r w:rsidRPr="003D14D4">
        <w:rPr>
          <w:sz w:val="20"/>
          <w:szCs w:val="20"/>
        </w:rPr>
        <w:t>are located in</w:t>
      </w:r>
      <w:proofErr w:type="gramEnd"/>
      <w:r w:rsidRPr="003D14D4">
        <w:rPr>
          <w:sz w:val="20"/>
          <w:szCs w:val="20"/>
        </w:rPr>
        <w:t xml:space="preserve"> proximity to the </w:t>
      </w:r>
      <w:proofErr w:type="spellStart"/>
      <w:r w:rsidRPr="003D14D4">
        <w:rPr>
          <w:i/>
          <w:iCs/>
          <w:sz w:val="20"/>
          <w:szCs w:val="20"/>
        </w:rPr>
        <w:t>hprR-hprS</w:t>
      </w:r>
      <w:proofErr w:type="spellEnd"/>
      <w:r w:rsidRPr="003D14D4">
        <w:rPr>
          <w:sz w:val="20"/>
          <w:szCs w:val="20"/>
        </w:rPr>
        <w:t> operon. The intergenic region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hprR</w:t>
      </w:r>
      <w:proofErr w:type="spellEnd"/>
      <w:r w:rsidRPr="003D14D4">
        <w:rPr>
          <w:sz w:val="20"/>
          <w:szCs w:val="20"/>
        </w:rPr>
        <w:t xml:space="preserve"> contains the </w:t>
      </w:r>
      <w:proofErr w:type="spellStart"/>
      <w:r w:rsidRPr="003D14D4">
        <w:rPr>
          <w:sz w:val="20"/>
          <w:szCs w:val="20"/>
        </w:rPr>
        <w:t>HprR</w:t>
      </w:r>
      <w:proofErr w:type="spellEnd"/>
      <w:r w:rsidRPr="003D14D4">
        <w:rPr>
          <w:sz w:val="20"/>
          <w:szCs w:val="20"/>
        </w:rPr>
        <w:t xml:space="preserve"> box (CATTACAAAATTGTAATG) (</w:t>
      </w:r>
      <w:hyperlink r:id="rId23" w:anchor="core-B15" w:history="1">
        <w:r w:rsidRPr="003D14D4">
          <w:rPr>
            <w:rStyle w:val="Hyperlink"/>
            <w:sz w:val="20"/>
            <w:szCs w:val="20"/>
          </w:rPr>
          <w:t>15</w:t>
        </w:r>
      </w:hyperlink>
      <w:r w:rsidRPr="003D14D4">
        <w:rPr>
          <w:sz w:val="20"/>
          <w:szCs w:val="20"/>
        </w:rPr>
        <w:t>). Primer positions used for the following experiments are indicated on the diagram: the first set of primers amplify the region of 1,030 bp between </w:t>
      </w:r>
      <w:proofErr w:type="spellStart"/>
      <w:r w:rsidRPr="003D14D4">
        <w:rPr>
          <w:i/>
          <w:iCs/>
          <w:sz w:val="20"/>
          <w:szCs w:val="20"/>
        </w:rPr>
        <w:t>hiuH</w:t>
      </w:r>
      <w:proofErr w:type="spellEnd"/>
      <w:r w:rsidRPr="003D14D4">
        <w:rPr>
          <w:sz w:val="20"/>
          <w:szCs w:val="20"/>
        </w:rPr>
        <w:t> and </w:t>
      </w:r>
      <w:proofErr w:type="spellStart"/>
      <w:r w:rsidRPr="003D14D4">
        <w:rPr>
          <w:i/>
          <w:iCs/>
          <w:sz w:val="20"/>
          <w:szCs w:val="20"/>
        </w:rPr>
        <w:t>msrP</w:t>
      </w:r>
      <w:proofErr w:type="spellEnd"/>
      <w:r w:rsidRPr="003D14D4">
        <w:rPr>
          <w:sz w:val="20"/>
          <w:szCs w:val="20"/>
        </w:rPr>
        <w:t> (1). The second set amplify the region of 1,024 bp between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(2). (B) RT-PCR analysis of </w:t>
      </w:r>
      <w:proofErr w:type="spellStart"/>
      <w:r w:rsidRPr="003D14D4">
        <w:rPr>
          <w:i/>
          <w:iCs/>
          <w:sz w:val="20"/>
          <w:szCs w:val="20"/>
        </w:rPr>
        <w:t>hiuH</w:t>
      </w:r>
      <w:proofErr w:type="spellEnd"/>
      <w:r w:rsidRPr="003D14D4">
        <w:rPr>
          <w:sz w:val="20"/>
          <w:szCs w:val="20"/>
        </w:rPr>
        <w:t>, </w:t>
      </w:r>
      <w:proofErr w:type="spellStart"/>
      <w:r w:rsidRPr="003D14D4">
        <w:rPr>
          <w:i/>
          <w:iCs/>
          <w:sz w:val="20"/>
          <w:szCs w:val="20"/>
        </w:rPr>
        <w:t>msrP</w:t>
      </w:r>
      <w:proofErr w:type="spellEnd"/>
      <w:r w:rsidRPr="003D14D4">
        <w:rPr>
          <w:sz w:val="20"/>
          <w:szCs w:val="20"/>
        </w:rPr>
        <w:t>, and </w:t>
      </w:r>
      <w:proofErr w:type="spellStart"/>
      <w:r w:rsidRPr="003D14D4">
        <w:rPr>
          <w:i/>
          <w:iCs/>
          <w:sz w:val="20"/>
          <w:szCs w:val="20"/>
        </w:rPr>
        <w:t>msrQ</w:t>
      </w:r>
      <w:proofErr w:type="spellEnd"/>
      <w:r w:rsidRPr="003D14D4">
        <w:rPr>
          <w:sz w:val="20"/>
          <w:szCs w:val="20"/>
        </w:rPr>
        <w:t>. </w:t>
      </w:r>
      <w:r w:rsidRPr="003D14D4">
        <w:rPr>
          <w:i/>
          <w:iCs/>
          <w:sz w:val="20"/>
          <w:szCs w:val="20"/>
        </w:rPr>
        <w:t>E. coli</w:t>
      </w:r>
      <w:r w:rsidRPr="003D14D4">
        <w:rPr>
          <w:sz w:val="20"/>
          <w:szCs w:val="20"/>
        </w:rPr>
        <w:t xml:space="preserve"> cells MG1655 (WT) were cultured in the presence of 2 mM </w:t>
      </w:r>
      <w:proofErr w:type="spellStart"/>
      <w:r w:rsidRPr="003D14D4">
        <w:rPr>
          <w:sz w:val="20"/>
          <w:szCs w:val="20"/>
        </w:rPr>
        <w:t>HOCl</w:t>
      </w:r>
      <w:proofErr w:type="spellEnd"/>
      <w:r w:rsidRPr="003D14D4">
        <w:rPr>
          <w:sz w:val="20"/>
          <w:szCs w:val="20"/>
        </w:rPr>
        <w:t xml:space="preserve"> in LB medium. Total RNA was extracted and retrotranscribed into cDNA. PCRs were carried out on total extracted RNA, chromosomal DNA, on cDNA using the primers depicted in panel A.</w:t>
      </w:r>
    </w:p>
    <w:p w14:paraId="29771FD8" w14:textId="77777777" w:rsidR="00882126" w:rsidRPr="008A04D9" w:rsidRDefault="00882126" w:rsidP="00DB6887"/>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7B5D5252"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919DE3B" w14:textId="77777777" w:rsidR="00DB6887" w:rsidRPr="000B3121" w:rsidRDefault="00DB6887" w:rsidP="00B4211A">
            <w:r>
              <w:rPr>
                <w:u w:val="single"/>
              </w:rPr>
              <w:t>Sugges</w:t>
            </w:r>
            <w:r w:rsidRPr="004727D6">
              <w:rPr>
                <w:u w:val="single"/>
              </w:rPr>
              <w:t>t</w:t>
            </w:r>
            <w:r>
              <w:rPr>
                <w:u w:val="single"/>
              </w:rPr>
              <w:t>ed improvements?</w:t>
            </w:r>
          </w:p>
          <w:p w14:paraId="006F59D3" w14:textId="77777777" w:rsidR="00DB6887" w:rsidRDefault="00DB6887" w:rsidP="00B4211A"/>
          <w:p w14:paraId="0142D11F" w14:textId="6267A6E4" w:rsidR="00DB6887" w:rsidRPr="000B3121" w:rsidRDefault="00DB6887" w:rsidP="00B4211A"/>
        </w:tc>
      </w:tr>
    </w:tbl>
    <w:p w14:paraId="0EA6CC49" w14:textId="5B15343B" w:rsidR="000A7DDE" w:rsidRPr="00DB6887" w:rsidRDefault="00DB6887" w:rsidP="000B3121">
      <w:r>
        <w:t xml:space="preserve"> </w:t>
      </w:r>
    </w:p>
    <w:p w14:paraId="763B7C58" w14:textId="77777777" w:rsidR="00882126" w:rsidRDefault="00882126" w:rsidP="000B3121">
      <w:pPr>
        <w:rPr>
          <w:b/>
          <w:bCs/>
          <w:u w:val="single"/>
        </w:rPr>
      </w:pPr>
    </w:p>
    <w:p w14:paraId="15C4261A" w14:textId="77777777" w:rsidR="00882126" w:rsidRDefault="00882126" w:rsidP="000B3121">
      <w:pPr>
        <w:rPr>
          <w:b/>
          <w:bCs/>
          <w:u w:val="single"/>
        </w:rPr>
      </w:pPr>
    </w:p>
    <w:p w14:paraId="29D40684" w14:textId="77777777" w:rsidR="00882126" w:rsidRDefault="00882126" w:rsidP="000B3121">
      <w:pPr>
        <w:rPr>
          <w:b/>
          <w:bCs/>
          <w:u w:val="single"/>
        </w:rPr>
      </w:pPr>
    </w:p>
    <w:p w14:paraId="27AD121A" w14:textId="77777777" w:rsidR="00882126" w:rsidRDefault="00882126" w:rsidP="000B3121">
      <w:pPr>
        <w:rPr>
          <w:b/>
          <w:bCs/>
          <w:u w:val="single"/>
        </w:rPr>
      </w:pPr>
    </w:p>
    <w:p w14:paraId="23ECD8CA" w14:textId="460ACED1" w:rsidR="006848F2" w:rsidRDefault="006848F2" w:rsidP="000B3121">
      <w:r w:rsidRPr="000B3121">
        <w:rPr>
          <w:b/>
          <w:bCs/>
          <w:u w:val="single"/>
        </w:rPr>
        <w:t xml:space="preserve">Sample </w:t>
      </w:r>
      <w:r w:rsidR="00B41BCD">
        <w:rPr>
          <w:b/>
          <w:bCs/>
          <w:u w:val="single"/>
        </w:rPr>
        <w:t>10.</w:t>
      </w:r>
      <w:r>
        <w:rPr>
          <w:b/>
          <w:bCs/>
          <w:u w:val="single"/>
        </w:rPr>
        <w:t>3</w:t>
      </w:r>
      <w:r w:rsidRPr="000B3121">
        <w:rPr>
          <w:u w:val="single"/>
        </w:rPr>
        <w:t xml:space="preserve"> </w:t>
      </w:r>
      <w:r w:rsidR="00B41BCD">
        <w:rPr>
          <w:vertAlign w:val="superscript"/>
        </w:rPr>
        <w:t>4</w:t>
      </w:r>
      <w:r w:rsidRPr="000B3121">
        <w:t> </w:t>
      </w:r>
    </w:p>
    <w:p w14:paraId="7637E68C" w14:textId="77777777" w:rsidR="00BB0DB3" w:rsidRDefault="00BB0DB3" w:rsidP="000B3121"/>
    <w:p w14:paraId="2F80DD69" w14:textId="69E63C0B" w:rsidR="00BB0DB3" w:rsidRDefault="00BB0DB3" w:rsidP="000B3121">
      <w:r>
        <w:rPr>
          <w:noProof/>
        </w:rPr>
        <w:drawing>
          <wp:inline distT="0" distB="0" distL="0" distR="0" wp14:anchorId="1DE937B1" wp14:editId="7D536F64">
            <wp:extent cx="6192520" cy="3319145"/>
            <wp:effectExtent l="0" t="0" r="0" b="0"/>
            <wp:docPr id="1031371569" name="Picture 3"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1569" name="Picture 3" descr="A diagram of a cell&#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2520" cy="3319145"/>
                    </a:xfrm>
                    <a:prstGeom prst="rect">
                      <a:avLst/>
                    </a:prstGeom>
                    <a:noFill/>
                    <a:ln>
                      <a:noFill/>
                    </a:ln>
                  </pic:spPr>
                </pic:pic>
              </a:graphicData>
            </a:graphic>
          </wp:inline>
        </w:drawing>
      </w:r>
    </w:p>
    <w:p w14:paraId="542A3AE1" w14:textId="2E29FABF" w:rsidR="006A0555" w:rsidRPr="006A0555" w:rsidRDefault="006A0555" w:rsidP="000B3121">
      <w:pPr>
        <w:rPr>
          <w:sz w:val="20"/>
          <w:szCs w:val="20"/>
        </w:rPr>
      </w:pPr>
      <w:r w:rsidRPr="006A0555">
        <w:rPr>
          <w:b/>
          <w:bCs/>
          <w:sz w:val="20"/>
          <w:szCs w:val="20"/>
        </w:rPr>
        <w:t>Fig 1</w:t>
      </w:r>
      <w:r w:rsidRPr="006A0555">
        <w:rPr>
          <w:sz w:val="20"/>
          <w:szCs w:val="20"/>
        </w:rPr>
        <w:t> </w:t>
      </w:r>
      <w:proofErr w:type="spellStart"/>
      <w:r w:rsidRPr="006A0555">
        <w:rPr>
          <w:sz w:val="20"/>
          <w:szCs w:val="20"/>
        </w:rPr>
        <w:t>CRISPRi</w:t>
      </w:r>
      <w:proofErr w:type="spellEnd"/>
      <w:r w:rsidRPr="006A0555">
        <w:rPr>
          <w:sz w:val="20"/>
          <w:szCs w:val="20"/>
        </w:rPr>
        <w:t xml:space="preserve"> targeting the </w:t>
      </w:r>
      <w:proofErr w:type="spellStart"/>
      <w:r w:rsidRPr="006A0555">
        <w:rPr>
          <w:sz w:val="20"/>
          <w:szCs w:val="20"/>
        </w:rPr>
        <w:t>DnaA</w:t>
      </w:r>
      <w:proofErr w:type="spellEnd"/>
      <w:r w:rsidRPr="006A0555">
        <w:rPr>
          <w:sz w:val="20"/>
          <w:szCs w:val="20"/>
        </w:rPr>
        <w:t xml:space="preserve"> boxes 6 and 7 inhibits cell proliferation. (</w:t>
      </w:r>
      <w:r w:rsidRPr="006A0555">
        <w:rPr>
          <w:b/>
          <w:bCs/>
          <w:sz w:val="20"/>
          <w:szCs w:val="20"/>
        </w:rPr>
        <w:t>A</w:t>
      </w:r>
      <w:r w:rsidRPr="006A0555">
        <w:rPr>
          <w:sz w:val="20"/>
          <w:szCs w:val="20"/>
        </w:rPr>
        <w:t>) </w:t>
      </w:r>
      <w:r w:rsidRPr="006A0555">
        <w:rPr>
          <w:i/>
          <w:iCs/>
          <w:sz w:val="20"/>
          <w:szCs w:val="20"/>
        </w:rPr>
        <w:t>B. subtilis</w:t>
      </w:r>
      <w:r w:rsidRPr="006A0555">
        <w:rPr>
          <w:sz w:val="20"/>
          <w:szCs w:val="20"/>
        </w:rPr>
        <w:t> carrying a xylose-inducible dCas9 (orange) is directed to specific DNA targets by constitutively expressed sgRNAs (green) under the control of the </w:t>
      </w:r>
      <w:proofErr w:type="spellStart"/>
      <w:r w:rsidRPr="006A0555">
        <w:rPr>
          <w:i/>
          <w:iCs/>
          <w:sz w:val="20"/>
          <w:szCs w:val="20"/>
        </w:rPr>
        <w:t>P</w:t>
      </w:r>
      <w:r w:rsidRPr="006A0555">
        <w:rPr>
          <w:sz w:val="20"/>
          <w:szCs w:val="20"/>
          <w:vertAlign w:val="subscript"/>
        </w:rPr>
        <w:t>veg</w:t>
      </w:r>
      <w:proofErr w:type="spellEnd"/>
      <w:r w:rsidRPr="006A0555">
        <w:rPr>
          <w:sz w:val="20"/>
          <w:szCs w:val="20"/>
        </w:rPr>
        <w:t xml:space="preserve"> promoter. The dCas9-sgRNA complex blocks the binding of </w:t>
      </w:r>
      <w:proofErr w:type="spellStart"/>
      <w:r w:rsidRPr="006A0555">
        <w:rPr>
          <w:sz w:val="20"/>
          <w:szCs w:val="20"/>
        </w:rPr>
        <w:t>DnaA</w:t>
      </w:r>
      <w:proofErr w:type="spellEnd"/>
      <w:r w:rsidRPr="006A0555">
        <w:rPr>
          <w:sz w:val="20"/>
          <w:szCs w:val="20"/>
        </w:rPr>
        <w:t xml:space="preserve"> (yellow) to the </w:t>
      </w:r>
      <w:proofErr w:type="spellStart"/>
      <w:r w:rsidRPr="006A0555">
        <w:rPr>
          <w:sz w:val="20"/>
          <w:szCs w:val="20"/>
        </w:rPr>
        <w:t>DnaA</w:t>
      </w:r>
      <w:proofErr w:type="spellEnd"/>
      <w:r w:rsidRPr="006A0555">
        <w:rPr>
          <w:sz w:val="20"/>
          <w:szCs w:val="20"/>
        </w:rPr>
        <w:t xml:space="preserve"> boxes (triangles). </w:t>
      </w:r>
      <w:r w:rsidRPr="006A0555">
        <w:rPr>
          <w:i/>
          <w:iCs/>
          <w:sz w:val="20"/>
          <w:szCs w:val="20"/>
        </w:rPr>
        <w:t>dcas9</w:t>
      </w:r>
      <w:r w:rsidRPr="006A0555">
        <w:rPr>
          <w:sz w:val="20"/>
          <w:szCs w:val="20"/>
        </w:rPr>
        <w:t> was stably integrated into the </w:t>
      </w:r>
      <w:proofErr w:type="spellStart"/>
      <w:r w:rsidRPr="006A0555">
        <w:rPr>
          <w:i/>
          <w:iCs/>
          <w:sz w:val="20"/>
          <w:szCs w:val="20"/>
        </w:rPr>
        <w:t>lacA</w:t>
      </w:r>
      <w:proofErr w:type="spellEnd"/>
      <w:r w:rsidRPr="006A0555">
        <w:rPr>
          <w:sz w:val="20"/>
          <w:szCs w:val="20"/>
        </w:rPr>
        <w:t> locus (EC3137), and the sgRNAs were integrated into the </w:t>
      </w:r>
      <w:proofErr w:type="spellStart"/>
      <w:r w:rsidRPr="006A0555">
        <w:rPr>
          <w:i/>
          <w:iCs/>
          <w:sz w:val="20"/>
          <w:szCs w:val="20"/>
        </w:rPr>
        <w:t>amyE</w:t>
      </w:r>
      <w:proofErr w:type="spellEnd"/>
      <w:r w:rsidRPr="006A0555">
        <w:rPr>
          <w:sz w:val="20"/>
          <w:szCs w:val="20"/>
        </w:rPr>
        <w:t> locus [CRISPRi</w:t>
      </w:r>
      <w:r w:rsidRPr="006A0555">
        <w:rPr>
          <w:sz w:val="20"/>
          <w:szCs w:val="20"/>
          <w:vertAlign w:val="superscript"/>
        </w:rPr>
        <w:t>box1–2</w:t>
      </w:r>
      <w:r w:rsidRPr="006A0555">
        <w:rPr>
          <w:sz w:val="20"/>
          <w:szCs w:val="20"/>
        </w:rPr>
        <w:t> (EC3146), CRISPRi</w:t>
      </w:r>
      <w:r w:rsidRPr="006A0555">
        <w:rPr>
          <w:sz w:val="20"/>
          <w:szCs w:val="20"/>
          <w:vertAlign w:val="superscript"/>
        </w:rPr>
        <w:t>box3–4</w:t>
      </w:r>
      <w:r w:rsidRPr="006A0555">
        <w:rPr>
          <w:sz w:val="20"/>
          <w:szCs w:val="20"/>
        </w:rPr>
        <w:t> (EC3149), CRISPRi</w:t>
      </w:r>
      <w:r w:rsidRPr="006A0555">
        <w:rPr>
          <w:sz w:val="20"/>
          <w:szCs w:val="20"/>
          <w:vertAlign w:val="superscript"/>
        </w:rPr>
        <w:t>box6–7</w:t>
      </w:r>
      <w:r w:rsidRPr="006A0555">
        <w:rPr>
          <w:sz w:val="20"/>
          <w:szCs w:val="20"/>
        </w:rPr>
        <w:t> (EC3147)]. (</w:t>
      </w:r>
      <w:r w:rsidRPr="006A0555">
        <w:rPr>
          <w:b/>
          <w:bCs/>
          <w:sz w:val="20"/>
          <w:szCs w:val="20"/>
        </w:rPr>
        <w:t>B</w:t>
      </w:r>
      <w:r w:rsidRPr="006A0555">
        <w:rPr>
          <w:sz w:val="20"/>
          <w:szCs w:val="20"/>
        </w:rPr>
        <w:t xml:space="preserve">) </w:t>
      </w:r>
      <w:proofErr w:type="spellStart"/>
      <w:r w:rsidRPr="006A0555">
        <w:rPr>
          <w:sz w:val="20"/>
          <w:szCs w:val="20"/>
        </w:rPr>
        <w:t>DnaA</w:t>
      </w:r>
      <w:proofErr w:type="spellEnd"/>
      <w:r w:rsidRPr="006A0555">
        <w:rPr>
          <w:sz w:val="20"/>
          <w:szCs w:val="20"/>
        </w:rPr>
        <w:t xml:space="preserve"> boxes from </w:t>
      </w:r>
      <w:r w:rsidRPr="006A0555">
        <w:rPr>
          <w:i/>
          <w:iCs/>
          <w:sz w:val="20"/>
          <w:szCs w:val="20"/>
        </w:rPr>
        <w:t>B. subtilis</w:t>
      </w:r>
      <w:r w:rsidRPr="006A0555">
        <w:rPr>
          <w:sz w:val="20"/>
          <w:szCs w:val="20"/>
        </w:rPr>
        <w:t> and the selected sgRNA targets. Other elements of the </w:t>
      </w:r>
      <w:proofErr w:type="spellStart"/>
      <w:r w:rsidRPr="006A0555">
        <w:rPr>
          <w:i/>
          <w:iCs/>
          <w:sz w:val="20"/>
          <w:szCs w:val="20"/>
        </w:rPr>
        <w:t>oriC</w:t>
      </w:r>
      <w:proofErr w:type="spellEnd"/>
      <w:r w:rsidRPr="006A0555">
        <w:rPr>
          <w:sz w:val="20"/>
          <w:szCs w:val="20"/>
        </w:rPr>
        <w:t xml:space="preserve"> are shown: </w:t>
      </w:r>
      <w:proofErr w:type="spellStart"/>
      <w:r w:rsidRPr="006A0555">
        <w:rPr>
          <w:sz w:val="20"/>
          <w:szCs w:val="20"/>
        </w:rPr>
        <w:t>DnaA</w:t>
      </w:r>
      <w:proofErr w:type="spellEnd"/>
      <w:r w:rsidRPr="006A0555">
        <w:rPr>
          <w:sz w:val="20"/>
          <w:szCs w:val="20"/>
        </w:rPr>
        <w:t xml:space="preserve"> trios (green), </w:t>
      </w:r>
      <w:proofErr w:type="spellStart"/>
      <w:r w:rsidRPr="006A0555">
        <w:rPr>
          <w:sz w:val="20"/>
          <w:szCs w:val="20"/>
        </w:rPr>
        <w:t>DnaD</w:t>
      </w:r>
      <w:proofErr w:type="spellEnd"/>
      <w:r w:rsidRPr="006A0555">
        <w:rPr>
          <w:sz w:val="20"/>
          <w:szCs w:val="20"/>
        </w:rPr>
        <w:t>-binding sites (fuchsia), and the AT-rich region (yellow). (</w:t>
      </w:r>
      <w:r w:rsidRPr="006A0555">
        <w:rPr>
          <w:b/>
          <w:bCs/>
          <w:sz w:val="20"/>
          <w:szCs w:val="20"/>
        </w:rPr>
        <w:t>C</w:t>
      </w:r>
      <w:r w:rsidRPr="006A0555">
        <w:rPr>
          <w:sz w:val="20"/>
          <w:szCs w:val="20"/>
        </w:rPr>
        <w:t>) When induced at the early exponential growth phase, the CRISPRi</w:t>
      </w:r>
      <w:r w:rsidRPr="006A0555">
        <w:rPr>
          <w:sz w:val="20"/>
          <w:szCs w:val="20"/>
          <w:vertAlign w:val="superscript"/>
        </w:rPr>
        <w:t>box6–7</w:t>
      </w:r>
      <w:r w:rsidRPr="006A0555">
        <w:rPr>
          <w:sz w:val="20"/>
          <w:szCs w:val="20"/>
        </w:rPr>
        <w:t xml:space="preserve"> strain (EC3147) does not resume growth. Viability of cells (colony forming units [CFU] per </w:t>
      </w:r>
      <w:proofErr w:type="spellStart"/>
      <w:r w:rsidRPr="006A0555">
        <w:rPr>
          <w:sz w:val="20"/>
          <w:szCs w:val="20"/>
        </w:rPr>
        <w:t>milliliter</w:t>
      </w:r>
      <w:proofErr w:type="spellEnd"/>
      <w:r w:rsidRPr="006A0555">
        <w:rPr>
          <w:sz w:val="20"/>
          <w:szCs w:val="20"/>
        </w:rPr>
        <w:t>) grown with glucose (dCas9 induction repression) or with xylose (dCas9 induction). The data shown are the mean of three biological replicates; error bars represent standard deviations from the mean.</w:t>
      </w:r>
    </w:p>
    <w:p w14:paraId="3357BCCD" w14:textId="0FEDD120" w:rsidR="006848F2" w:rsidRDefault="006B4BE8" w:rsidP="006848F2">
      <w:pPr>
        <w:rPr>
          <w:bCs/>
        </w:rPr>
      </w:pPr>
      <w:r w:rsidRPr="006B4BE8">
        <w:rPr>
          <w:bCs/>
        </w:rPr>
        <w:t xml:space="preserve">A previous study characterized the critical role of </w:t>
      </w:r>
      <w:proofErr w:type="spellStart"/>
      <w:r w:rsidRPr="006B4BE8">
        <w:rPr>
          <w:bCs/>
        </w:rPr>
        <w:t>DnaA</w:t>
      </w:r>
      <w:proofErr w:type="spellEnd"/>
      <w:r w:rsidRPr="006B4BE8">
        <w:rPr>
          <w:bCs/>
        </w:rPr>
        <w:t xml:space="preserve"> boxes 6 and 7 on the </w:t>
      </w:r>
      <w:proofErr w:type="spellStart"/>
      <w:r w:rsidRPr="006B4BE8">
        <w:rPr>
          <w:bCs/>
          <w:i/>
          <w:iCs/>
        </w:rPr>
        <w:t>oriC</w:t>
      </w:r>
      <w:proofErr w:type="spellEnd"/>
      <w:r w:rsidRPr="006B4BE8">
        <w:rPr>
          <w:bCs/>
        </w:rPr>
        <w:t> of </w:t>
      </w:r>
      <w:r w:rsidRPr="006B4BE8">
        <w:rPr>
          <w:bCs/>
          <w:i/>
          <w:iCs/>
        </w:rPr>
        <w:t>B. subtilis</w:t>
      </w:r>
      <w:r w:rsidRPr="006B4BE8">
        <w:rPr>
          <w:bCs/>
        </w:rPr>
        <w:t> in orchestrating DNA unwinding and replication initiation (</w:t>
      </w:r>
      <w:hyperlink r:id="rId25" w:anchor="core-B16" w:history="1">
        <w:r w:rsidRPr="006B4BE8">
          <w:rPr>
            <w:rStyle w:val="Hyperlink"/>
            <w:bCs/>
          </w:rPr>
          <w:t>16</w:t>
        </w:r>
      </w:hyperlink>
      <w:r w:rsidRPr="006B4BE8">
        <w:rPr>
          <w:bCs/>
        </w:rPr>
        <w:t xml:space="preserve">). We therefore hypothesized that replication initiation could be blocked by inducing dCas9 expression in the presence of single guide RNAs (sgRNAs) specifically designed to target the inactivated nuclease to these boxes and thereby hinder </w:t>
      </w:r>
      <w:proofErr w:type="spellStart"/>
      <w:r w:rsidRPr="006B4BE8">
        <w:rPr>
          <w:bCs/>
        </w:rPr>
        <w:t>DnaA</w:t>
      </w:r>
      <w:proofErr w:type="spellEnd"/>
      <w:r w:rsidRPr="006B4BE8">
        <w:rPr>
          <w:bCs/>
        </w:rPr>
        <w:t xml:space="preserve"> binding (</w:t>
      </w:r>
      <w:hyperlink r:id="rId26" w:anchor="core-B23" w:history="1">
        <w:r w:rsidRPr="006B4BE8">
          <w:rPr>
            <w:rStyle w:val="Hyperlink"/>
            <w:bCs/>
          </w:rPr>
          <w:t>23</w:t>
        </w:r>
      </w:hyperlink>
      <w:r w:rsidRPr="006B4BE8">
        <w:rPr>
          <w:bCs/>
        </w:rPr>
        <w:t>) (</w:t>
      </w:r>
      <w:hyperlink r:id="rId27" w:anchor="F1" w:history="1">
        <w:r w:rsidRPr="006B4BE8">
          <w:rPr>
            <w:rStyle w:val="Hyperlink"/>
            <w:bCs/>
          </w:rPr>
          <w:t>Fig. 1A</w:t>
        </w:r>
      </w:hyperlink>
      <w:r w:rsidRPr="006B4BE8">
        <w:rPr>
          <w:bCs/>
        </w:rPr>
        <w:t>). To this end, we constructed </w:t>
      </w:r>
      <w:r w:rsidRPr="006B4BE8">
        <w:rPr>
          <w:bCs/>
          <w:i/>
          <w:iCs/>
        </w:rPr>
        <w:t>B. subtilis</w:t>
      </w:r>
      <w:r w:rsidRPr="006B4BE8">
        <w:rPr>
          <w:bCs/>
        </w:rPr>
        <w:t> strains carrying a xylose-inducible dCas9 as well as constitutively expressed sgRNA</w:t>
      </w:r>
      <w:r w:rsidRPr="006B4BE8">
        <w:rPr>
          <w:bCs/>
          <w:vertAlign w:val="superscript"/>
        </w:rPr>
        <w:t>box6–7</w:t>
      </w:r>
      <w:r w:rsidRPr="006B4BE8">
        <w:rPr>
          <w:bCs/>
        </w:rPr>
        <w:t xml:space="preserve"> designed to target </w:t>
      </w:r>
      <w:proofErr w:type="spellStart"/>
      <w:r w:rsidRPr="006B4BE8">
        <w:rPr>
          <w:bCs/>
        </w:rPr>
        <w:t>DnaA</w:t>
      </w:r>
      <w:proofErr w:type="spellEnd"/>
      <w:r w:rsidRPr="006B4BE8">
        <w:rPr>
          <w:bCs/>
        </w:rPr>
        <w:t xml:space="preserve"> boxes 6 and 7. In addition, strains encoding sgRNAs designed to target </w:t>
      </w:r>
      <w:proofErr w:type="spellStart"/>
      <w:r w:rsidRPr="006B4BE8">
        <w:rPr>
          <w:bCs/>
        </w:rPr>
        <w:t>DnaA</w:t>
      </w:r>
      <w:proofErr w:type="spellEnd"/>
      <w:r w:rsidRPr="006B4BE8">
        <w:rPr>
          <w:bCs/>
        </w:rPr>
        <w:t xml:space="preserve"> boxes 1 and 2 or 3 and 4 (sgRNA</w:t>
      </w:r>
      <w:r w:rsidRPr="006B4BE8">
        <w:rPr>
          <w:bCs/>
          <w:vertAlign w:val="superscript"/>
        </w:rPr>
        <w:t>box1–2</w:t>
      </w:r>
      <w:r w:rsidRPr="006B4BE8">
        <w:rPr>
          <w:bCs/>
        </w:rPr>
        <w:t> and sgRNA</w:t>
      </w:r>
      <w:r w:rsidRPr="006B4BE8">
        <w:rPr>
          <w:bCs/>
          <w:vertAlign w:val="superscript"/>
        </w:rPr>
        <w:t>box3–4</w:t>
      </w:r>
      <w:r w:rsidRPr="006B4BE8">
        <w:rPr>
          <w:bCs/>
        </w:rPr>
        <w:t>, respectively) were constructed as controls (</w:t>
      </w:r>
      <w:hyperlink r:id="rId28" w:anchor="F1" w:history="1">
        <w:r w:rsidRPr="006B4BE8">
          <w:rPr>
            <w:rStyle w:val="Hyperlink"/>
            <w:bCs/>
          </w:rPr>
          <w:t>Fig. 1B</w:t>
        </w:r>
      </w:hyperlink>
      <w:r w:rsidRPr="006B4BE8">
        <w:rPr>
          <w:bCs/>
        </w:rPr>
        <w:t>; Table S1) (</w:t>
      </w:r>
      <w:hyperlink r:id="rId29" w:anchor="core-B16" w:history="1">
        <w:r w:rsidRPr="006B4BE8">
          <w:rPr>
            <w:rStyle w:val="Hyperlink"/>
            <w:bCs/>
          </w:rPr>
          <w:t>16</w:t>
        </w:r>
      </w:hyperlink>
      <w:r w:rsidRPr="006B4BE8">
        <w:rPr>
          <w:bCs/>
        </w:rPr>
        <w:t>). This system allows conditional expression of dCas9 in the presence of xylose and tight repression when glucose is available.</w:t>
      </w:r>
    </w:p>
    <w:p w14:paraId="522E0284" w14:textId="77777777" w:rsidR="006B4BE8" w:rsidRPr="006B4BE8" w:rsidRDefault="006B4BE8" w:rsidP="006B4BE8">
      <w:pPr>
        <w:rPr>
          <w:bCs/>
        </w:rPr>
      </w:pPr>
      <w:r w:rsidRPr="006B4BE8">
        <w:rPr>
          <w:bCs/>
        </w:rPr>
        <w:t xml:space="preserve">To assess the impact of this blockade on replication initiation, we examined cell growth during the early logarithmic phase under dCas9 induction or repression conditions. Cells with dCas9 in the absence of sgRNA [wild-type (WT)-dCas9] exhibited normal growth </w:t>
      </w:r>
      <w:proofErr w:type="spellStart"/>
      <w:r w:rsidRPr="006B4BE8">
        <w:rPr>
          <w:bCs/>
        </w:rPr>
        <w:t>behavior</w:t>
      </w:r>
      <w:proofErr w:type="spellEnd"/>
      <w:r w:rsidRPr="006B4BE8">
        <w:rPr>
          <w:bCs/>
        </w:rPr>
        <w:t>, indicating that dCas9 expression alone does not affect bacterial proliferation (</w:t>
      </w:r>
      <w:hyperlink r:id="rId30" w:anchor="F1" w:history="1">
        <w:r w:rsidRPr="006B4BE8">
          <w:rPr>
            <w:rStyle w:val="Hyperlink"/>
            <w:bCs/>
          </w:rPr>
          <w:t>Fig. 1C</w:t>
        </w:r>
      </w:hyperlink>
      <w:r w:rsidRPr="006B4BE8">
        <w:rPr>
          <w:bCs/>
        </w:rPr>
        <w:t>). Furthermore, cultures repressed by glucose, containing either sgRNA</w:t>
      </w:r>
      <w:r w:rsidRPr="006B4BE8">
        <w:rPr>
          <w:bCs/>
          <w:vertAlign w:val="superscript"/>
        </w:rPr>
        <w:t>box1–2</w:t>
      </w:r>
      <w:r w:rsidRPr="006B4BE8">
        <w:rPr>
          <w:bCs/>
        </w:rPr>
        <w:t>, sgRNA</w:t>
      </w:r>
      <w:r w:rsidRPr="006B4BE8">
        <w:rPr>
          <w:bCs/>
          <w:vertAlign w:val="superscript"/>
        </w:rPr>
        <w:t>box3–4</w:t>
      </w:r>
      <w:r w:rsidRPr="006B4BE8">
        <w:rPr>
          <w:bCs/>
        </w:rPr>
        <w:t>, or sgRNA</w:t>
      </w:r>
      <w:r w:rsidRPr="006B4BE8">
        <w:rPr>
          <w:bCs/>
          <w:vertAlign w:val="superscript"/>
        </w:rPr>
        <w:t>box6–7</w:t>
      </w:r>
      <w:r w:rsidRPr="006B4BE8">
        <w:rPr>
          <w:bCs/>
        </w:rPr>
        <w:t> showed subtle growth variations compared with the control, while inducing dCas9 with sgRNA</w:t>
      </w:r>
      <w:r w:rsidRPr="006B4BE8">
        <w:rPr>
          <w:bCs/>
          <w:vertAlign w:val="superscript"/>
        </w:rPr>
        <w:t>box6-7</w:t>
      </w:r>
      <w:r w:rsidRPr="006B4BE8">
        <w:rPr>
          <w:bCs/>
        </w:rPr>
        <w:t xml:space="preserve"> led to a significant decrease in colony forming units (CFU) per </w:t>
      </w:r>
      <w:proofErr w:type="spellStart"/>
      <w:r w:rsidRPr="006B4BE8">
        <w:rPr>
          <w:bCs/>
        </w:rPr>
        <w:t>milliliter</w:t>
      </w:r>
      <w:proofErr w:type="spellEnd"/>
      <w:r w:rsidRPr="006B4BE8">
        <w:rPr>
          <w:bCs/>
        </w:rPr>
        <w:t xml:space="preserve"> after 3 h compared to the WT (</w:t>
      </w:r>
      <w:hyperlink r:id="rId31" w:anchor="F1" w:history="1">
        <w:r w:rsidRPr="006B4BE8">
          <w:rPr>
            <w:rStyle w:val="Hyperlink"/>
            <w:bCs/>
          </w:rPr>
          <w:t>Fig. 1C</w:t>
        </w:r>
      </w:hyperlink>
      <w:r w:rsidRPr="006B4BE8">
        <w:rPr>
          <w:bCs/>
        </w:rPr>
        <w:t xml:space="preserve">). Notably, targeting </w:t>
      </w:r>
      <w:r w:rsidRPr="006B4BE8">
        <w:rPr>
          <w:bCs/>
        </w:rPr>
        <w:lastRenderedPageBreak/>
        <w:t xml:space="preserve">adjacent boxes by inducing the </w:t>
      </w:r>
      <w:proofErr w:type="spellStart"/>
      <w:r w:rsidRPr="006B4BE8">
        <w:rPr>
          <w:bCs/>
        </w:rPr>
        <w:t>CRISPRi</w:t>
      </w:r>
      <w:proofErr w:type="spellEnd"/>
      <w:r w:rsidRPr="006B4BE8">
        <w:rPr>
          <w:bCs/>
        </w:rPr>
        <w:t xml:space="preserve"> system did not inhibit growth (</w:t>
      </w:r>
      <w:hyperlink r:id="rId32" w:anchor="F1" w:history="1">
        <w:r w:rsidRPr="006B4BE8">
          <w:rPr>
            <w:rStyle w:val="Hyperlink"/>
            <w:bCs/>
          </w:rPr>
          <w:t>Fig. 1C</w:t>
        </w:r>
      </w:hyperlink>
      <w:r w:rsidRPr="006B4BE8">
        <w:rPr>
          <w:bCs/>
        </w:rPr>
        <w:t xml:space="preserve">). This indicates specific competition between </w:t>
      </w:r>
      <w:proofErr w:type="spellStart"/>
      <w:r w:rsidRPr="006B4BE8">
        <w:rPr>
          <w:bCs/>
        </w:rPr>
        <w:t>DnaA</w:t>
      </w:r>
      <w:proofErr w:type="spellEnd"/>
      <w:r w:rsidRPr="006B4BE8">
        <w:rPr>
          <w:bCs/>
        </w:rPr>
        <w:t xml:space="preserve"> and dCas9 for binding to </w:t>
      </w:r>
      <w:proofErr w:type="spellStart"/>
      <w:r w:rsidRPr="006B4BE8">
        <w:rPr>
          <w:bCs/>
        </w:rPr>
        <w:t>DnaA</w:t>
      </w:r>
      <w:proofErr w:type="spellEnd"/>
      <w:r w:rsidRPr="006B4BE8">
        <w:rPr>
          <w:bCs/>
        </w:rPr>
        <w:t xml:space="preserve"> boxes 6 and 7.</w:t>
      </w:r>
    </w:p>
    <w:p w14:paraId="3469F3A9" w14:textId="144F7CC7" w:rsidR="00DB6887" w:rsidRPr="00DB6887" w:rsidRDefault="006B4BE8" w:rsidP="00DB6887">
      <w:pPr>
        <w:rPr>
          <w:bCs/>
        </w:rPr>
      </w:pPr>
      <w:r w:rsidRPr="006B4BE8">
        <w:rPr>
          <w:bCs/>
        </w:rPr>
        <w:t>The formation of the dCas9-sgRNA</w:t>
      </w:r>
      <w:r w:rsidRPr="006B4BE8">
        <w:rPr>
          <w:bCs/>
          <w:vertAlign w:val="superscript"/>
        </w:rPr>
        <w:t>box6–7</w:t>
      </w:r>
      <w:r w:rsidRPr="006B4BE8">
        <w:rPr>
          <w:bCs/>
        </w:rPr>
        <w:t xml:space="preserve"> complex could specifically block the formation of </w:t>
      </w:r>
      <w:proofErr w:type="spellStart"/>
      <w:r w:rsidRPr="006B4BE8">
        <w:rPr>
          <w:bCs/>
        </w:rPr>
        <w:t>DnaA</w:t>
      </w:r>
      <w:proofErr w:type="spellEnd"/>
      <w:r w:rsidRPr="006B4BE8">
        <w:rPr>
          <w:bCs/>
        </w:rPr>
        <w:t xml:space="preserve"> filaments, preventing the opening of the replication bubble associated with initiation. These results confirm the high specificity of </w:t>
      </w:r>
      <w:proofErr w:type="spellStart"/>
      <w:r w:rsidRPr="006B4BE8">
        <w:rPr>
          <w:bCs/>
        </w:rPr>
        <w:t>DnaA</w:t>
      </w:r>
      <w:proofErr w:type="spellEnd"/>
      <w:r w:rsidRPr="006B4BE8">
        <w:rPr>
          <w:bCs/>
        </w:rPr>
        <w:t xml:space="preserve"> binding to boxes 6 and 7 and demonstrate the potential of the </w:t>
      </w:r>
      <w:proofErr w:type="spellStart"/>
      <w:r w:rsidRPr="006B4BE8">
        <w:rPr>
          <w:bCs/>
        </w:rPr>
        <w:t>CRISPRi</w:t>
      </w:r>
      <w:proofErr w:type="spellEnd"/>
      <w:r w:rsidRPr="006B4BE8">
        <w:rPr>
          <w:bCs/>
        </w:rPr>
        <w:t xml:space="preserve"> system to modulate critical steps in replication initiation, as previously reported (</w:t>
      </w:r>
      <w:hyperlink r:id="rId33" w:anchor="core-B16" w:history="1">
        <w:r w:rsidRPr="006B4BE8">
          <w:rPr>
            <w:rStyle w:val="Hyperlink"/>
            <w:bCs/>
          </w:rPr>
          <w:t>16</w:t>
        </w:r>
      </w:hyperlink>
      <w:r w:rsidRPr="006B4BE8">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5A227B17"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5FB55DFA" w14:textId="77777777" w:rsidR="00DB6887" w:rsidRPr="000B3121" w:rsidRDefault="00DB6887" w:rsidP="00B4211A">
            <w:r>
              <w:rPr>
                <w:u w:val="single"/>
              </w:rPr>
              <w:t>Sugges</w:t>
            </w:r>
            <w:r w:rsidRPr="004727D6">
              <w:rPr>
                <w:u w:val="single"/>
              </w:rPr>
              <w:t>t</w:t>
            </w:r>
            <w:r>
              <w:rPr>
                <w:u w:val="single"/>
              </w:rPr>
              <w:t>ed improvements?</w:t>
            </w:r>
          </w:p>
          <w:p w14:paraId="4BE339E1" w14:textId="77777777" w:rsidR="00DB6887" w:rsidRDefault="00DB6887" w:rsidP="00B4211A"/>
          <w:p w14:paraId="4172548D" w14:textId="3D7A6759" w:rsidR="00DB6887" w:rsidRPr="000B3121" w:rsidRDefault="00DB6887" w:rsidP="00B4211A"/>
        </w:tc>
      </w:tr>
    </w:tbl>
    <w:p w14:paraId="77D90156" w14:textId="77777777" w:rsidR="00DB6887" w:rsidRDefault="00DB6887" w:rsidP="00DB6887">
      <w:pPr>
        <w:spacing w:after="0"/>
      </w:pPr>
    </w:p>
    <w:p w14:paraId="25B10D01" w14:textId="4A469A34" w:rsidR="006D3BCC" w:rsidRPr="00714EA4" w:rsidRDefault="006D3BCC" w:rsidP="006D3BCC">
      <w:pPr>
        <w:pStyle w:val="Heading3"/>
        <w:spacing w:before="0"/>
        <w:rPr>
          <w:u w:val="single"/>
        </w:rPr>
      </w:pPr>
      <w:r w:rsidRPr="00714EA4">
        <w:rPr>
          <w:u w:val="single"/>
        </w:rPr>
        <w:t xml:space="preserve">Exercise </w:t>
      </w:r>
      <w:r w:rsidR="00DB6887">
        <w:rPr>
          <w:u w:val="single"/>
        </w:rPr>
        <w:t>10</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7BBB7581" w:rsidR="00806EBA" w:rsidRDefault="00DB6887" w:rsidP="00806EBA">
      <w:r>
        <w:t xml:space="preserve">Look at your </w:t>
      </w:r>
      <w:r w:rsidRPr="00DB6887">
        <w:t>t</w:t>
      </w:r>
      <w:r>
        <w:t>hesis</w:t>
      </w:r>
      <w:r w:rsidR="00806EBA" w:rsidRPr="00806EBA">
        <w:t xml:space="preserve"> thus far </w:t>
      </w:r>
      <w:r w:rsidR="00806EBA">
        <w:t xml:space="preserve">(or any other piece of writing). </w:t>
      </w:r>
      <w:r w:rsidR="00806EBA" w:rsidRPr="00806EBA">
        <w:t xml:space="preserve">Go through </w:t>
      </w:r>
      <w:proofErr w:type="gramStart"/>
      <w:r w:rsidR="00806EBA" w:rsidRPr="00806EBA">
        <w:t>it, and</w:t>
      </w:r>
      <w:proofErr w:type="gramEnd"/>
      <w:r w:rsidR="00806EBA" w:rsidRPr="00806EBA">
        <w:t xml:space="preserve"> examine your </w:t>
      </w:r>
      <w:r>
        <w:t>narrative/whe</w:t>
      </w:r>
      <w:r w:rsidRPr="00DB6887">
        <w:t>t</w:t>
      </w:r>
      <w:r>
        <w:t>her you have described experimen</w:t>
      </w:r>
      <w:r w:rsidRPr="00DB6887">
        <w:t>t</w:t>
      </w:r>
      <w:r>
        <w:t>s in a logical order.</w:t>
      </w:r>
      <w:r w:rsidR="00806EBA">
        <w:t xml:space="preserve"> </w:t>
      </w:r>
      <w:r w:rsidR="00806EBA" w:rsidRPr="00806EBA">
        <w:t>Consider how your writing can be improved and make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B56927E" w14:textId="77777777" w:rsidR="00DB6887" w:rsidRPr="00112F01" w:rsidRDefault="00DB6887" w:rsidP="00DB6887">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Schlimpert S, et al. Tetrameric c-di-GMP mediates effective transcription factor dimerization to control </w:t>
      </w:r>
      <w:r w:rsidRPr="00DB6887">
        <w:rPr>
          <w:rFonts w:ascii="Arial" w:hAnsi="Arial" w:cs="Arial"/>
          <w:i/>
          <w:sz w:val="20"/>
          <w:szCs w:val="20"/>
        </w:rPr>
        <w:t>Streptomyces</w:t>
      </w:r>
      <w:r w:rsidRPr="00112F01">
        <w:rPr>
          <w:rFonts w:ascii="Arial" w:hAnsi="Arial" w:cs="Arial"/>
          <w:sz w:val="20"/>
          <w:szCs w:val="20"/>
        </w:rPr>
        <w:t xml:space="preserve"> development. </w:t>
      </w:r>
      <w:r w:rsidRPr="00DB6887">
        <w:rPr>
          <w:rFonts w:ascii="Arial" w:hAnsi="Arial" w:cs="Arial"/>
          <w:i/>
          <w:sz w:val="20"/>
          <w:szCs w:val="20"/>
        </w:rPr>
        <w:t>Cell.</w:t>
      </w:r>
      <w:r w:rsidRPr="00112F01">
        <w:rPr>
          <w:rFonts w:ascii="Arial" w:hAnsi="Arial" w:cs="Arial"/>
          <w:sz w:val="20"/>
          <w:szCs w:val="20"/>
        </w:rPr>
        <w:t xml:space="preserve"> 2014;158(5):1136-1147.</w:t>
      </w:r>
    </w:p>
    <w:p w14:paraId="361C37C1" w14:textId="0BE8D352" w:rsidR="00372EA4" w:rsidRDefault="003C793F" w:rsidP="003C793F">
      <w:pPr>
        <w:pStyle w:val="paragraph"/>
        <w:numPr>
          <w:ilvl w:val="0"/>
          <w:numId w:val="3"/>
        </w:numPr>
        <w:textAlignment w:val="baseline"/>
        <w:rPr>
          <w:rFonts w:ascii="Arial" w:eastAsiaTheme="majorEastAsia" w:hAnsi="Arial" w:cs="Arial"/>
          <w:sz w:val="20"/>
          <w:szCs w:val="20"/>
        </w:rPr>
      </w:pPr>
      <w:r w:rsidRPr="003C793F">
        <w:rPr>
          <w:rFonts w:ascii="Arial" w:eastAsiaTheme="majorEastAsia" w:hAnsi="Arial" w:cs="Arial"/>
          <w:sz w:val="20"/>
          <w:szCs w:val="20"/>
        </w:rPr>
        <w:t xml:space="preserve">Thomason, L. C., &amp; Court, D. L. (2022). Study of Ren, RexA, and </w:t>
      </w:r>
      <w:proofErr w:type="spellStart"/>
      <w:r w:rsidRPr="003C793F">
        <w:rPr>
          <w:rFonts w:ascii="Arial" w:eastAsiaTheme="majorEastAsia" w:hAnsi="Arial" w:cs="Arial"/>
          <w:sz w:val="20"/>
          <w:szCs w:val="20"/>
        </w:rPr>
        <w:t>RexB</w:t>
      </w:r>
      <w:proofErr w:type="spellEnd"/>
      <w:r w:rsidRPr="003C793F">
        <w:rPr>
          <w:rFonts w:ascii="Arial" w:eastAsiaTheme="majorEastAsia" w:hAnsi="Arial" w:cs="Arial"/>
          <w:sz w:val="20"/>
          <w:szCs w:val="20"/>
        </w:rPr>
        <w:t xml:space="preserve"> Functions Provides Insight </w:t>
      </w:r>
      <w:proofErr w:type="gramStart"/>
      <w:r w:rsidRPr="003C793F">
        <w:rPr>
          <w:rFonts w:ascii="Arial" w:eastAsiaTheme="majorEastAsia" w:hAnsi="Arial" w:cs="Arial"/>
          <w:sz w:val="20"/>
          <w:szCs w:val="20"/>
        </w:rPr>
        <w:t>Into</w:t>
      </w:r>
      <w:proofErr w:type="gramEnd"/>
      <w:r w:rsidRPr="003C793F">
        <w:rPr>
          <w:rFonts w:ascii="Arial" w:eastAsiaTheme="majorEastAsia" w:hAnsi="Arial" w:cs="Arial"/>
          <w:sz w:val="20"/>
          <w:szCs w:val="20"/>
        </w:rPr>
        <w:t xml:space="preserve"> the Complex Interaction Between Bacteriophage λ and Its Host, </w:t>
      </w:r>
      <w:r w:rsidRPr="00DB6887">
        <w:rPr>
          <w:rFonts w:ascii="Arial" w:eastAsiaTheme="majorEastAsia" w:hAnsi="Arial" w:cs="Arial"/>
          <w:i/>
          <w:sz w:val="20"/>
          <w:szCs w:val="20"/>
        </w:rPr>
        <w:t>Escherichia coli</w:t>
      </w:r>
      <w:r w:rsidRPr="003C793F">
        <w:rPr>
          <w:rFonts w:ascii="Arial" w:eastAsiaTheme="majorEastAsia" w:hAnsi="Arial" w:cs="Arial"/>
          <w:sz w:val="20"/>
          <w:szCs w:val="20"/>
        </w:rPr>
        <w:t>. </w:t>
      </w:r>
      <w:r w:rsidRPr="003C793F">
        <w:rPr>
          <w:rFonts w:ascii="Arial" w:eastAsiaTheme="majorEastAsia" w:hAnsi="Arial" w:cs="Arial"/>
          <w:i/>
          <w:iCs/>
          <w:sz w:val="20"/>
          <w:szCs w:val="20"/>
        </w:rPr>
        <w:t>PHAGE</w:t>
      </w:r>
      <w:r w:rsidRPr="003C793F">
        <w:rPr>
          <w:rFonts w:ascii="Arial" w:eastAsiaTheme="majorEastAsia" w:hAnsi="Arial" w:cs="Arial"/>
          <w:sz w:val="20"/>
          <w:szCs w:val="20"/>
        </w:rPr>
        <w:t>, </w:t>
      </w:r>
      <w:r w:rsidRPr="003C793F">
        <w:rPr>
          <w:rFonts w:ascii="Arial" w:eastAsiaTheme="majorEastAsia" w:hAnsi="Arial" w:cs="Arial"/>
          <w:i/>
          <w:iCs/>
          <w:sz w:val="20"/>
          <w:szCs w:val="20"/>
        </w:rPr>
        <w:t>3</w:t>
      </w:r>
      <w:r w:rsidRPr="003C793F">
        <w:rPr>
          <w:rFonts w:ascii="Arial" w:eastAsiaTheme="majorEastAsia" w:hAnsi="Arial" w:cs="Arial"/>
          <w:sz w:val="20"/>
          <w:szCs w:val="20"/>
        </w:rPr>
        <w:t>(3), 153–164. </w:t>
      </w:r>
      <w:r w:rsidR="006B4BE8" w:rsidRPr="00DB6887">
        <w:rPr>
          <w:rFonts w:ascii="Arial" w:eastAsiaTheme="majorEastAsia" w:hAnsi="Arial" w:cs="Arial"/>
          <w:sz w:val="20"/>
          <w:szCs w:val="20"/>
        </w:rPr>
        <w:t>https://doi.org/10.1089/phage.2022.0020</w:t>
      </w:r>
    </w:p>
    <w:p w14:paraId="22D8D9D8" w14:textId="07AF0E0E" w:rsidR="00DB6887" w:rsidRDefault="00DB6887" w:rsidP="003C793F">
      <w:pPr>
        <w:pStyle w:val="paragraph"/>
        <w:numPr>
          <w:ilvl w:val="0"/>
          <w:numId w:val="3"/>
        </w:numPr>
        <w:textAlignment w:val="baseline"/>
        <w:rPr>
          <w:rFonts w:ascii="Arial" w:eastAsiaTheme="majorEastAsia" w:hAnsi="Arial" w:cs="Arial"/>
          <w:sz w:val="20"/>
          <w:szCs w:val="20"/>
        </w:rPr>
      </w:pPr>
      <w:r w:rsidRPr="00DB6887">
        <w:rPr>
          <w:rFonts w:ascii="Arial" w:eastAsiaTheme="majorEastAsia" w:hAnsi="Arial" w:cs="Arial"/>
          <w:sz w:val="20"/>
          <w:szCs w:val="20"/>
        </w:rPr>
        <w:t xml:space="preserve">Hajj, S. E., Henry, C., Andrieu, C., </w:t>
      </w:r>
      <w:proofErr w:type="spellStart"/>
      <w:r w:rsidRPr="00DB6887">
        <w:rPr>
          <w:rFonts w:ascii="Arial" w:eastAsiaTheme="majorEastAsia" w:hAnsi="Arial" w:cs="Arial"/>
          <w:sz w:val="20"/>
          <w:szCs w:val="20"/>
        </w:rPr>
        <w:t>Vergnes</w:t>
      </w:r>
      <w:proofErr w:type="spellEnd"/>
      <w:r w:rsidRPr="00DB6887">
        <w:rPr>
          <w:rFonts w:ascii="Arial" w:eastAsiaTheme="majorEastAsia" w:hAnsi="Arial" w:cs="Arial"/>
          <w:sz w:val="20"/>
          <w:szCs w:val="20"/>
        </w:rPr>
        <w:t xml:space="preserve">, A., Loiseau, L., Brasseur, G., Barré, R., </w:t>
      </w:r>
      <w:proofErr w:type="spellStart"/>
      <w:r w:rsidRPr="00DB6887">
        <w:rPr>
          <w:rFonts w:ascii="Arial" w:eastAsiaTheme="majorEastAsia" w:hAnsi="Arial" w:cs="Arial"/>
          <w:sz w:val="20"/>
          <w:szCs w:val="20"/>
        </w:rPr>
        <w:t>Aussel</w:t>
      </w:r>
      <w:proofErr w:type="spellEnd"/>
      <w:r w:rsidRPr="00DB6887">
        <w:rPr>
          <w:rFonts w:ascii="Arial" w:eastAsiaTheme="majorEastAsia" w:hAnsi="Arial" w:cs="Arial"/>
          <w:sz w:val="20"/>
          <w:szCs w:val="20"/>
        </w:rPr>
        <w:t xml:space="preserve">, L., &amp; </w:t>
      </w:r>
      <w:proofErr w:type="spellStart"/>
      <w:r w:rsidRPr="00DB6887">
        <w:rPr>
          <w:rFonts w:ascii="Arial" w:eastAsiaTheme="majorEastAsia" w:hAnsi="Arial" w:cs="Arial"/>
          <w:sz w:val="20"/>
          <w:szCs w:val="20"/>
        </w:rPr>
        <w:t>Ezraty</w:t>
      </w:r>
      <w:proofErr w:type="spellEnd"/>
      <w:r w:rsidRPr="00DB6887">
        <w:rPr>
          <w:rFonts w:ascii="Arial" w:eastAsiaTheme="majorEastAsia" w:hAnsi="Arial" w:cs="Arial"/>
          <w:sz w:val="20"/>
          <w:szCs w:val="20"/>
        </w:rPr>
        <w:t xml:space="preserve">, B. (2022). </w:t>
      </w:r>
      <w:proofErr w:type="spellStart"/>
      <w:r w:rsidRPr="00DB6887">
        <w:rPr>
          <w:rFonts w:ascii="Arial" w:eastAsiaTheme="majorEastAsia" w:hAnsi="Arial" w:cs="Arial"/>
          <w:sz w:val="20"/>
          <w:szCs w:val="20"/>
        </w:rPr>
        <w:t>HprSR</w:t>
      </w:r>
      <w:proofErr w:type="spellEnd"/>
      <w:r w:rsidRPr="00DB6887">
        <w:rPr>
          <w:rFonts w:ascii="Arial" w:eastAsiaTheme="majorEastAsia" w:hAnsi="Arial" w:cs="Arial"/>
          <w:sz w:val="20"/>
          <w:szCs w:val="20"/>
        </w:rPr>
        <w:t xml:space="preserve"> Is a Reactive Chlorine Species-Sensing, Two-Component System in Escherichia coli. </w:t>
      </w:r>
      <w:r w:rsidRPr="00DB6887">
        <w:rPr>
          <w:rFonts w:ascii="Arial" w:eastAsiaTheme="majorEastAsia" w:hAnsi="Arial" w:cs="Arial"/>
          <w:i/>
          <w:iCs/>
          <w:sz w:val="20"/>
          <w:szCs w:val="20"/>
        </w:rPr>
        <w:t>Journal of Bacteriology</w:t>
      </w:r>
      <w:r w:rsidRPr="00DB6887">
        <w:rPr>
          <w:rFonts w:ascii="Arial" w:eastAsiaTheme="majorEastAsia" w:hAnsi="Arial" w:cs="Arial"/>
          <w:sz w:val="20"/>
          <w:szCs w:val="20"/>
        </w:rPr>
        <w:t>, </w:t>
      </w:r>
      <w:r w:rsidRPr="00DB6887">
        <w:rPr>
          <w:rFonts w:ascii="Arial" w:eastAsiaTheme="majorEastAsia" w:hAnsi="Arial" w:cs="Arial"/>
          <w:i/>
          <w:iCs/>
          <w:sz w:val="20"/>
          <w:szCs w:val="20"/>
        </w:rPr>
        <w:t>204</w:t>
      </w:r>
      <w:r w:rsidRPr="00DB6887">
        <w:rPr>
          <w:rFonts w:ascii="Arial" w:eastAsiaTheme="majorEastAsia" w:hAnsi="Arial" w:cs="Arial"/>
          <w:sz w:val="20"/>
          <w:szCs w:val="20"/>
        </w:rPr>
        <w:t>(2). https://doi.org/10.1128/jb.00449-21</w:t>
      </w:r>
    </w:p>
    <w:p w14:paraId="2B917FFC" w14:textId="047CAA95" w:rsidR="006B4BE8" w:rsidRPr="00F73F28" w:rsidRDefault="006B4BE8" w:rsidP="003C793F">
      <w:pPr>
        <w:pStyle w:val="paragraph"/>
        <w:numPr>
          <w:ilvl w:val="0"/>
          <w:numId w:val="3"/>
        </w:numPr>
        <w:textAlignment w:val="baseline"/>
        <w:rPr>
          <w:rFonts w:ascii="Arial" w:eastAsiaTheme="majorEastAsia" w:hAnsi="Arial" w:cs="Arial"/>
          <w:sz w:val="20"/>
          <w:szCs w:val="20"/>
        </w:rPr>
      </w:pPr>
      <w:r w:rsidRPr="006B4BE8">
        <w:rPr>
          <w:rFonts w:ascii="Arial" w:eastAsiaTheme="majorEastAsia" w:hAnsi="Arial" w:cs="Arial"/>
          <w:sz w:val="20"/>
          <w:szCs w:val="20"/>
        </w:rPr>
        <w:t xml:space="preserve">Muñoz-Gutierrez, V., Cornejo, F. A., Schmidt, K., Frese, C. K., </w:t>
      </w:r>
      <w:proofErr w:type="spellStart"/>
      <w:r w:rsidRPr="006B4BE8">
        <w:rPr>
          <w:rFonts w:ascii="Arial" w:eastAsiaTheme="majorEastAsia" w:hAnsi="Arial" w:cs="Arial"/>
          <w:sz w:val="20"/>
          <w:szCs w:val="20"/>
        </w:rPr>
        <w:t>Halte</w:t>
      </w:r>
      <w:proofErr w:type="spellEnd"/>
      <w:r w:rsidRPr="006B4BE8">
        <w:rPr>
          <w:rFonts w:ascii="Arial" w:eastAsiaTheme="majorEastAsia" w:hAnsi="Arial" w:cs="Arial"/>
          <w:sz w:val="20"/>
          <w:szCs w:val="20"/>
        </w:rPr>
        <w:t xml:space="preserve">, M., Erhardt, M., Elsholz, A. K. W., Turgay, K., &amp; Charpentier, E. (2024). </w:t>
      </w:r>
      <w:r w:rsidRPr="00DB6887">
        <w:rPr>
          <w:rFonts w:ascii="Arial" w:eastAsiaTheme="majorEastAsia" w:hAnsi="Arial" w:cs="Arial"/>
          <w:i/>
          <w:sz w:val="20"/>
          <w:szCs w:val="20"/>
        </w:rPr>
        <w:t>Bacillus subtilis</w:t>
      </w:r>
      <w:r w:rsidRPr="006B4BE8">
        <w:rPr>
          <w:rFonts w:ascii="Arial" w:eastAsiaTheme="majorEastAsia" w:hAnsi="Arial" w:cs="Arial"/>
          <w:sz w:val="20"/>
          <w:szCs w:val="20"/>
        </w:rPr>
        <w:t xml:space="preserve"> remains translationally active after </w:t>
      </w:r>
      <w:proofErr w:type="spellStart"/>
      <w:r w:rsidRPr="006B4BE8">
        <w:rPr>
          <w:rFonts w:ascii="Arial" w:eastAsiaTheme="majorEastAsia" w:hAnsi="Arial" w:cs="Arial"/>
          <w:sz w:val="20"/>
          <w:szCs w:val="20"/>
        </w:rPr>
        <w:t>CRISPRi</w:t>
      </w:r>
      <w:proofErr w:type="spellEnd"/>
      <w:r w:rsidRPr="006B4BE8">
        <w:rPr>
          <w:rFonts w:ascii="Arial" w:eastAsiaTheme="majorEastAsia" w:hAnsi="Arial" w:cs="Arial"/>
          <w:sz w:val="20"/>
          <w:szCs w:val="20"/>
        </w:rPr>
        <w:t>-mediated replication initiation arrest. </w:t>
      </w:r>
      <w:r w:rsidRPr="006B4BE8">
        <w:rPr>
          <w:rFonts w:ascii="Arial" w:eastAsiaTheme="majorEastAsia" w:hAnsi="Arial" w:cs="Arial"/>
          <w:i/>
          <w:iCs/>
          <w:sz w:val="20"/>
          <w:szCs w:val="20"/>
        </w:rPr>
        <w:t>mSystems</w:t>
      </w:r>
      <w:r w:rsidRPr="006B4BE8">
        <w:rPr>
          <w:rFonts w:ascii="Arial" w:eastAsiaTheme="majorEastAsia" w:hAnsi="Arial" w:cs="Arial"/>
          <w:sz w:val="20"/>
          <w:szCs w:val="20"/>
        </w:rPr>
        <w:t>, </w:t>
      </w:r>
      <w:r w:rsidRPr="006B4BE8">
        <w:rPr>
          <w:rFonts w:ascii="Arial" w:eastAsiaTheme="majorEastAsia" w:hAnsi="Arial" w:cs="Arial"/>
          <w:i/>
          <w:iCs/>
          <w:sz w:val="20"/>
          <w:szCs w:val="20"/>
        </w:rPr>
        <w:t>9</w:t>
      </w:r>
      <w:r w:rsidRPr="006B4BE8">
        <w:rPr>
          <w:rFonts w:ascii="Arial" w:eastAsiaTheme="majorEastAsia" w:hAnsi="Arial" w:cs="Arial"/>
          <w:sz w:val="20"/>
          <w:szCs w:val="20"/>
        </w:rPr>
        <w:t>(4). https://doi.org/10.1128/msystems.00221-24</w:t>
      </w:r>
    </w:p>
    <w:sectPr w:rsidR="006B4BE8"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8"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9"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0"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7640386">
    <w:abstractNumId w:val="9"/>
  </w:num>
  <w:num w:numId="2" w16cid:durableId="528374041">
    <w:abstractNumId w:val="7"/>
  </w:num>
  <w:num w:numId="3" w16cid:durableId="492062696">
    <w:abstractNumId w:val="2"/>
  </w:num>
  <w:num w:numId="4" w16cid:durableId="886380471">
    <w:abstractNumId w:val="4"/>
  </w:num>
  <w:num w:numId="5" w16cid:durableId="307440449">
    <w:abstractNumId w:val="1"/>
  </w:num>
  <w:num w:numId="6" w16cid:durableId="433289845">
    <w:abstractNumId w:val="6"/>
  </w:num>
  <w:num w:numId="7" w16cid:durableId="1634286006">
    <w:abstractNumId w:val="5"/>
  </w:num>
  <w:num w:numId="8" w16cid:durableId="2039431001">
    <w:abstractNumId w:val="8"/>
  </w:num>
  <w:num w:numId="9" w16cid:durableId="1994335025">
    <w:abstractNumId w:val="0"/>
  </w:num>
  <w:num w:numId="10" w16cid:durableId="968242581">
    <w:abstractNumId w:val="11"/>
  </w:num>
  <w:num w:numId="11" w16cid:durableId="923026416">
    <w:abstractNumId w:val="3"/>
  </w:num>
  <w:num w:numId="12" w16cid:durableId="924804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47CEC"/>
    <w:rsid w:val="0006051A"/>
    <w:rsid w:val="00083F34"/>
    <w:rsid w:val="000A7DDE"/>
    <w:rsid w:val="000B3121"/>
    <w:rsid w:val="000C2AE8"/>
    <w:rsid w:val="000F0A8B"/>
    <w:rsid w:val="000F4137"/>
    <w:rsid w:val="00112F01"/>
    <w:rsid w:val="00156FFD"/>
    <w:rsid w:val="00174C5A"/>
    <w:rsid w:val="00183079"/>
    <w:rsid w:val="001A6A63"/>
    <w:rsid w:val="00212AEE"/>
    <w:rsid w:val="00250E0C"/>
    <w:rsid w:val="00257598"/>
    <w:rsid w:val="002C3CD4"/>
    <w:rsid w:val="0034372C"/>
    <w:rsid w:val="003714FD"/>
    <w:rsid w:val="00372EA4"/>
    <w:rsid w:val="00376F05"/>
    <w:rsid w:val="003904E0"/>
    <w:rsid w:val="00391E3E"/>
    <w:rsid w:val="00396FC3"/>
    <w:rsid w:val="00397530"/>
    <w:rsid w:val="003C793F"/>
    <w:rsid w:val="003D14D4"/>
    <w:rsid w:val="00456A62"/>
    <w:rsid w:val="004727D6"/>
    <w:rsid w:val="0049285A"/>
    <w:rsid w:val="00492F55"/>
    <w:rsid w:val="004A3A79"/>
    <w:rsid w:val="004F6BD3"/>
    <w:rsid w:val="00512CCD"/>
    <w:rsid w:val="0051399C"/>
    <w:rsid w:val="005166D0"/>
    <w:rsid w:val="00606034"/>
    <w:rsid w:val="00621DF5"/>
    <w:rsid w:val="006848F2"/>
    <w:rsid w:val="00684F4F"/>
    <w:rsid w:val="006A0555"/>
    <w:rsid w:val="006B4BE8"/>
    <w:rsid w:val="006D3BCC"/>
    <w:rsid w:val="006E7748"/>
    <w:rsid w:val="00714EA4"/>
    <w:rsid w:val="0074467A"/>
    <w:rsid w:val="007731CA"/>
    <w:rsid w:val="0077397D"/>
    <w:rsid w:val="00806EBA"/>
    <w:rsid w:val="00820B14"/>
    <w:rsid w:val="00857E69"/>
    <w:rsid w:val="00867C9A"/>
    <w:rsid w:val="008744B6"/>
    <w:rsid w:val="0087701C"/>
    <w:rsid w:val="00882126"/>
    <w:rsid w:val="008A04D9"/>
    <w:rsid w:val="0091168C"/>
    <w:rsid w:val="009A4DB2"/>
    <w:rsid w:val="009A67E2"/>
    <w:rsid w:val="009C62D0"/>
    <w:rsid w:val="009D29D9"/>
    <w:rsid w:val="00A353FE"/>
    <w:rsid w:val="00AA0413"/>
    <w:rsid w:val="00B16F24"/>
    <w:rsid w:val="00B416DE"/>
    <w:rsid w:val="00B41BCD"/>
    <w:rsid w:val="00B82D0F"/>
    <w:rsid w:val="00B933DF"/>
    <w:rsid w:val="00BB0DB3"/>
    <w:rsid w:val="00BB76DF"/>
    <w:rsid w:val="00BE32B1"/>
    <w:rsid w:val="00C07FB7"/>
    <w:rsid w:val="00C9766A"/>
    <w:rsid w:val="00CB1EFB"/>
    <w:rsid w:val="00CB728F"/>
    <w:rsid w:val="00CD448E"/>
    <w:rsid w:val="00D44AFE"/>
    <w:rsid w:val="00D64122"/>
    <w:rsid w:val="00D65867"/>
    <w:rsid w:val="00D70430"/>
    <w:rsid w:val="00DB6887"/>
    <w:rsid w:val="00DC669C"/>
    <w:rsid w:val="00DD2F34"/>
    <w:rsid w:val="00DF01B5"/>
    <w:rsid w:val="00DF691A"/>
    <w:rsid w:val="00E02E40"/>
    <w:rsid w:val="00E37704"/>
    <w:rsid w:val="00E851B1"/>
    <w:rsid w:val="00E863CF"/>
    <w:rsid w:val="00F028DC"/>
    <w:rsid w:val="00F24624"/>
    <w:rsid w:val="00F73F28"/>
    <w:rsid w:val="00FD2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 w:type="character" w:styleId="UnresolvedMention">
    <w:name w:val="Unresolved Mention"/>
    <w:basedOn w:val="DefaultParagraphFont"/>
    <w:uiPriority w:val="99"/>
    <w:semiHidden/>
    <w:unhideWhenUsed/>
    <w:rsid w:val="00257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998465210">
      <w:bodyDiv w:val="1"/>
      <w:marLeft w:val="0"/>
      <w:marRight w:val="0"/>
      <w:marTop w:val="0"/>
      <w:marBottom w:val="0"/>
      <w:divBdr>
        <w:top w:val="none" w:sz="0" w:space="0" w:color="auto"/>
        <w:left w:val="none" w:sz="0" w:space="0" w:color="auto"/>
        <w:bottom w:val="none" w:sz="0" w:space="0" w:color="auto"/>
        <w:right w:val="none" w:sz="0" w:space="0" w:color="auto"/>
      </w:divBdr>
      <w:divsChild>
        <w:div w:id="208614499">
          <w:marLeft w:val="0"/>
          <w:marRight w:val="0"/>
          <w:marTop w:val="0"/>
          <w:marBottom w:val="240"/>
          <w:divBdr>
            <w:top w:val="none" w:sz="0" w:space="0" w:color="auto"/>
            <w:left w:val="none" w:sz="0" w:space="0" w:color="auto"/>
            <w:bottom w:val="none" w:sz="0" w:space="0" w:color="auto"/>
            <w:right w:val="none" w:sz="0" w:space="0" w:color="auto"/>
          </w:divBdr>
        </w:div>
        <w:div w:id="1281037171">
          <w:marLeft w:val="0"/>
          <w:marRight w:val="0"/>
          <w:marTop w:val="0"/>
          <w:marBottom w:val="240"/>
          <w:divBdr>
            <w:top w:val="none" w:sz="0" w:space="0" w:color="auto"/>
            <w:left w:val="none" w:sz="0" w:space="0" w:color="auto"/>
            <w:bottom w:val="none" w:sz="0" w:space="0" w:color="auto"/>
            <w:right w:val="none" w:sz="0" w:space="0" w:color="auto"/>
          </w:divBdr>
        </w:div>
      </w:divsChild>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27511799">
      <w:bodyDiv w:val="1"/>
      <w:marLeft w:val="0"/>
      <w:marRight w:val="0"/>
      <w:marTop w:val="0"/>
      <w:marBottom w:val="0"/>
      <w:divBdr>
        <w:top w:val="none" w:sz="0" w:space="0" w:color="auto"/>
        <w:left w:val="none" w:sz="0" w:space="0" w:color="auto"/>
        <w:bottom w:val="none" w:sz="0" w:space="0" w:color="auto"/>
        <w:right w:val="none" w:sz="0" w:space="0" w:color="auto"/>
      </w:divBdr>
      <w:divsChild>
        <w:div w:id="1430927032">
          <w:marLeft w:val="0"/>
          <w:marRight w:val="0"/>
          <w:marTop w:val="0"/>
          <w:marBottom w:val="240"/>
          <w:divBdr>
            <w:top w:val="none" w:sz="0" w:space="0" w:color="auto"/>
            <w:left w:val="none" w:sz="0" w:space="0" w:color="auto"/>
            <w:bottom w:val="none" w:sz="0" w:space="0" w:color="auto"/>
            <w:right w:val="none" w:sz="0" w:space="0" w:color="auto"/>
          </w:divBdr>
        </w:div>
        <w:div w:id="947541005">
          <w:marLeft w:val="0"/>
          <w:marRight w:val="0"/>
          <w:marTop w:val="0"/>
          <w:marBottom w:val="240"/>
          <w:divBdr>
            <w:top w:val="none" w:sz="0" w:space="0" w:color="auto"/>
            <w:left w:val="none" w:sz="0" w:space="0" w:color="auto"/>
            <w:bottom w:val="none" w:sz="0" w:space="0" w:color="auto"/>
            <w:right w:val="none" w:sz="0" w:space="0" w:color="auto"/>
          </w:divBdr>
        </w:div>
        <w:div w:id="330524127">
          <w:marLeft w:val="0"/>
          <w:marRight w:val="0"/>
          <w:marTop w:val="0"/>
          <w:marBottom w:val="240"/>
          <w:divBdr>
            <w:top w:val="none" w:sz="0" w:space="0" w:color="auto"/>
            <w:left w:val="none" w:sz="0" w:space="0" w:color="auto"/>
            <w:bottom w:val="none" w:sz="0" w:space="0" w:color="auto"/>
            <w:right w:val="none" w:sz="0" w:space="0" w:color="auto"/>
          </w:divBdr>
        </w:div>
      </w:divsChild>
    </w:div>
    <w:div w:id="1177036351">
      <w:bodyDiv w:val="1"/>
      <w:marLeft w:val="0"/>
      <w:marRight w:val="0"/>
      <w:marTop w:val="0"/>
      <w:marBottom w:val="0"/>
      <w:divBdr>
        <w:top w:val="none" w:sz="0" w:space="0" w:color="auto"/>
        <w:left w:val="none" w:sz="0" w:space="0" w:color="auto"/>
        <w:bottom w:val="none" w:sz="0" w:space="0" w:color="auto"/>
        <w:right w:val="none" w:sz="0" w:space="0" w:color="auto"/>
      </w:divBdr>
      <w:divsChild>
        <w:div w:id="1418862988">
          <w:marLeft w:val="0"/>
          <w:marRight w:val="0"/>
          <w:marTop w:val="0"/>
          <w:marBottom w:val="240"/>
          <w:divBdr>
            <w:top w:val="none" w:sz="0" w:space="0" w:color="auto"/>
            <w:left w:val="none" w:sz="0" w:space="0" w:color="auto"/>
            <w:bottom w:val="none" w:sz="0" w:space="0" w:color="auto"/>
            <w:right w:val="none" w:sz="0" w:space="0" w:color="auto"/>
          </w:divBdr>
        </w:div>
        <w:div w:id="222445661">
          <w:marLeft w:val="0"/>
          <w:marRight w:val="0"/>
          <w:marTop w:val="0"/>
          <w:marBottom w:val="24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49779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43251015">
      <w:bodyDiv w:val="1"/>
      <w:marLeft w:val="0"/>
      <w:marRight w:val="0"/>
      <w:marTop w:val="0"/>
      <w:marBottom w:val="0"/>
      <w:divBdr>
        <w:top w:val="none" w:sz="0" w:space="0" w:color="auto"/>
        <w:left w:val="none" w:sz="0" w:space="0" w:color="auto"/>
        <w:bottom w:val="none" w:sz="0" w:space="0" w:color="auto"/>
        <w:right w:val="none" w:sz="0" w:space="0" w:color="auto"/>
      </w:divBdr>
      <w:divsChild>
        <w:div w:id="875654634">
          <w:marLeft w:val="0"/>
          <w:marRight w:val="0"/>
          <w:marTop w:val="0"/>
          <w:marBottom w:val="240"/>
          <w:divBdr>
            <w:top w:val="none" w:sz="0" w:space="0" w:color="auto"/>
            <w:left w:val="none" w:sz="0" w:space="0" w:color="auto"/>
            <w:bottom w:val="none" w:sz="0" w:space="0" w:color="auto"/>
            <w:right w:val="none" w:sz="0" w:space="0" w:color="auto"/>
          </w:divBdr>
        </w:div>
        <w:div w:id="1599213401">
          <w:marLeft w:val="0"/>
          <w:marRight w:val="0"/>
          <w:marTop w:val="0"/>
          <w:marBottom w:val="240"/>
          <w:divBdr>
            <w:top w:val="none" w:sz="0" w:space="0" w:color="auto"/>
            <w:left w:val="none" w:sz="0" w:space="0" w:color="auto"/>
            <w:bottom w:val="none" w:sz="0" w:space="0" w:color="auto"/>
            <w:right w:val="none" w:sz="0" w:space="0" w:color="auto"/>
          </w:divBdr>
        </w:div>
        <w:div w:id="1664239570">
          <w:marLeft w:val="0"/>
          <w:marRight w:val="0"/>
          <w:marTop w:val="0"/>
          <w:marBottom w:val="240"/>
          <w:divBdr>
            <w:top w:val="none" w:sz="0" w:space="0" w:color="auto"/>
            <w:left w:val="none" w:sz="0" w:space="0" w:color="auto"/>
            <w:bottom w:val="none" w:sz="0" w:space="0" w:color="auto"/>
            <w:right w:val="none" w:sz="0" w:space="0" w:color="auto"/>
          </w:divBdr>
        </w:div>
      </w:divsChild>
    </w:div>
    <w:div w:id="1544442369">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9529316/figure/f2/" TargetMode="External"/><Relationship Id="rId18" Type="http://schemas.openxmlformats.org/officeDocument/2006/relationships/hyperlink" Target="https://journals.asm.org/doi/10.1128/jb.00449-21?url_ver=Z39.88-2003&amp;rfr_id=ori%3Arid%3Acrossref.org&amp;rfr_dat=cr_pub++0pubmed" TargetMode="External"/><Relationship Id="rId26" Type="http://schemas.openxmlformats.org/officeDocument/2006/relationships/hyperlink" Target="https://journals.asm.org/doi/full/10.1128/msystems.00221-24?rfr_dat=cr_pub++0pubmed&amp;url_ver=Z39.88-2003&amp;rfr_id=ori%3Arid%3Acrossref.org" TargetMode="External"/><Relationship Id="rId3" Type="http://schemas.openxmlformats.org/officeDocument/2006/relationships/styles" Target="styles.xml"/><Relationship Id="rId21" Type="http://schemas.openxmlformats.org/officeDocument/2006/relationships/hyperlink" Target="https://journals.asm.org/doi/10.1128/jb.00449-21?url_ver=Z39.88-2003&amp;rfr_id=ori%3Arid%3Acrossref.org&amp;rfr_dat=cr_pub++0pubmed" TargetMode="External"/><Relationship Id="rId34" Type="http://schemas.openxmlformats.org/officeDocument/2006/relationships/fontTable" Target="fontTable.xml"/><Relationship Id="rId7" Type="http://schemas.openxmlformats.org/officeDocument/2006/relationships/hyperlink" Target="https://www.sciencedirect.com/topics/immunology-and-microbiology/mycelium" TargetMode="External"/><Relationship Id="rId12" Type="http://schemas.openxmlformats.org/officeDocument/2006/relationships/hyperlink" Target="https://www.ncbi.nlm.nih.gov/pmc/articles/PMC9529316/figure/f2/" TargetMode="External"/><Relationship Id="rId17" Type="http://schemas.openxmlformats.org/officeDocument/2006/relationships/hyperlink" Target="https://pmc.ncbi.nlm.nih.gov/articles/PMC9529316/" TargetMode="External"/><Relationship Id="rId25" Type="http://schemas.openxmlformats.org/officeDocument/2006/relationships/hyperlink" Target="https://journals.asm.org/doi/full/10.1128/msystems.00221-24?rfr_dat=cr_pub++0pubmed&amp;url_ver=Z39.88-2003&amp;rfr_id=ori%3Arid%3Acrossref.org" TargetMode="External"/><Relationship Id="rId33" Type="http://schemas.openxmlformats.org/officeDocument/2006/relationships/hyperlink" Target="https://journals.asm.org/doi/full/10.1128/msystems.00221-24?rfr_dat=cr_pub++0pubmed&amp;url_ver=Z39.88-2003&amp;rfr_id=ori%3Arid%3Acrossref.org" TargetMode="External"/><Relationship Id="rId2" Type="http://schemas.openxmlformats.org/officeDocument/2006/relationships/numbering" Target="numbering.xml"/><Relationship Id="rId16" Type="http://schemas.openxmlformats.org/officeDocument/2006/relationships/hyperlink" Target="https://pmc.ncbi.nlm.nih.gov/articles/PMC9529316/" TargetMode="External"/><Relationship Id="rId20" Type="http://schemas.openxmlformats.org/officeDocument/2006/relationships/hyperlink" Target="https://journals.asm.org/doi/10.1128/jb.00449-21?url_ver=Z39.88-2003&amp;rfr_id=ori%3Arid%3Acrossref.org&amp;rfr_dat=cr_pub++0pubmed" TargetMode="External"/><Relationship Id="rId29" Type="http://schemas.openxmlformats.org/officeDocument/2006/relationships/hyperlink" Target="https://journals.asm.org/doi/full/10.1128/msystems.00221-24?rfr_dat=cr_pub++0pubmed&amp;url_ver=Z39.88-2003&amp;rfr_id=ori%3Arid%3Acrossref.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cbi.nlm.nih.gov/pmc/articles/PMC9529316/figure/f1/" TargetMode="External"/><Relationship Id="rId24" Type="http://schemas.openxmlformats.org/officeDocument/2006/relationships/image" Target="media/image4.jpeg"/><Relationship Id="rId32" Type="http://schemas.openxmlformats.org/officeDocument/2006/relationships/hyperlink" Target="https://journals.asm.org/doi/full/10.1128/msystems.00221-24?rfr_dat=cr_pub++0pubmed&amp;url_ver=Z39.88-2003&amp;rfr_id=ori%3Arid%3Acrossref.org" TargetMode="External"/><Relationship Id="rId5" Type="http://schemas.openxmlformats.org/officeDocument/2006/relationships/webSettings" Target="webSettings.xml"/><Relationship Id="rId15" Type="http://schemas.openxmlformats.org/officeDocument/2006/relationships/hyperlink" Target="https://pmc.ncbi.nlm.nih.gov/articles/PMC9529316/" TargetMode="External"/><Relationship Id="rId23" Type="http://schemas.openxmlformats.org/officeDocument/2006/relationships/hyperlink" Target="https://journals.asm.org/doi/10.1128/jb.00449-21" TargetMode="External"/><Relationship Id="rId28" Type="http://schemas.openxmlformats.org/officeDocument/2006/relationships/hyperlink" Target="https://journals.asm.org/doi/full/10.1128/msystems.00221-24?rfr_dat=cr_pub++0pubmed&amp;url_ver=Z39.88-2003&amp;rfr_id=ori%3Arid%3Acrossref.org" TargetMode="External"/><Relationship Id="rId10" Type="http://schemas.openxmlformats.org/officeDocument/2006/relationships/hyperlink" Target="https://www.ncbi.nlm.nih.gov/pmc/articles/PMC9529316/figure/f2/" TargetMode="External"/><Relationship Id="rId19" Type="http://schemas.openxmlformats.org/officeDocument/2006/relationships/hyperlink" Target="https://journals.asm.org/doi/10.1128/jb.00449-21?url_ver=Z39.88-2003&amp;rfr_id=ori%3Arid%3Acrossref.org&amp;rfr_dat=cr_pub++0pubmed" TargetMode="External"/><Relationship Id="rId31" Type="http://schemas.openxmlformats.org/officeDocument/2006/relationships/hyperlink" Target="https://journals.asm.org/doi/full/10.1128/msystems.00221-24?rfr_dat=cr_pub++0pubmed&amp;url_ver=Z39.88-2003&amp;rfr_id=ori%3Arid%3Acrossref.org" TargetMode="External"/><Relationship Id="rId4" Type="http://schemas.openxmlformats.org/officeDocument/2006/relationships/settings" Target="settings.xml"/><Relationship Id="rId9" Type="http://schemas.openxmlformats.org/officeDocument/2006/relationships/hyperlink" Target="https://www.ncbi.nlm.nih.gov/pmc/articles/PMC9529316/" TargetMode="External"/><Relationship Id="rId14" Type="http://schemas.openxmlformats.org/officeDocument/2006/relationships/image" Target="media/image2.jpeg"/><Relationship Id="rId22" Type="http://schemas.openxmlformats.org/officeDocument/2006/relationships/image" Target="media/image3.jpeg"/><Relationship Id="rId27" Type="http://schemas.openxmlformats.org/officeDocument/2006/relationships/hyperlink" Target="https://journals.asm.org/doi/full/10.1128/msystems.00221-24?rfr_dat=cr_pub++0pubmed&amp;url_ver=Z39.88-2003&amp;rfr_id=ori%3Arid%3Acrossref.org" TargetMode="External"/><Relationship Id="rId30" Type="http://schemas.openxmlformats.org/officeDocument/2006/relationships/hyperlink" Target="https://journals.asm.org/doi/full/10.1128/msystems.00221-24?rfr_dat=cr_pub++0pubmed&amp;url_ver=Z39.88-2003&amp;rfr_id=ori%3Arid%3Acrossref.org" TargetMode="External"/><Relationship Id="rId35" Type="http://schemas.openxmlformats.org/officeDocument/2006/relationships/theme" Target="theme/theme1.xml"/><Relationship Id="rId8" Type="http://schemas.openxmlformats.org/officeDocument/2006/relationships/hyperlink" Target="https://www.ncbi.nlm.nih.gov/pmc/articles/PMC9529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BBEF-790A-497D-BA0D-15931683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84</cp:revision>
  <dcterms:created xsi:type="dcterms:W3CDTF">2024-08-13T12:13:00Z</dcterms:created>
  <dcterms:modified xsi:type="dcterms:W3CDTF">2024-12-04T15:42:00Z</dcterms:modified>
</cp:coreProperties>
</file>