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8F5BD" w14:textId="14C32B02" w:rsidR="000C2AE8" w:rsidRDefault="00BB557E" w:rsidP="00606034">
      <w:pPr>
        <w:pStyle w:val="Heading1"/>
        <w:jc w:val="center"/>
      </w:pPr>
      <w:r>
        <w:t>Additional w</w:t>
      </w:r>
      <w:r w:rsidR="00BE32B1">
        <w:t>riting exercise</w:t>
      </w:r>
      <w:r>
        <w:t>s</w:t>
      </w:r>
      <w:r w:rsidR="00BE32B1">
        <w:t xml:space="preserve"> </w:t>
      </w:r>
      <w:r>
        <w:t>(01)</w:t>
      </w:r>
    </w:p>
    <w:p w14:paraId="37748BB0" w14:textId="173B4616" w:rsidR="0034372C" w:rsidRDefault="00BE32B1" w:rsidP="00BB557E">
      <w:pPr>
        <w:pStyle w:val="Heading2"/>
        <w:jc w:val="center"/>
      </w:pPr>
      <w:proofErr w:type="spellStart"/>
      <w:r>
        <w:t>Dr.</w:t>
      </w:r>
      <w:proofErr w:type="spellEnd"/>
      <w:r>
        <w:t xml:space="preserve"> Morgan Feeney, AY 2024-25</w:t>
      </w:r>
    </w:p>
    <w:p w14:paraId="4DCB1362" w14:textId="77777777" w:rsidR="004F6BD3" w:rsidRPr="0034372C" w:rsidRDefault="004F6BD3" w:rsidP="0034372C"/>
    <w:p w14:paraId="7BA81DCA" w14:textId="30108540" w:rsidR="00BE32B1" w:rsidRPr="00714EA4" w:rsidRDefault="00A729D5" w:rsidP="001A6A63">
      <w:pPr>
        <w:pStyle w:val="Heading3"/>
        <w:spacing w:before="0"/>
        <w:rPr>
          <w:u w:val="single"/>
        </w:rPr>
      </w:pPr>
      <w:r>
        <w:rPr>
          <w:u w:val="single"/>
        </w:rPr>
        <w:t>Addi</w:t>
      </w:r>
      <w:r w:rsidRPr="00A729D5">
        <w:rPr>
          <w:u w:val="single"/>
        </w:rPr>
        <w:t>t</w:t>
      </w:r>
      <w:r>
        <w:rPr>
          <w:u w:val="single"/>
        </w:rPr>
        <w:t>ional Wri</w:t>
      </w:r>
      <w:r w:rsidRPr="00A729D5">
        <w:rPr>
          <w:u w:val="single"/>
        </w:rPr>
        <w:t>t</w:t>
      </w:r>
      <w:r>
        <w:rPr>
          <w:u w:val="single"/>
        </w:rPr>
        <w:t>ing Exercises: Paragraph S</w:t>
      </w:r>
      <w:r w:rsidRPr="00A729D5">
        <w:rPr>
          <w:u w:val="single"/>
        </w:rPr>
        <w:t>t</w:t>
      </w:r>
      <w:r>
        <w:rPr>
          <w:u w:val="single"/>
        </w:rPr>
        <w:t>ruc</w:t>
      </w:r>
      <w:r w:rsidRPr="00A729D5">
        <w:rPr>
          <w:u w:val="single"/>
        </w:rPr>
        <w:t>t</w:t>
      </w:r>
      <w:r>
        <w:rPr>
          <w:u w:val="single"/>
        </w:rPr>
        <w:t>ure</w:t>
      </w:r>
      <w:bookmarkStart w:id="0" w:name="_GoBack"/>
      <w:bookmarkEnd w:id="0"/>
      <w:r w:rsidR="00B82D0F" w:rsidRPr="00714EA4">
        <w:rPr>
          <w:u w:val="single"/>
        </w:rPr>
        <w:t>.</w:t>
      </w:r>
    </w:p>
    <w:p w14:paraId="5E57A8AC" w14:textId="358F211A" w:rsidR="00156FFD" w:rsidRPr="00156FFD" w:rsidRDefault="00156FFD" w:rsidP="00156FFD">
      <w:r w:rsidRPr="00156FFD">
        <w:t>Read each sample of scientific writing and ask yourself 3 questions:</w:t>
      </w:r>
    </w:p>
    <w:p w14:paraId="63EEC984" w14:textId="77777777" w:rsidR="00F60401" w:rsidRPr="00156FFD" w:rsidRDefault="004F6BD3" w:rsidP="00156FFD">
      <w:pPr>
        <w:numPr>
          <w:ilvl w:val="0"/>
          <w:numId w:val="2"/>
        </w:numPr>
      </w:pPr>
      <w:r w:rsidRPr="00156FFD">
        <w:t>For each paragraph, can you identify the topic sentence/topic of the paragraph?</w:t>
      </w:r>
    </w:p>
    <w:p w14:paraId="5AB5B088" w14:textId="77777777" w:rsidR="00F60401" w:rsidRPr="00156FFD" w:rsidRDefault="004F6BD3" w:rsidP="00156FFD">
      <w:pPr>
        <w:numPr>
          <w:ilvl w:val="0"/>
          <w:numId w:val="2"/>
        </w:numPr>
      </w:pPr>
      <w:r w:rsidRPr="00156FFD">
        <w:t>Do the subsequent sentences logically flow and lead to a sensible, well-supported conclusion?</w:t>
      </w:r>
    </w:p>
    <w:p w14:paraId="48F72DCD" w14:textId="6541F357" w:rsidR="0087701C" w:rsidRDefault="004F6BD3" w:rsidP="00B82D0F">
      <w:pPr>
        <w:numPr>
          <w:ilvl w:val="0"/>
          <w:numId w:val="2"/>
        </w:numPr>
      </w:pPr>
      <w:r w:rsidRPr="00156FFD">
        <w:t>Could the structure/logical order of the paragraph be improved</w:t>
      </w:r>
      <w:r w:rsidR="0091168C">
        <w:t xml:space="preserve"> (if so, how?)</w:t>
      </w:r>
      <w:r w:rsidRPr="00156FFD">
        <w:t>?</w:t>
      </w:r>
    </w:p>
    <w:p w14:paraId="77E87516" w14:textId="62260652" w:rsidR="000B3121" w:rsidRDefault="00BB557E" w:rsidP="000B3121">
      <w:r>
        <w:rPr>
          <w:b/>
          <w:bCs/>
          <w:u w:val="single"/>
        </w:rPr>
        <w:t xml:space="preserve">Sample </w:t>
      </w:r>
      <w:r w:rsidR="000B3121" w:rsidRPr="000B3121">
        <w:rPr>
          <w:b/>
          <w:bCs/>
          <w:u w:val="single"/>
        </w:rPr>
        <w:t>1</w:t>
      </w:r>
      <w:r w:rsidR="000B3121" w:rsidRPr="000B3121">
        <w:rPr>
          <w:u w:val="single"/>
        </w:rPr>
        <w:t xml:space="preserve"> </w:t>
      </w:r>
      <w:r>
        <w:rPr>
          <w:vertAlign w:val="superscript"/>
        </w:rPr>
        <w:t>1</w:t>
      </w:r>
      <w:r w:rsidR="000B3121" w:rsidRPr="000B3121">
        <w:t> </w:t>
      </w:r>
    </w:p>
    <w:p w14:paraId="57618D32" w14:textId="6506246B" w:rsidR="00BB557E" w:rsidRDefault="00BB557E" w:rsidP="000B3121">
      <w:r w:rsidRPr="00BB557E">
        <w:t>The method for controlling gall disease involves the use of chemicals such as copper and acids (</w:t>
      </w:r>
      <w:proofErr w:type="spellStart"/>
      <w:r w:rsidRPr="00BB557E">
        <w:fldChar w:fldCharType="begin"/>
      </w:r>
      <w:r w:rsidRPr="00BB557E">
        <w:instrText xml:space="preserve"> HYPERLINK "https://www.frontiersin.org/journals/microbiology/articles/10.3389/fmicb.2024.1437536/full" \l "ref41" </w:instrText>
      </w:r>
      <w:r w:rsidRPr="00BB557E">
        <w:fldChar w:fldCharType="separate"/>
      </w:r>
      <w:r w:rsidRPr="00BB557E">
        <w:rPr>
          <w:rStyle w:val="Hyperlink"/>
        </w:rPr>
        <w:t>Sawalha</w:t>
      </w:r>
      <w:proofErr w:type="spellEnd"/>
      <w:r w:rsidRPr="00BB557E">
        <w:rPr>
          <w:rStyle w:val="Hyperlink"/>
        </w:rPr>
        <w:t xml:space="preserve"> et al., 2013</w:t>
      </w:r>
      <w:r w:rsidRPr="00BB557E">
        <w:fldChar w:fldCharType="end"/>
      </w:r>
      <w:r w:rsidRPr="00BB557E">
        <w:t>; </w:t>
      </w:r>
      <w:hyperlink r:id="rId6" w:anchor="ref33" w:history="1">
        <w:r w:rsidRPr="00BB557E">
          <w:rPr>
            <w:rStyle w:val="Hyperlink"/>
          </w:rPr>
          <w:t xml:space="preserve">Mary </w:t>
        </w:r>
        <w:proofErr w:type="spellStart"/>
        <w:r w:rsidRPr="00BB557E">
          <w:rPr>
            <w:rStyle w:val="Hyperlink"/>
          </w:rPr>
          <w:t>Opisa</w:t>
        </w:r>
        <w:proofErr w:type="spellEnd"/>
        <w:r w:rsidRPr="00BB557E">
          <w:rPr>
            <w:rStyle w:val="Hyperlink"/>
          </w:rPr>
          <w:t xml:space="preserve"> et al., 2020</w:t>
        </w:r>
      </w:hyperlink>
      <w:r w:rsidRPr="00BB557E">
        <w:t>). However, heavy use of these chemicals can contribute to soil pollution, the development of resistant strains, and potential harm to humans. Commercial biocontrol therapies have been available for decades to prevent </w:t>
      </w:r>
      <w:r w:rsidRPr="00BB557E">
        <w:rPr>
          <w:i/>
          <w:iCs/>
        </w:rPr>
        <w:t xml:space="preserve">R. </w:t>
      </w:r>
      <w:proofErr w:type="spellStart"/>
      <w:r w:rsidRPr="00BB557E">
        <w:rPr>
          <w:i/>
          <w:iCs/>
        </w:rPr>
        <w:t>radiobacter</w:t>
      </w:r>
      <w:proofErr w:type="spellEnd"/>
      <w:r w:rsidRPr="00BB557E">
        <w:t> in some plants. For instance, </w:t>
      </w:r>
      <w:r w:rsidRPr="00BB557E">
        <w:rPr>
          <w:i/>
          <w:iCs/>
        </w:rPr>
        <w:t xml:space="preserve">A. </w:t>
      </w:r>
      <w:proofErr w:type="spellStart"/>
      <w:r w:rsidRPr="00BB557E">
        <w:rPr>
          <w:i/>
          <w:iCs/>
        </w:rPr>
        <w:t>radiobacter</w:t>
      </w:r>
      <w:proofErr w:type="spellEnd"/>
      <w:r w:rsidRPr="00BB557E">
        <w:t xml:space="preserve"> strain K84 has been shown to produce </w:t>
      </w:r>
      <w:proofErr w:type="spellStart"/>
      <w:r w:rsidRPr="00BB557E">
        <w:t>bacteriocin</w:t>
      </w:r>
      <w:proofErr w:type="spellEnd"/>
      <w:r w:rsidRPr="00BB557E">
        <w:t xml:space="preserve"> called </w:t>
      </w:r>
      <w:proofErr w:type="spellStart"/>
      <w:r w:rsidRPr="00BB557E">
        <w:t>agrocin</w:t>
      </w:r>
      <w:proofErr w:type="spellEnd"/>
      <w:r w:rsidRPr="00BB557E">
        <w:t xml:space="preserve"> 84 and used to control </w:t>
      </w:r>
      <w:r w:rsidRPr="00BB557E">
        <w:rPr>
          <w:i/>
          <w:iCs/>
        </w:rPr>
        <w:t xml:space="preserve">A. </w:t>
      </w:r>
      <w:proofErr w:type="spellStart"/>
      <w:r w:rsidRPr="00BB557E">
        <w:rPr>
          <w:i/>
          <w:iCs/>
        </w:rPr>
        <w:t>tumefaciens</w:t>
      </w:r>
      <w:proofErr w:type="spellEnd"/>
      <w:r w:rsidRPr="00BB557E">
        <w:t> in cherry (</w:t>
      </w:r>
      <w:hyperlink r:id="rId7" w:anchor="ref45" w:history="1">
        <w:r w:rsidRPr="00BB557E">
          <w:rPr>
            <w:rStyle w:val="Hyperlink"/>
          </w:rPr>
          <w:t>Stockwell et al., 1993</w:t>
        </w:r>
      </w:hyperlink>
      <w:r w:rsidRPr="00BB557E">
        <w:t>; </w:t>
      </w:r>
      <w:proofErr w:type="spellStart"/>
      <w:r w:rsidRPr="00BB557E">
        <w:fldChar w:fldCharType="begin"/>
      </w:r>
      <w:r w:rsidRPr="00BB557E">
        <w:instrText xml:space="preserve"> HYPERLINK "https://www.frontiersin.org/journals/microbiology/articles/10.3389/fmicb.2024.1437536/full" \l "ref38" </w:instrText>
      </w:r>
      <w:r w:rsidRPr="00BB557E">
        <w:fldChar w:fldCharType="separate"/>
      </w:r>
      <w:r w:rsidRPr="00BB557E">
        <w:rPr>
          <w:rStyle w:val="Hyperlink"/>
        </w:rPr>
        <w:t>Penyalver</w:t>
      </w:r>
      <w:proofErr w:type="spellEnd"/>
      <w:r w:rsidRPr="00BB557E">
        <w:rPr>
          <w:rStyle w:val="Hyperlink"/>
        </w:rPr>
        <w:t xml:space="preserve"> et al., 2001</w:t>
      </w:r>
      <w:r w:rsidRPr="00BB557E">
        <w:fldChar w:fldCharType="end"/>
      </w:r>
      <w:r w:rsidRPr="00BB557E">
        <w:t>). While this inhibitory compound is very effective against </w:t>
      </w:r>
      <w:r w:rsidRPr="00BB557E">
        <w:rPr>
          <w:i/>
          <w:iCs/>
        </w:rPr>
        <w:t xml:space="preserve">R. </w:t>
      </w:r>
      <w:proofErr w:type="spellStart"/>
      <w:r w:rsidRPr="00BB557E">
        <w:rPr>
          <w:i/>
          <w:iCs/>
        </w:rPr>
        <w:t>radiobacter</w:t>
      </w:r>
      <w:proofErr w:type="spellEnd"/>
      <w:r w:rsidRPr="00BB557E">
        <w:t>, the application may adversely affect beneficial microbes that are closely related to other </w:t>
      </w:r>
      <w:r w:rsidRPr="00BB557E">
        <w:rPr>
          <w:i/>
          <w:iCs/>
        </w:rPr>
        <w:t>Rhizobium</w:t>
      </w:r>
      <w:r w:rsidRPr="00BB557E">
        <w:t> species. To date, there is no effective method for curing stem gall disease in highbush blueberry. The best strategy for controlling gall disease is proactive prevention before the onset of the disease.</w:t>
      </w:r>
    </w:p>
    <w:p w14:paraId="291EC80E" w14:textId="77777777" w:rsidR="00F22CC4" w:rsidRDefault="00F22CC4" w:rsidP="000B3121">
      <w:pPr>
        <w:rPr>
          <w:b/>
          <w:bCs/>
          <w:u w:val="single"/>
        </w:rPr>
      </w:pPr>
    </w:p>
    <w:p w14:paraId="37B000AD" w14:textId="01E429A8" w:rsidR="004146AF" w:rsidRDefault="004146AF" w:rsidP="000B3121">
      <w:r>
        <w:rPr>
          <w:b/>
          <w:bCs/>
          <w:u w:val="single"/>
        </w:rPr>
        <w:t>Sample 2</w:t>
      </w:r>
      <w:r w:rsidRPr="000B3121">
        <w:rPr>
          <w:u w:val="single"/>
        </w:rPr>
        <w:t xml:space="preserve"> </w:t>
      </w:r>
      <w:r>
        <w:rPr>
          <w:vertAlign w:val="superscript"/>
        </w:rPr>
        <w:t>2</w:t>
      </w:r>
      <w:r w:rsidRPr="000B3121">
        <w:t> </w:t>
      </w:r>
    </w:p>
    <w:p w14:paraId="6280A33B" w14:textId="7913AB87" w:rsidR="004146AF" w:rsidRDefault="004146AF" w:rsidP="000B3121">
      <w:r w:rsidRPr="004146AF">
        <w:t xml:space="preserve">Bacteriophages represent an intriguing avenue in the ongoing battle to control bacterial infections. These viruses, which specifically target bacteria, have long been recognized for their potential in combatting bacterial infections (Chang et al., 2022; </w:t>
      </w:r>
      <w:proofErr w:type="spellStart"/>
      <w:r w:rsidRPr="004146AF">
        <w:t>Sanmukh</w:t>
      </w:r>
      <w:proofErr w:type="spellEnd"/>
      <w:r w:rsidRPr="004146AF">
        <w:t xml:space="preserve"> et al., 2023). Since their discovery in the early 20th century, </w:t>
      </w:r>
      <w:proofErr w:type="spellStart"/>
      <w:r w:rsidRPr="004146AF">
        <w:t>phages</w:t>
      </w:r>
      <w:proofErr w:type="spellEnd"/>
      <w:r w:rsidRPr="004146AF">
        <w:t xml:space="preserve"> have garnered increasing attention for their unique ability to infect and lyse bacterial cells (Chen et al., 2023). This natural phenomenon has been the driving force behind </w:t>
      </w:r>
      <w:proofErr w:type="spellStart"/>
      <w:r w:rsidRPr="004146AF">
        <w:t>endeavors</w:t>
      </w:r>
      <w:proofErr w:type="spellEnd"/>
      <w:r w:rsidRPr="004146AF">
        <w:t xml:space="preserve"> to harness </w:t>
      </w:r>
      <w:proofErr w:type="spellStart"/>
      <w:r w:rsidRPr="004146AF">
        <w:t>phages</w:t>
      </w:r>
      <w:proofErr w:type="spellEnd"/>
      <w:r w:rsidRPr="004146AF">
        <w:t xml:space="preserve"> as potential therapeutic agents against bacterial pathogens (Sharma et al., 2017). The dynamic co-evolution between bacteria and </w:t>
      </w:r>
      <w:proofErr w:type="spellStart"/>
      <w:r w:rsidRPr="004146AF">
        <w:t>phages</w:t>
      </w:r>
      <w:proofErr w:type="spellEnd"/>
      <w:r w:rsidRPr="004146AF">
        <w:t xml:space="preserve"> has not only shaped the intricate resistance systems of bacteria but has also propelled the adaptation and diversification of </w:t>
      </w:r>
      <w:proofErr w:type="spellStart"/>
      <w:r w:rsidRPr="004146AF">
        <w:t>phages</w:t>
      </w:r>
      <w:proofErr w:type="spellEnd"/>
      <w:r w:rsidRPr="004146AF">
        <w:t xml:space="preserve"> (</w:t>
      </w:r>
      <w:proofErr w:type="spellStart"/>
      <w:r w:rsidRPr="004146AF">
        <w:t>Koonjan</w:t>
      </w:r>
      <w:proofErr w:type="spellEnd"/>
      <w:r w:rsidRPr="004146AF">
        <w:t xml:space="preserve"> et al., 2020; </w:t>
      </w:r>
      <w:proofErr w:type="spellStart"/>
      <w:r w:rsidRPr="004146AF">
        <w:t>Venturini</w:t>
      </w:r>
      <w:proofErr w:type="spellEnd"/>
      <w:r w:rsidRPr="004146AF">
        <w:t xml:space="preserve"> et al., 2022).</w:t>
      </w:r>
    </w:p>
    <w:p w14:paraId="02A863FD" w14:textId="7FCB25A2" w:rsidR="00736EEF" w:rsidRDefault="00736EEF" w:rsidP="000B3121"/>
    <w:p w14:paraId="2F6FBE59" w14:textId="6226C13A" w:rsidR="00736EEF" w:rsidRDefault="00736EEF" w:rsidP="000B3121">
      <w:r>
        <w:rPr>
          <w:b/>
          <w:bCs/>
          <w:u w:val="single"/>
        </w:rPr>
        <w:t>Sample 3</w:t>
      </w:r>
      <w:r w:rsidRPr="000B3121">
        <w:rPr>
          <w:u w:val="single"/>
        </w:rPr>
        <w:t xml:space="preserve"> </w:t>
      </w:r>
      <w:r>
        <w:rPr>
          <w:vertAlign w:val="superscript"/>
        </w:rPr>
        <w:t>3</w:t>
      </w:r>
      <w:r w:rsidRPr="000B3121">
        <w:t> </w:t>
      </w:r>
    </w:p>
    <w:p w14:paraId="466990FF" w14:textId="5DF8264D" w:rsidR="00736EEF" w:rsidRDefault="00736EEF" w:rsidP="000B3121">
      <w:proofErr w:type="spellStart"/>
      <w:r w:rsidRPr="00736EEF">
        <w:rPr>
          <w:i/>
        </w:rPr>
        <w:t>Klebsiella</w:t>
      </w:r>
      <w:proofErr w:type="spellEnd"/>
      <w:r w:rsidRPr="00736EEF">
        <w:rPr>
          <w:i/>
        </w:rPr>
        <w:t xml:space="preserve"> </w:t>
      </w:r>
      <w:proofErr w:type="spellStart"/>
      <w:r w:rsidRPr="00736EEF">
        <w:rPr>
          <w:i/>
        </w:rPr>
        <w:t>pneumoniae</w:t>
      </w:r>
      <w:proofErr w:type="spellEnd"/>
      <w:r w:rsidRPr="00736EEF">
        <w:t xml:space="preserve"> is a crucial nosocomial pathogen that causes severe diseases, including bloodstream infections (BSIs). The considerable ability of </w:t>
      </w:r>
      <w:proofErr w:type="spellStart"/>
      <w:r w:rsidRPr="00736EEF">
        <w:t>carbapenem</w:t>
      </w:r>
      <w:proofErr w:type="spellEnd"/>
      <w:r w:rsidRPr="00736EEF">
        <w:t xml:space="preserve">-resistant </w:t>
      </w:r>
      <w:r w:rsidRPr="00736EEF">
        <w:rPr>
          <w:i/>
        </w:rPr>
        <w:t xml:space="preserve">K. </w:t>
      </w:r>
      <w:proofErr w:type="spellStart"/>
      <w:r w:rsidRPr="00736EEF">
        <w:rPr>
          <w:i/>
        </w:rPr>
        <w:t>pneumoniae</w:t>
      </w:r>
      <w:proofErr w:type="spellEnd"/>
      <w:r w:rsidRPr="00736EEF">
        <w:t xml:space="preserve"> (CRKP) to acquire antibiotic resistance i</w:t>
      </w:r>
      <w:r>
        <w:t>s a major health concern [</w:t>
      </w:r>
      <w:r w:rsidRPr="00736EEF">
        <w:t xml:space="preserve">1]. The rapid spread and increased incidence are being observed globally, presenting an enormous challenge in healthcare settings [2, 3]. The dominant clone in China is ST11 CRKP, which produces </w:t>
      </w:r>
      <w:proofErr w:type="spellStart"/>
      <w:r w:rsidRPr="00736EEF">
        <w:t>carbapenem-hydrolyzing</w:t>
      </w:r>
      <w:proofErr w:type="spellEnd"/>
      <w:r w:rsidRPr="00736EEF">
        <w:t xml:space="preserve"> </w:t>
      </w:r>
      <w:r w:rsidRPr="00736EEF">
        <w:rPr>
          <w:i/>
        </w:rPr>
        <w:t xml:space="preserve">K. </w:t>
      </w:r>
      <w:proofErr w:type="spellStart"/>
      <w:r w:rsidRPr="00736EEF">
        <w:rPr>
          <w:i/>
        </w:rPr>
        <w:t>pneumoniae</w:t>
      </w:r>
      <w:proofErr w:type="spellEnd"/>
      <w:r w:rsidRPr="00736EEF">
        <w:t xml:space="preserve"> </w:t>
      </w:r>
      <w:proofErr w:type="spellStart"/>
      <w:r w:rsidRPr="00736EEF">
        <w:t>carbapenemase</w:t>
      </w:r>
      <w:proofErr w:type="spellEnd"/>
      <w:r w:rsidRPr="00736EEF">
        <w:t xml:space="preserve"> (KPC-2) [4]. Traditionally, CRKP is not considered </w:t>
      </w:r>
      <w:proofErr w:type="spellStart"/>
      <w:r w:rsidRPr="00736EEF">
        <w:t>hypervirulent</w:t>
      </w:r>
      <w:proofErr w:type="spellEnd"/>
      <w:r w:rsidRPr="00736EEF">
        <w:t xml:space="preserve">; nevertheless, in 2016, a fatal outbreak of severe pneumonia caused by ST11 </w:t>
      </w:r>
      <w:proofErr w:type="spellStart"/>
      <w:r w:rsidRPr="00736EEF">
        <w:t>hypervirulent</w:t>
      </w:r>
      <w:proofErr w:type="spellEnd"/>
      <w:r w:rsidRPr="00736EEF">
        <w:t xml:space="preserve"> </w:t>
      </w:r>
      <w:proofErr w:type="spellStart"/>
      <w:r w:rsidRPr="00736EEF">
        <w:t>carbapenem</w:t>
      </w:r>
      <w:proofErr w:type="spellEnd"/>
      <w:r w:rsidRPr="00736EEF">
        <w:t xml:space="preserve">-resistant </w:t>
      </w:r>
      <w:r w:rsidRPr="00736EEF">
        <w:rPr>
          <w:i/>
        </w:rPr>
        <w:t xml:space="preserve">K. </w:t>
      </w:r>
      <w:proofErr w:type="spellStart"/>
      <w:r w:rsidRPr="00736EEF">
        <w:rPr>
          <w:i/>
        </w:rPr>
        <w:t>pneumoniae</w:t>
      </w:r>
      <w:proofErr w:type="spellEnd"/>
      <w:r w:rsidRPr="00736EEF">
        <w:rPr>
          <w:i/>
        </w:rPr>
        <w:t xml:space="preserve"> </w:t>
      </w:r>
      <w:r w:rsidRPr="00736EEF">
        <w:t>(</w:t>
      </w:r>
      <w:proofErr w:type="spellStart"/>
      <w:r w:rsidRPr="00736EEF">
        <w:t>hvCRKP</w:t>
      </w:r>
      <w:proofErr w:type="spellEnd"/>
      <w:r w:rsidRPr="00736EEF">
        <w:t xml:space="preserve">) strains occurred in China [5]. The ST11 </w:t>
      </w:r>
      <w:proofErr w:type="spellStart"/>
      <w:r w:rsidRPr="00736EEF">
        <w:t>hvCRKP</w:t>
      </w:r>
      <w:proofErr w:type="spellEnd"/>
      <w:r w:rsidRPr="00736EEF">
        <w:t xml:space="preserve"> clone belonged to serotype K47 and </w:t>
      </w:r>
      <w:proofErr w:type="spellStart"/>
      <w:r w:rsidRPr="00736EEF">
        <w:t>harbored</w:t>
      </w:r>
      <w:proofErr w:type="spellEnd"/>
      <w:r w:rsidRPr="00736EEF">
        <w:t xml:space="preserve"> a </w:t>
      </w:r>
      <w:proofErr w:type="spellStart"/>
      <w:r w:rsidRPr="00736EEF">
        <w:t>pLVPK</w:t>
      </w:r>
      <w:proofErr w:type="spellEnd"/>
      <w:r w:rsidRPr="00736EEF">
        <w:t xml:space="preserve">-like virulence plasmid carrying the </w:t>
      </w:r>
      <w:r w:rsidRPr="00736EEF">
        <w:rPr>
          <w:i/>
        </w:rPr>
        <w:t xml:space="preserve">rmpA2, </w:t>
      </w:r>
      <w:proofErr w:type="spellStart"/>
      <w:r w:rsidRPr="00736EEF">
        <w:rPr>
          <w:i/>
        </w:rPr>
        <w:t>iucABCD</w:t>
      </w:r>
      <w:proofErr w:type="spellEnd"/>
      <w:r w:rsidRPr="00736EEF">
        <w:t xml:space="preserve">, and </w:t>
      </w:r>
      <w:proofErr w:type="spellStart"/>
      <w:r w:rsidRPr="00736EEF">
        <w:rPr>
          <w:i/>
        </w:rPr>
        <w:t>iutA</w:t>
      </w:r>
      <w:proofErr w:type="spellEnd"/>
      <w:r w:rsidRPr="00736EEF">
        <w:t xml:space="preserve"> virulence genes. Since then, emergence of ST11 </w:t>
      </w:r>
      <w:proofErr w:type="spellStart"/>
      <w:r w:rsidRPr="00736EEF">
        <w:t>hvCRKP</w:t>
      </w:r>
      <w:proofErr w:type="spellEnd"/>
      <w:r w:rsidRPr="00736EEF">
        <w:t xml:space="preserve"> infections has become a recent public health crisis [6–8].</w:t>
      </w:r>
    </w:p>
    <w:p w14:paraId="5AF88A04" w14:textId="7F759FB9" w:rsidR="008D4BA9" w:rsidRDefault="008D4BA9" w:rsidP="000B3121">
      <w:r>
        <w:rPr>
          <w:b/>
          <w:bCs/>
          <w:u w:val="single"/>
        </w:rPr>
        <w:lastRenderedPageBreak/>
        <w:t>Sample 4</w:t>
      </w:r>
      <w:r w:rsidRPr="000B3121">
        <w:rPr>
          <w:u w:val="single"/>
        </w:rPr>
        <w:t xml:space="preserve"> </w:t>
      </w:r>
      <w:r>
        <w:rPr>
          <w:vertAlign w:val="superscript"/>
        </w:rPr>
        <w:t>4</w:t>
      </w:r>
      <w:r w:rsidRPr="000B3121">
        <w:t> </w:t>
      </w:r>
    </w:p>
    <w:p w14:paraId="63E24F36" w14:textId="5A59576C" w:rsidR="008D4BA9" w:rsidRDefault="008D4BA9" w:rsidP="000B3121">
      <w:proofErr w:type="spellStart"/>
      <w:r w:rsidRPr="008D4BA9">
        <w:rPr>
          <w:i/>
          <w:iCs/>
        </w:rPr>
        <w:t>Borrelia</w:t>
      </w:r>
      <w:proofErr w:type="spellEnd"/>
      <w:r w:rsidRPr="008D4BA9">
        <w:t xml:space="preserve"> spirochetes are a group of bacteria that includes pathogens causing the zoonotic diseases Lyme </w:t>
      </w:r>
      <w:proofErr w:type="spellStart"/>
      <w:r w:rsidRPr="008D4BA9">
        <w:t>borreliosis</w:t>
      </w:r>
      <w:proofErr w:type="spellEnd"/>
      <w:r w:rsidRPr="008D4BA9">
        <w:t xml:space="preserve"> (</w:t>
      </w:r>
      <w:hyperlink r:id="rId8" w:anchor="B1" w:history="1">
        <w:r w:rsidRPr="008D4BA9">
          <w:rPr>
            <w:rStyle w:val="Hyperlink"/>
          </w:rPr>
          <w:t>1</w:t>
        </w:r>
      </w:hyperlink>
      <w:r w:rsidRPr="008D4BA9">
        <w:t>) and relapsing fever (</w:t>
      </w:r>
      <w:hyperlink r:id="rId9" w:anchor="B2" w:history="1">
        <w:r w:rsidRPr="008D4BA9">
          <w:rPr>
            <w:rStyle w:val="Hyperlink"/>
          </w:rPr>
          <w:t>2</w:t>
        </w:r>
      </w:hyperlink>
      <w:r w:rsidRPr="008D4BA9">
        <w:t>). </w:t>
      </w:r>
      <w:proofErr w:type="spellStart"/>
      <w:r w:rsidRPr="008D4BA9">
        <w:rPr>
          <w:i/>
          <w:iCs/>
        </w:rPr>
        <w:t>Borrelia</w:t>
      </w:r>
      <w:proofErr w:type="spellEnd"/>
      <w:r w:rsidRPr="008D4BA9">
        <w:t> species feature the most highly segmented genome observed in bacteria to-date, comprised of a linear chromosome and multiple linear and circular extrachromosomal plasmids (</w:t>
      </w:r>
      <w:hyperlink r:id="rId10" w:anchor="B3" w:history="1">
        <w:r w:rsidRPr="008D4BA9">
          <w:rPr>
            <w:rStyle w:val="Hyperlink"/>
          </w:rPr>
          <w:t>3–6</w:t>
        </w:r>
      </w:hyperlink>
      <w:r w:rsidRPr="008D4BA9">
        <w:t>). The linear replicons are capped with covalently closed hairpin telomeres, presenting </w:t>
      </w:r>
      <w:proofErr w:type="spellStart"/>
      <w:r w:rsidRPr="008D4BA9">
        <w:rPr>
          <w:i/>
          <w:iCs/>
        </w:rPr>
        <w:t>Borrelia</w:t>
      </w:r>
      <w:proofErr w:type="spellEnd"/>
      <w:r w:rsidRPr="008D4BA9">
        <w:t> with the end replication problem associated with linear DNAs (</w:t>
      </w:r>
      <w:hyperlink r:id="rId11" w:anchor="B7" w:history="1">
        <w:r w:rsidRPr="008D4BA9">
          <w:rPr>
            <w:rStyle w:val="Hyperlink"/>
          </w:rPr>
          <w:t>7–9</w:t>
        </w:r>
      </w:hyperlink>
      <w:r w:rsidRPr="008D4BA9">
        <w:t>). </w:t>
      </w:r>
      <w:proofErr w:type="spellStart"/>
      <w:r w:rsidRPr="008D4BA9">
        <w:rPr>
          <w:i/>
          <w:iCs/>
        </w:rPr>
        <w:t>Borrelia</w:t>
      </w:r>
      <w:proofErr w:type="spellEnd"/>
      <w:r w:rsidRPr="008D4BA9">
        <w:t> species solve the end replication problem by initiating replication of the linear replicons at a bidirectional origin (</w:t>
      </w:r>
      <w:hyperlink r:id="rId12" w:anchor="B10" w:history="1">
        <w:r w:rsidRPr="008D4BA9">
          <w:rPr>
            <w:rStyle w:val="Hyperlink"/>
          </w:rPr>
          <w:t>10</w:t>
        </w:r>
      </w:hyperlink>
      <w:r w:rsidRPr="008D4BA9">
        <w:t>,</w:t>
      </w:r>
      <w:hyperlink r:id="rId13" w:anchor="B11" w:history="1">
        <w:r w:rsidRPr="008D4BA9">
          <w:rPr>
            <w:rStyle w:val="Hyperlink"/>
          </w:rPr>
          <w:t>11</w:t>
        </w:r>
      </w:hyperlink>
      <w:r w:rsidRPr="008D4BA9">
        <w:t>), resulting in a circular dimer of inverted repeats as a DNA replication intermediate (Figure </w:t>
      </w:r>
      <w:hyperlink r:id="rId14" w:tgtFrame="figure" w:history="1">
        <w:r w:rsidRPr="008D4BA9">
          <w:rPr>
            <w:rStyle w:val="Hyperlink"/>
          </w:rPr>
          <w:t>​(Figure1).1</w:t>
        </w:r>
      </w:hyperlink>
      <w:r w:rsidRPr="008D4BA9">
        <w:t>). The replicated telomeres are recognized by a specialized enzyme, known as telomere resolvase (</w:t>
      </w:r>
      <w:proofErr w:type="spellStart"/>
      <w:r w:rsidRPr="008D4BA9">
        <w:t>ResT</w:t>
      </w:r>
      <w:proofErr w:type="spellEnd"/>
      <w:r w:rsidRPr="008D4BA9">
        <w:t xml:space="preserve">), which </w:t>
      </w:r>
      <w:proofErr w:type="spellStart"/>
      <w:r w:rsidRPr="008D4BA9">
        <w:t>catalyzes</w:t>
      </w:r>
      <w:proofErr w:type="spellEnd"/>
      <w:r w:rsidRPr="008D4BA9">
        <w:t xml:space="preserve"> a DNA cleavage and </w:t>
      </w:r>
      <w:proofErr w:type="spellStart"/>
      <w:r w:rsidRPr="008D4BA9">
        <w:t>rejoining</w:t>
      </w:r>
      <w:proofErr w:type="spellEnd"/>
      <w:r w:rsidRPr="008D4BA9">
        <w:t xml:space="preserve"> event to resolve the circular dimers and generate hairpin telomere ends on the resulting linear DNA molecules (</w:t>
      </w:r>
      <w:hyperlink r:id="rId15" w:anchor="B9" w:history="1">
        <w:r w:rsidRPr="008D4BA9">
          <w:rPr>
            <w:rStyle w:val="Hyperlink"/>
          </w:rPr>
          <w:t>9</w:t>
        </w:r>
      </w:hyperlink>
      <w:r w:rsidRPr="008D4BA9">
        <w:t>,</w:t>
      </w:r>
      <w:hyperlink r:id="rId16" w:anchor="B12" w:history="1">
        <w:r w:rsidRPr="008D4BA9">
          <w:rPr>
            <w:rStyle w:val="Hyperlink"/>
          </w:rPr>
          <w:t>12</w:t>
        </w:r>
      </w:hyperlink>
      <w:r w:rsidRPr="008D4BA9">
        <w:t>,</w:t>
      </w:r>
      <w:hyperlink r:id="rId17" w:anchor="B13" w:history="1">
        <w:r w:rsidRPr="008D4BA9">
          <w:rPr>
            <w:rStyle w:val="Hyperlink"/>
          </w:rPr>
          <w:t>13</w:t>
        </w:r>
      </w:hyperlink>
      <w:r w:rsidRPr="008D4BA9">
        <w:t xml:space="preserve">). Telomere resolvases have also been referred to as </w:t>
      </w:r>
      <w:proofErr w:type="spellStart"/>
      <w:r w:rsidRPr="008D4BA9">
        <w:t>protelomerases</w:t>
      </w:r>
      <w:proofErr w:type="spellEnd"/>
      <w:r w:rsidRPr="008D4BA9">
        <w:t xml:space="preserve"> (</w:t>
      </w:r>
      <w:hyperlink r:id="rId18" w:anchor="B14" w:history="1">
        <w:r w:rsidRPr="008D4BA9">
          <w:rPr>
            <w:rStyle w:val="Hyperlink"/>
          </w:rPr>
          <w:t>14</w:t>
        </w:r>
      </w:hyperlink>
      <w:r w:rsidRPr="008D4BA9">
        <w:t>); however several issues exist with the latter nomenclature (</w:t>
      </w:r>
      <w:hyperlink r:id="rId19" w:anchor="B15" w:history="1">
        <w:r w:rsidRPr="008D4BA9">
          <w:rPr>
            <w:rStyle w:val="Hyperlink"/>
          </w:rPr>
          <w:t>15</w:t>
        </w:r>
      </w:hyperlink>
      <w:r w:rsidRPr="008D4BA9">
        <w:t>), including the confusion arising from the very different type of activity displayed by eukaryotic telomerases and the fact that a proenzyme is an inactive enzyme precursor.</w:t>
      </w:r>
    </w:p>
    <w:p w14:paraId="307BBD7A" w14:textId="77777777" w:rsidR="00F22CC4" w:rsidRPr="000B3121" w:rsidRDefault="00F22CC4" w:rsidP="000B3121"/>
    <w:p w14:paraId="310406D5" w14:textId="77777777" w:rsidR="00156FFD" w:rsidRDefault="00156FFD" w:rsidP="00156FFD">
      <w:pPr>
        <w:pStyle w:val="Heading3"/>
      </w:pPr>
      <w:r>
        <w:t>References</w:t>
      </w:r>
    </w:p>
    <w:p w14:paraId="79BF0A88" w14:textId="58A4FC5A" w:rsidR="00156FFD" w:rsidRDefault="00BB557E" w:rsidP="00BB557E">
      <w:pPr>
        <w:pStyle w:val="paragraph"/>
        <w:numPr>
          <w:ilvl w:val="0"/>
          <w:numId w:val="3"/>
        </w:numPr>
        <w:spacing w:before="0" w:beforeAutospacing="0"/>
        <w:textAlignment w:val="baseline"/>
        <w:rPr>
          <w:rFonts w:ascii="Arial" w:eastAsiaTheme="majorEastAsia" w:hAnsi="Arial" w:cs="Arial"/>
          <w:sz w:val="20"/>
          <w:szCs w:val="20"/>
        </w:rPr>
      </w:pPr>
      <w:proofErr w:type="spellStart"/>
      <w:r w:rsidRPr="00BB557E">
        <w:rPr>
          <w:rFonts w:ascii="Arial" w:eastAsiaTheme="majorEastAsia" w:hAnsi="Arial" w:cs="Arial"/>
          <w:sz w:val="20"/>
          <w:szCs w:val="20"/>
        </w:rPr>
        <w:t>Chantapakul</w:t>
      </w:r>
      <w:proofErr w:type="spellEnd"/>
      <w:r w:rsidRPr="00BB557E">
        <w:rPr>
          <w:rFonts w:ascii="Arial" w:eastAsiaTheme="majorEastAsia" w:hAnsi="Arial" w:cs="Arial"/>
          <w:sz w:val="20"/>
          <w:szCs w:val="20"/>
        </w:rPr>
        <w:t xml:space="preserve">, B., </w:t>
      </w:r>
      <w:proofErr w:type="spellStart"/>
      <w:r w:rsidRPr="00BB557E">
        <w:rPr>
          <w:rFonts w:ascii="Arial" w:eastAsiaTheme="majorEastAsia" w:hAnsi="Arial" w:cs="Arial"/>
          <w:sz w:val="20"/>
          <w:szCs w:val="20"/>
        </w:rPr>
        <w:t>Sabaratnam</w:t>
      </w:r>
      <w:proofErr w:type="spellEnd"/>
      <w:r w:rsidRPr="00BB557E">
        <w:rPr>
          <w:rFonts w:ascii="Arial" w:eastAsiaTheme="majorEastAsia" w:hAnsi="Arial" w:cs="Arial"/>
          <w:sz w:val="20"/>
          <w:szCs w:val="20"/>
        </w:rPr>
        <w:t xml:space="preserve">, S., &amp; Wang, S. (2024). Isolation and characterization of bacteriophages for controlling Rhizobium </w:t>
      </w:r>
      <w:proofErr w:type="spellStart"/>
      <w:r w:rsidRPr="00BB557E">
        <w:rPr>
          <w:rFonts w:ascii="Arial" w:eastAsiaTheme="majorEastAsia" w:hAnsi="Arial" w:cs="Arial"/>
          <w:sz w:val="20"/>
          <w:szCs w:val="20"/>
        </w:rPr>
        <w:t>radiobacter</w:t>
      </w:r>
      <w:proofErr w:type="spellEnd"/>
      <w:r w:rsidRPr="00BB557E">
        <w:rPr>
          <w:rFonts w:ascii="Arial" w:eastAsiaTheme="majorEastAsia" w:hAnsi="Arial" w:cs="Arial"/>
          <w:sz w:val="20"/>
          <w:szCs w:val="20"/>
        </w:rPr>
        <w:t xml:space="preserve"> – causing stem and crown gall of highbush blueberry. </w:t>
      </w:r>
      <w:r w:rsidRPr="00BB557E">
        <w:rPr>
          <w:rFonts w:ascii="Arial" w:eastAsiaTheme="majorEastAsia" w:hAnsi="Arial" w:cs="Arial"/>
          <w:i/>
          <w:iCs/>
          <w:sz w:val="20"/>
          <w:szCs w:val="20"/>
        </w:rPr>
        <w:t>Frontiers in Microbiology</w:t>
      </w:r>
      <w:r w:rsidRPr="00BB557E">
        <w:rPr>
          <w:rFonts w:ascii="Arial" w:eastAsiaTheme="majorEastAsia" w:hAnsi="Arial" w:cs="Arial"/>
          <w:sz w:val="20"/>
          <w:szCs w:val="20"/>
        </w:rPr>
        <w:t>, </w:t>
      </w:r>
      <w:r w:rsidRPr="00BB557E">
        <w:rPr>
          <w:rFonts w:ascii="Arial" w:eastAsiaTheme="majorEastAsia" w:hAnsi="Arial" w:cs="Arial"/>
          <w:i/>
          <w:iCs/>
          <w:sz w:val="20"/>
          <w:szCs w:val="20"/>
        </w:rPr>
        <w:t>15</w:t>
      </w:r>
      <w:r w:rsidRPr="00BB557E">
        <w:rPr>
          <w:rFonts w:ascii="Arial" w:eastAsiaTheme="majorEastAsia" w:hAnsi="Arial" w:cs="Arial"/>
          <w:sz w:val="20"/>
          <w:szCs w:val="20"/>
        </w:rPr>
        <w:t>. </w:t>
      </w:r>
      <w:r w:rsidR="004146AF" w:rsidRPr="00736EEF">
        <w:rPr>
          <w:rFonts w:ascii="Arial" w:eastAsiaTheme="majorEastAsia" w:hAnsi="Arial" w:cs="Arial"/>
          <w:sz w:val="20"/>
          <w:szCs w:val="20"/>
        </w:rPr>
        <w:t>https://doi.org/10.3389/fmicb.2024.1437536</w:t>
      </w:r>
    </w:p>
    <w:p w14:paraId="7B3FE627" w14:textId="48658F6F" w:rsidR="004146AF" w:rsidRDefault="004146AF" w:rsidP="00BB557E">
      <w:pPr>
        <w:pStyle w:val="paragraph"/>
        <w:numPr>
          <w:ilvl w:val="0"/>
          <w:numId w:val="3"/>
        </w:numPr>
        <w:spacing w:before="0" w:beforeAutospacing="0"/>
        <w:textAlignment w:val="baseline"/>
        <w:rPr>
          <w:rFonts w:ascii="Arial" w:eastAsiaTheme="majorEastAsia" w:hAnsi="Arial" w:cs="Arial"/>
          <w:sz w:val="20"/>
          <w:szCs w:val="20"/>
        </w:rPr>
      </w:pPr>
      <w:r w:rsidRPr="004146AF">
        <w:rPr>
          <w:rFonts w:ascii="Arial" w:eastAsiaTheme="majorEastAsia" w:hAnsi="Arial" w:cs="Arial"/>
          <w:sz w:val="20"/>
          <w:szCs w:val="20"/>
        </w:rPr>
        <w:t>Zhang, H., You, J., Pan, X., Hu, Y., Zhang, Z., Zhang, X., Zhang, W., &amp; Rao, Z. (2024). Genomic and biological insights of bacteriophages JNUWH1 and JNUWD in the arms race against bacterial resistance. </w:t>
      </w:r>
      <w:r w:rsidRPr="004146AF">
        <w:rPr>
          <w:rFonts w:ascii="Arial" w:eastAsiaTheme="majorEastAsia" w:hAnsi="Arial" w:cs="Arial"/>
          <w:i/>
          <w:iCs/>
          <w:sz w:val="20"/>
          <w:szCs w:val="20"/>
        </w:rPr>
        <w:t>Frontiers in Microbiology</w:t>
      </w:r>
      <w:r w:rsidRPr="004146AF">
        <w:rPr>
          <w:rFonts w:ascii="Arial" w:eastAsiaTheme="majorEastAsia" w:hAnsi="Arial" w:cs="Arial"/>
          <w:sz w:val="20"/>
          <w:szCs w:val="20"/>
        </w:rPr>
        <w:t>, </w:t>
      </w:r>
      <w:r w:rsidRPr="004146AF">
        <w:rPr>
          <w:rFonts w:ascii="Arial" w:eastAsiaTheme="majorEastAsia" w:hAnsi="Arial" w:cs="Arial"/>
          <w:i/>
          <w:iCs/>
          <w:sz w:val="20"/>
          <w:szCs w:val="20"/>
        </w:rPr>
        <w:t>15</w:t>
      </w:r>
      <w:r w:rsidRPr="004146AF">
        <w:rPr>
          <w:rFonts w:ascii="Arial" w:eastAsiaTheme="majorEastAsia" w:hAnsi="Arial" w:cs="Arial"/>
          <w:sz w:val="20"/>
          <w:szCs w:val="20"/>
        </w:rPr>
        <w:t>. </w:t>
      </w:r>
      <w:r w:rsidR="00736EEF" w:rsidRPr="00736EEF">
        <w:rPr>
          <w:rFonts w:ascii="Arial" w:eastAsiaTheme="majorEastAsia" w:hAnsi="Arial" w:cs="Arial"/>
          <w:sz w:val="20"/>
          <w:szCs w:val="20"/>
        </w:rPr>
        <w:t>https://doi.org/10.3389/fmicb.2024.1407039</w:t>
      </w:r>
    </w:p>
    <w:p w14:paraId="2661C4FD" w14:textId="46F9DEB9" w:rsidR="00736EEF" w:rsidRDefault="00736EEF" w:rsidP="00736EEF">
      <w:pPr>
        <w:pStyle w:val="paragraph"/>
        <w:numPr>
          <w:ilvl w:val="0"/>
          <w:numId w:val="3"/>
        </w:numPr>
        <w:spacing w:before="0" w:beforeAutospacing="0"/>
        <w:textAlignment w:val="baseline"/>
        <w:rPr>
          <w:rFonts w:ascii="Arial" w:eastAsiaTheme="majorEastAsia" w:hAnsi="Arial" w:cs="Arial"/>
          <w:sz w:val="20"/>
          <w:szCs w:val="20"/>
        </w:rPr>
      </w:pPr>
      <w:r w:rsidRPr="00736EEF">
        <w:rPr>
          <w:rFonts w:ascii="Arial" w:eastAsiaTheme="majorEastAsia" w:hAnsi="Arial" w:cs="Arial"/>
          <w:sz w:val="20"/>
          <w:szCs w:val="20"/>
        </w:rPr>
        <w:t xml:space="preserve">Chen, T., Wang, Y., Chi, X., </w:t>
      </w:r>
      <w:proofErr w:type="spellStart"/>
      <w:r w:rsidRPr="00736EEF">
        <w:rPr>
          <w:rFonts w:ascii="Arial" w:eastAsiaTheme="majorEastAsia" w:hAnsi="Arial" w:cs="Arial"/>
          <w:sz w:val="20"/>
          <w:szCs w:val="20"/>
        </w:rPr>
        <w:t>Xiong</w:t>
      </w:r>
      <w:proofErr w:type="spellEnd"/>
      <w:r w:rsidRPr="00736EEF">
        <w:rPr>
          <w:rFonts w:ascii="Arial" w:eastAsiaTheme="majorEastAsia" w:hAnsi="Arial" w:cs="Arial"/>
          <w:sz w:val="20"/>
          <w:szCs w:val="20"/>
        </w:rPr>
        <w:t xml:space="preserve">, L., Lu, P., Wang, X., Chen, Y., Luo, Q., Shen, P., &amp; Xiao, Y. (2024). Genetic, virulence, and antimicrobial resistance characteristics associated with distinct </w:t>
      </w:r>
      <w:proofErr w:type="spellStart"/>
      <w:r w:rsidRPr="00736EEF">
        <w:rPr>
          <w:rFonts w:ascii="Arial" w:eastAsiaTheme="majorEastAsia" w:hAnsi="Arial" w:cs="Arial"/>
          <w:sz w:val="20"/>
          <w:szCs w:val="20"/>
        </w:rPr>
        <w:t>morphotypes</w:t>
      </w:r>
      <w:proofErr w:type="spellEnd"/>
      <w:r w:rsidRPr="00736EEF">
        <w:rPr>
          <w:rFonts w:ascii="Arial" w:eastAsiaTheme="majorEastAsia" w:hAnsi="Arial" w:cs="Arial"/>
          <w:sz w:val="20"/>
          <w:szCs w:val="20"/>
        </w:rPr>
        <w:t xml:space="preserve"> in ST11 </w:t>
      </w:r>
      <w:proofErr w:type="spellStart"/>
      <w:r w:rsidRPr="00736EEF">
        <w:rPr>
          <w:rFonts w:ascii="Arial" w:eastAsiaTheme="majorEastAsia" w:hAnsi="Arial" w:cs="Arial"/>
          <w:sz w:val="20"/>
          <w:szCs w:val="20"/>
        </w:rPr>
        <w:t>carbapenem</w:t>
      </w:r>
      <w:proofErr w:type="spellEnd"/>
      <w:r w:rsidRPr="00736EEF">
        <w:rPr>
          <w:rFonts w:ascii="Arial" w:eastAsiaTheme="majorEastAsia" w:hAnsi="Arial" w:cs="Arial"/>
          <w:sz w:val="20"/>
          <w:szCs w:val="20"/>
        </w:rPr>
        <w:t xml:space="preserve">-resistant </w:t>
      </w:r>
      <w:proofErr w:type="spellStart"/>
      <w:r w:rsidRPr="00736EEF">
        <w:rPr>
          <w:rFonts w:ascii="Arial" w:eastAsiaTheme="majorEastAsia" w:hAnsi="Arial" w:cs="Arial"/>
          <w:sz w:val="20"/>
          <w:szCs w:val="20"/>
        </w:rPr>
        <w:t>Klebsiella</w:t>
      </w:r>
      <w:proofErr w:type="spellEnd"/>
      <w:r w:rsidRPr="00736EEF">
        <w:rPr>
          <w:rFonts w:ascii="Arial" w:eastAsiaTheme="majorEastAsia" w:hAnsi="Arial" w:cs="Arial"/>
          <w:sz w:val="20"/>
          <w:szCs w:val="20"/>
        </w:rPr>
        <w:t xml:space="preserve"> </w:t>
      </w:r>
      <w:proofErr w:type="spellStart"/>
      <w:r w:rsidRPr="00736EEF">
        <w:rPr>
          <w:rFonts w:ascii="Arial" w:eastAsiaTheme="majorEastAsia" w:hAnsi="Arial" w:cs="Arial"/>
          <w:sz w:val="20"/>
          <w:szCs w:val="20"/>
        </w:rPr>
        <w:t>pneumoniae</w:t>
      </w:r>
      <w:proofErr w:type="spellEnd"/>
      <w:r w:rsidRPr="00736EEF">
        <w:rPr>
          <w:rFonts w:ascii="Arial" w:eastAsiaTheme="majorEastAsia" w:hAnsi="Arial" w:cs="Arial"/>
          <w:sz w:val="20"/>
          <w:szCs w:val="20"/>
        </w:rPr>
        <w:t xml:space="preserve">. Virulence, 15(1). </w:t>
      </w:r>
      <w:hyperlink r:id="rId20" w:history="1">
        <w:r w:rsidR="008D4BA9" w:rsidRPr="008B4CC2">
          <w:rPr>
            <w:rStyle w:val="Hyperlink"/>
            <w:rFonts w:ascii="Arial" w:eastAsiaTheme="majorEastAsia" w:hAnsi="Arial" w:cs="Arial"/>
            <w:sz w:val="20"/>
            <w:szCs w:val="20"/>
          </w:rPr>
          <w:t>https://doi.org/10.1080/21505594.2024.2349768</w:t>
        </w:r>
      </w:hyperlink>
    </w:p>
    <w:p w14:paraId="3CDFFBD6" w14:textId="5B546FE0" w:rsidR="008D4BA9" w:rsidRPr="004F6BD3" w:rsidRDefault="008D4BA9" w:rsidP="00736EEF">
      <w:pPr>
        <w:pStyle w:val="paragraph"/>
        <w:numPr>
          <w:ilvl w:val="0"/>
          <w:numId w:val="3"/>
        </w:numPr>
        <w:spacing w:before="0" w:beforeAutospacing="0"/>
        <w:textAlignment w:val="baseline"/>
        <w:rPr>
          <w:rFonts w:ascii="Arial" w:eastAsiaTheme="majorEastAsia" w:hAnsi="Arial" w:cs="Arial"/>
          <w:sz w:val="20"/>
          <w:szCs w:val="20"/>
        </w:rPr>
      </w:pPr>
      <w:r w:rsidRPr="008D4BA9">
        <w:rPr>
          <w:rFonts w:ascii="Arial" w:eastAsiaTheme="majorEastAsia" w:hAnsi="Arial" w:cs="Arial"/>
          <w:sz w:val="20"/>
          <w:szCs w:val="20"/>
        </w:rPr>
        <w:t xml:space="preserve">Semper, C., Watanabe, N., </w:t>
      </w:r>
      <w:proofErr w:type="spellStart"/>
      <w:r w:rsidRPr="008D4BA9">
        <w:rPr>
          <w:rFonts w:ascii="Arial" w:eastAsiaTheme="majorEastAsia" w:hAnsi="Arial" w:cs="Arial"/>
          <w:sz w:val="20"/>
          <w:szCs w:val="20"/>
        </w:rPr>
        <w:t>Karimullina</w:t>
      </w:r>
      <w:proofErr w:type="spellEnd"/>
      <w:r w:rsidRPr="008D4BA9">
        <w:rPr>
          <w:rFonts w:ascii="Arial" w:eastAsiaTheme="majorEastAsia" w:hAnsi="Arial" w:cs="Arial"/>
          <w:sz w:val="20"/>
          <w:szCs w:val="20"/>
        </w:rPr>
        <w:t xml:space="preserve">, E., Patel, D. T., Di Leo, R., Castellanos, M., Patel, D. H., </w:t>
      </w:r>
      <w:proofErr w:type="spellStart"/>
      <w:r w:rsidRPr="008D4BA9">
        <w:rPr>
          <w:rFonts w:ascii="Arial" w:eastAsiaTheme="majorEastAsia" w:hAnsi="Arial" w:cs="Arial"/>
          <w:sz w:val="20"/>
          <w:szCs w:val="20"/>
        </w:rPr>
        <w:t>Chaconas</w:t>
      </w:r>
      <w:proofErr w:type="spellEnd"/>
      <w:r w:rsidRPr="008D4BA9">
        <w:rPr>
          <w:rFonts w:ascii="Arial" w:eastAsiaTheme="majorEastAsia" w:hAnsi="Arial" w:cs="Arial"/>
          <w:sz w:val="20"/>
          <w:szCs w:val="20"/>
        </w:rPr>
        <w:t xml:space="preserve">, G., &amp; </w:t>
      </w:r>
      <w:proofErr w:type="spellStart"/>
      <w:r w:rsidRPr="008D4BA9">
        <w:rPr>
          <w:rFonts w:ascii="Arial" w:eastAsiaTheme="majorEastAsia" w:hAnsi="Arial" w:cs="Arial"/>
          <w:sz w:val="20"/>
          <w:szCs w:val="20"/>
        </w:rPr>
        <w:t>Savchenko</w:t>
      </w:r>
      <w:proofErr w:type="spellEnd"/>
      <w:r w:rsidRPr="008D4BA9">
        <w:rPr>
          <w:rFonts w:ascii="Arial" w:eastAsiaTheme="majorEastAsia" w:hAnsi="Arial" w:cs="Arial"/>
          <w:sz w:val="20"/>
          <w:szCs w:val="20"/>
        </w:rPr>
        <w:t xml:space="preserve">, A. (2024). Structure analysis of the telomere resolvase from the Lyme disease spirochete </w:t>
      </w:r>
      <w:proofErr w:type="spellStart"/>
      <w:r w:rsidRPr="008D4BA9">
        <w:rPr>
          <w:rFonts w:ascii="Arial" w:eastAsiaTheme="majorEastAsia" w:hAnsi="Arial" w:cs="Arial"/>
          <w:sz w:val="20"/>
          <w:szCs w:val="20"/>
        </w:rPr>
        <w:t>Borrelia</w:t>
      </w:r>
      <w:proofErr w:type="spellEnd"/>
      <w:r w:rsidRPr="008D4BA9">
        <w:rPr>
          <w:rFonts w:ascii="Arial" w:eastAsiaTheme="majorEastAsia" w:hAnsi="Arial" w:cs="Arial"/>
          <w:sz w:val="20"/>
          <w:szCs w:val="20"/>
        </w:rPr>
        <w:t xml:space="preserve"> </w:t>
      </w:r>
      <w:proofErr w:type="spellStart"/>
      <w:r w:rsidRPr="008D4BA9">
        <w:rPr>
          <w:rFonts w:ascii="Arial" w:eastAsiaTheme="majorEastAsia" w:hAnsi="Arial" w:cs="Arial"/>
          <w:sz w:val="20"/>
          <w:szCs w:val="20"/>
        </w:rPr>
        <w:t>garinii</w:t>
      </w:r>
      <w:proofErr w:type="spellEnd"/>
      <w:r w:rsidRPr="008D4BA9">
        <w:rPr>
          <w:rFonts w:ascii="Arial" w:eastAsiaTheme="majorEastAsia" w:hAnsi="Arial" w:cs="Arial"/>
          <w:sz w:val="20"/>
          <w:szCs w:val="20"/>
        </w:rPr>
        <w:t xml:space="preserve"> reveals functional divergence of its C-terminal domain. </w:t>
      </w:r>
      <w:r w:rsidRPr="008D4BA9">
        <w:rPr>
          <w:rFonts w:ascii="Arial" w:eastAsiaTheme="majorEastAsia" w:hAnsi="Arial" w:cs="Arial"/>
          <w:i/>
          <w:iCs/>
          <w:sz w:val="20"/>
          <w:szCs w:val="20"/>
        </w:rPr>
        <w:t>Nucleic Acids Research</w:t>
      </w:r>
      <w:r w:rsidRPr="008D4BA9">
        <w:rPr>
          <w:rFonts w:ascii="Arial" w:eastAsiaTheme="majorEastAsia" w:hAnsi="Arial" w:cs="Arial"/>
          <w:sz w:val="20"/>
          <w:szCs w:val="20"/>
        </w:rPr>
        <w:t>. https://doi.org/10.1093/nar/gkae580</w:t>
      </w:r>
    </w:p>
    <w:sectPr w:rsidR="008D4BA9" w:rsidRPr="004F6BD3"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5"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E8"/>
    <w:rsid w:val="00083F34"/>
    <w:rsid w:val="000B3121"/>
    <w:rsid w:val="000C2AE8"/>
    <w:rsid w:val="000F0A8B"/>
    <w:rsid w:val="00112F01"/>
    <w:rsid w:val="00156FFD"/>
    <w:rsid w:val="001A6A63"/>
    <w:rsid w:val="002C3CD4"/>
    <w:rsid w:val="0034372C"/>
    <w:rsid w:val="004146AF"/>
    <w:rsid w:val="004F6BD3"/>
    <w:rsid w:val="00606034"/>
    <w:rsid w:val="006D3BCC"/>
    <w:rsid w:val="00714EA4"/>
    <w:rsid w:val="00736EEF"/>
    <w:rsid w:val="007731CA"/>
    <w:rsid w:val="0087701C"/>
    <w:rsid w:val="008D4BA9"/>
    <w:rsid w:val="0091168C"/>
    <w:rsid w:val="009A67E2"/>
    <w:rsid w:val="00A729D5"/>
    <w:rsid w:val="00B82D0F"/>
    <w:rsid w:val="00BB557E"/>
    <w:rsid w:val="00BE32B1"/>
    <w:rsid w:val="00CB728F"/>
    <w:rsid w:val="00CD448E"/>
    <w:rsid w:val="00F22CC4"/>
    <w:rsid w:val="00F60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
    <w:name w:val="Unresolved Mention"/>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1317167/" TargetMode="External"/><Relationship Id="rId13" Type="http://schemas.openxmlformats.org/officeDocument/2006/relationships/hyperlink" Target="https://www.ncbi.nlm.nih.gov/pmc/articles/PMC11317167/" TargetMode="External"/><Relationship Id="rId18" Type="http://schemas.openxmlformats.org/officeDocument/2006/relationships/hyperlink" Target="https://www.ncbi.nlm.nih.gov/pmc/articles/PMC1131716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frontiersin.org/journals/microbiology/articles/10.3389/fmicb.2024.1437536/full" TargetMode="External"/><Relationship Id="rId12" Type="http://schemas.openxmlformats.org/officeDocument/2006/relationships/hyperlink" Target="https://www.ncbi.nlm.nih.gov/pmc/articles/PMC11317167/" TargetMode="External"/><Relationship Id="rId17" Type="http://schemas.openxmlformats.org/officeDocument/2006/relationships/hyperlink" Target="https://www.ncbi.nlm.nih.gov/pmc/articles/PMC11317167/" TargetMode="External"/><Relationship Id="rId2" Type="http://schemas.openxmlformats.org/officeDocument/2006/relationships/numbering" Target="numbering.xml"/><Relationship Id="rId16" Type="http://schemas.openxmlformats.org/officeDocument/2006/relationships/hyperlink" Target="https://www.ncbi.nlm.nih.gov/pmc/articles/PMC11317167/" TargetMode="External"/><Relationship Id="rId20" Type="http://schemas.openxmlformats.org/officeDocument/2006/relationships/hyperlink" Target="https://doi.org/10.1080/21505594.2024.2349768" TargetMode="External"/><Relationship Id="rId1" Type="http://schemas.openxmlformats.org/officeDocument/2006/relationships/customXml" Target="../customXml/item1.xml"/><Relationship Id="rId6" Type="http://schemas.openxmlformats.org/officeDocument/2006/relationships/hyperlink" Target="https://www.frontiersin.org/journals/microbiology/articles/10.3389/fmicb.2024.1437536/full" TargetMode="External"/><Relationship Id="rId11" Type="http://schemas.openxmlformats.org/officeDocument/2006/relationships/hyperlink" Target="https://www.ncbi.nlm.nih.gov/pmc/articles/PMC11317167/" TargetMode="External"/><Relationship Id="rId5" Type="http://schemas.openxmlformats.org/officeDocument/2006/relationships/webSettings" Target="webSettings.xml"/><Relationship Id="rId15" Type="http://schemas.openxmlformats.org/officeDocument/2006/relationships/hyperlink" Target="https://www.ncbi.nlm.nih.gov/pmc/articles/PMC11317167/" TargetMode="External"/><Relationship Id="rId10" Type="http://schemas.openxmlformats.org/officeDocument/2006/relationships/hyperlink" Target="https://www.ncbi.nlm.nih.gov/pmc/articles/PMC11317167/" TargetMode="External"/><Relationship Id="rId19" Type="http://schemas.openxmlformats.org/officeDocument/2006/relationships/hyperlink" Target="https://www.ncbi.nlm.nih.gov/pmc/articles/PMC11317167/" TargetMode="External"/><Relationship Id="rId4" Type="http://schemas.openxmlformats.org/officeDocument/2006/relationships/settings" Target="settings.xml"/><Relationship Id="rId9" Type="http://schemas.openxmlformats.org/officeDocument/2006/relationships/hyperlink" Target="https://www.ncbi.nlm.nih.gov/pmc/articles/PMC11317167/" TargetMode="External"/><Relationship Id="rId14" Type="http://schemas.openxmlformats.org/officeDocument/2006/relationships/hyperlink" Target="https://www.ncbi.nlm.nih.gov/pmc/articles/PMC11317167/figure/F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39367-0125-4146-A18A-61CFA56B0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24</cp:revision>
  <dcterms:created xsi:type="dcterms:W3CDTF">2024-08-13T12:13:00Z</dcterms:created>
  <dcterms:modified xsi:type="dcterms:W3CDTF">2024-08-28T12:55:00Z</dcterms:modified>
</cp:coreProperties>
</file>