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02A21749" w:rsidR="000C2AE8" w:rsidRDefault="00BE32B1" w:rsidP="00BF440A">
      <w:pPr>
        <w:pStyle w:val="Heading1"/>
        <w:spacing w:before="0"/>
        <w:jc w:val="center"/>
      </w:pPr>
      <w:r>
        <w:t xml:space="preserve">Writing exercise </w:t>
      </w:r>
      <w:r w:rsidR="00790BC8">
        <w:t>S</w:t>
      </w:r>
      <w:r>
        <w:t>0</w:t>
      </w:r>
      <w:r w:rsidR="000F41BE">
        <w:t>7</w:t>
      </w:r>
      <w:r>
        <w:t xml:space="preserve">: </w:t>
      </w:r>
      <w:r w:rsidR="006B4CB4">
        <w:t>Figure legends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57C33B05" w14:textId="77777777" w:rsidR="00287A46" w:rsidRDefault="00287A46" w:rsidP="00BE32B1"/>
    <w:p w14:paraId="1E59D2C1" w14:textId="1ACD79B8" w:rsidR="00BE32B1" w:rsidRDefault="00DE4A2D" w:rsidP="00BE32B1">
      <w:r>
        <w:t xml:space="preserve">A figure legend should allow you to understand the contents of the figure without having to refer to the rest of the text. </w:t>
      </w:r>
      <w:r w:rsidR="00723BF5">
        <w:t>At the same time, it should be concise</w:t>
      </w:r>
      <w:r w:rsidR="00B05D3A">
        <w:t xml:space="preserve"> (more detailed explanation of the methods and results should be found in the appropriate sections). Writing a good figure legend is an art. </w:t>
      </w:r>
    </w:p>
    <w:p w14:paraId="54DD99FA" w14:textId="77777777" w:rsidR="00B05D3A" w:rsidRDefault="00B05D3A" w:rsidP="00BE32B1"/>
    <w:p w14:paraId="7BA81DCA" w14:textId="1F63F1BC" w:rsidR="00BE32B1" w:rsidRPr="00CF5FD8" w:rsidRDefault="00B82D0F" w:rsidP="00BE32B1">
      <w:pPr>
        <w:pStyle w:val="Heading3"/>
        <w:rPr>
          <w:u w:val="single"/>
        </w:rPr>
      </w:pPr>
      <w:r w:rsidRPr="00CF5FD8">
        <w:rPr>
          <w:u w:val="single"/>
        </w:rPr>
        <w:t>Exercise A.</w:t>
      </w:r>
    </w:p>
    <w:p w14:paraId="3F2432A4" w14:textId="557652EF" w:rsidR="0087701C" w:rsidRPr="0087701C" w:rsidRDefault="0087701C" w:rsidP="0087701C">
      <w:r w:rsidRPr="0087701C">
        <w:t xml:space="preserve">Read each sample </w:t>
      </w:r>
      <w:r w:rsidR="00824355">
        <w:t>figure legend</w:t>
      </w:r>
      <w:r w:rsidRPr="0087701C">
        <w:t xml:space="preserve"> and ask yourself 3 questions:</w:t>
      </w:r>
    </w:p>
    <w:p w14:paraId="6AB799D0" w14:textId="719493F1" w:rsidR="0087701C" w:rsidRPr="0087701C" w:rsidRDefault="00824355" w:rsidP="0087701C">
      <w:pPr>
        <w:numPr>
          <w:ilvl w:val="0"/>
          <w:numId w:val="1"/>
        </w:numPr>
      </w:pPr>
      <w:r>
        <w:t>Do you understand w</w:t>
      </w:r>
      <w:r w:rsidR="00595352">
        <w:t>hat the figure is presenting (without having to read any additional text)</w:t>
      </w:r>
      <w:r w:rsidR="0087701C" w:rsidRPr="0087701C">
        <w:t>?</w:t>
      </w:r>
    </w:p>
    <w:p w14:paraId="2094B168" w14:textId="77777777" w:rsidR="0087701C" w:rsidRPr="0087701C" w:rsidRDefault="0087701C" w:rsidP="0087701C">
      <w:pPr>
        <w:numPr>
          <w:ilvl w:val="0"/>
          <w:numId w:val="1"/>
        </w:numPr>
      </w:pPr>
      <w:r w:rsidRPr="0087701C">
        <w:t>Why (or why not?)</w:t>
      </w:r>
    </w:p>
    <w:p w14:paraId="48F72DCD" w14:textId="4E26ADF7" w:rsidR="0087701C" w:rsidRDefault="0087701C" w:rsidP="00B82D0F">
      <w:pPr>
        <w:numPr>
          <w:ilvl w:val="0"/>
          <w:numId w:val="1"/>
        </w:numPr>
      </w:pPr>
      <w:r w:rsidRPr="0087701C">
        <w:t>How can it be improved?</w:t>
      </w:r>
    </w:p>
    <w:p w14:paraId="6E531243" w14:textId="77777777" w:rsidR="00677A34" w:rsidRDefault="00677A34" w:rsidP="00677A34"/>
    <w:p w14:paraId="3DB65EBB" w14:textId="167B4C26" w:rsidR="00677A34" w:rsidRDefault="00677A34" w:rsidP="003B0EB1">
      <w:pPr>
        <w:pStyle w:val="Heading3"/>
      </w:pPr>
      <w:r>
        <w:t>Example 1</w:t>
      </w:r>
      <w:r w:rsidR="00B439EE" w:rsidRPr="00B439EE">
        <w:rPr>
          <w:vertAlign w:val="superscript"/>
        </w:rPr>
        <w:t>1</w:t>
      </w:r>
      <w:r>
        <w:t xml:space="preserve">. </w:t>
      </w:r>
    </w:p>
    <w:p w14:paraId="235D8E13" w14:textId="39E3D7F2" w:rsidR="00677A34" w:rsidRDefault="00677A34" w:rsidP="00677A34"/>
    <w:p w14:paraId="4B704ECE" w14:textId="524B033D" w:rsidR="0014014F" w:rsidRDefault="008D3C59" w:rsidP="00463C82">
      <w:pPr>
        <w:ind w:left="720"/>
      </w:pPr>
      <w:r>
        <w:rPr>
          <w:noProof/>
        </w:rPr>
        <w:drawing>
          <wp:inline distT="0" distB="0" distL="0" distR="0" wp14:anchorId="22C82616" wp14:editId="6A6769DB">
            <wp:extent cx="5194300" cy="2689214"/>
            <wp:effectExtent l="0" t="0" r="6350" b="0"/>
            <wp:docPr id="1984125764" name="Picture 2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5764" name="Picture 2" descr="A close-up of a tes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84" cy="27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BC2" w14:textId="09FD00EC" w:rsidR="00016857" w:rsidRDefault="00016857" w:rsidP="00463C82">
      <w:pPr>
        <w:ind w:left="720"/>
        <w:rPr>
          <w:sz w:val="20"/>
          <w:szCs w:val="20"/>
        </w:rPr>
      </w:pPr>
      <w:r w:rsidRPr="00016857">
        <w:rPr>
          <w:b/>
          <w:bCs/>
          <w:sz w:val="20"/>
          <w:szCs w:val="20"/>
        </w:rPr>
        <w:t>Fig 1</w:t>
      </w:r>
      <w:r w:rsidRPr="00016857">
        <w:rPr>
          <w:sz w:val="20"/>
          <w:szCs w:val="20"/>
        </w:rPr>
        <w:t> A hairpin structure,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> hairpin, is responsible for the functioning of the 3′ end of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 xml:space="preserve"> mRNA as an </w:t>
      </w:r>
      <w:proofErr w:type="spellStart"/>
      <w:r w:rsidRPr="00016857">
        <w:rPr>
          <w:sz w:val="20"/>
          <w:szCs w:val="20"/>
        </w:rPr>
        <w:t>exo</w:t>
      </w:r>
      <w:proofErr w:type="spellEnd"/>
      <w:r w:rsidRPr="00016857">
        <w:rPr>
          <w:sz w:val="20"/>
          <w:szCs w:val="20"/>
        </w:rPr>
        <w:t>-block. (</w:t>
      </w:r>
      <w:r w:rsidRPr="00016857">
        <w:rPr>
          <w:b/>
          <w:bCs/>
          <w:sz w:val="20"/>
          <w:szCs w:val="20"/>
        </w:rPr>
        <w:t>A</w:t>
      </w:r>
      <w:r w:rsidRPr="00016857">
        <w:rPr>
          <w:sz w:val="20"/>
          <w:szCs w:val="20"/>
        </w:rPr>
        <w:t>) Galactose operon (top) and nucleotide sequence (bottom) of the 3′ end of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> mRNA (green) in the WT 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> operon. The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> stop codon is highlighted in red, and the </w:t>
      </w:r>
      <w:proofErr w:type="spellStart"/>
      <w:r w:rsidRPr="00016857">
        <w:rPr>
          <w:i/>
          <w:iCs/>
          <w:sz w:val="20"/>
          <w:szCs w:val="20"/>
        </w:rPr>
        <w:t>galT</w:t>
      </w:r>
      <w:proofErr w:type="spellEnd"/>
      <w:r w:rsidRPr="00016857">
        <w:rPr>
          <w:sz w:val="20"/>
          <w:szCs w:val="20"/>
        </w:rPr>
        <w:t> initiator codon and SD sequence are highlighted in green and blue (underlined), respectively. The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> hairpin structure is depicted based on base complementarity between positions 1142 and 1161. Numbers indicate the nucleotide residue coordinate of the 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> operon, which starts from the transcription initiation site of the </w:t>
      </w:r>
      <w:r w:rsidRPr="00016857">
        <w:rPr>
          <w:i/>
          <w:iCs/>
          <w:sz w:val="20"/>
          <w:szCs w:val="20"/>
        </w:rPr>
        <w:t>galP1</w:t>
      </w:r>
      <w:r w:rsidRPr="00016857">
        <w:rPr>
          <w:sz w:val="20"/>
          <w:szCs w:val="20"/>
        </w:rPr>
        <w:t> promoter. (</w:t>
      </w:r>
      <w:r w:rsidRPr="00016857">
        <w:rPr>
          <w:b/>
          <w:bCs/>
          <w:sz w:val="20"/>
          <w:szCs w:val="20"/>
        </w:rPr>
        <w:t>B</w:t>
      </w:r>
      <w:r w:rsidRPr="00016857">
        <w:rPr>
          <w:sz w:val="20"/>
          <w:szCs w:val="20"/>
        </w:rPr>
        <w:t>) Schematics of </w:t>
      </w:r>
      <w:r w:rsidRPr="00016857">
        <w:rPr>
          <w:i/>
          <w:iCs/>
          <w:sz w:val="20"/>
          <w:szCs w:val="20"/>
        </w:rPr>
        <w:t>galE</w:t>
      </w:r>
      <w:r w:rsidRPr="00016857">
        <w:rPr>
          <w:sz w:val="20"/>
          <w:szCs w:val="20"/>
        </w:rPr>
        <w:t>-hMM2 and </w:t>
      </w:r>
      <w:r w:rsidRPr="00016857">
        <w:rPr>
          <w:i/>
          <w:iCs/>
          <w:sz w:val="20"/>
          <w:szCs w:val="20"/>
        </w:rPr>
        <w:t>galE</w:t>
      </w:r>
      <w:r w:rsidRPr="00016857">
        <w:rPr>
          <w:sz w:val="20"/>
          <w:szCs w:val="20"/>
        </w:rPr>
        <w:t>-hMM5 mutants. The base changes are in red. The 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 xml:space="preserve"> mutants were generated in the single-copy plasmid, </w:t>
      </w:r>
      <w:proofErr w:type="spellStart"/>
      <w:r w:rsidRPr="00016857">
        <w:rPr>
          <w:sz w:val="20"/>
          <w:szCs w:val="20"/>
        </w:rPr>
        <w:t>pGal</w:t>
      </w:r>
      <w:proofErr w:type="spellEnd"/>
      <w:r w:rsidRPr="00016857">
        <w:rPr>
          <w:sz w:val="20"/>
          <w:szCs w:val="20"/>
        </w:rPr>
        <w:t>, where the entire 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> operon is cloned and assayed in MG1655 cells from where the entire 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> has been removed, MG1655Δ</w:t>
      </w:r>
      <w:r w:rsidRPr="00016857">
        <w:rPr>
          <w:i/>
          <w:iCs/>
          <w:sz w:val="20"/>
          <w:szCs w:val="20"/>
        </w:rPr>
        <w:t>gal</w:t>
      </w:r>
      <w:r w:rsidRPr="00016857">
        <w:rPr>
          <w:sz w:val="20"/>
          <w:szCs w:val="20"/>
        </w:rPr>
        <w:t>. (</w:t>
      </w:r>
      <w:r w:rsidRPr="00016857">
        <w:rPr>
          <w:b/>
          <w:bCs/>
          <w:sz w:val="20"/>
          <w:szCs w:val="20"/>
        </w:rPr>
        <w:t>C</w:t>
      </w:r>
      <w:r w:rsidRPr="00016857">
        <w:rPr>
          <w:sz w:val="20"/>
          <w:szCs w:val="20"/>
        </w:rPr>
        <w:t>) 3′ RACE assay of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 xml:space="preserve"> mRNA 3′ ends from MG155 cells </w:t>
      </w:r>
      <w:proofErr w:type="spellStart"/>
      <w:r w:rsidRPr="00016857">
        <w:rPr>
          <w:sz w:val="20"/>
          <w:szCs w:val="20"/>
        </w:rPr>
        <w:t>harboring</w:t>
      </w:r>
      <w:proofErr w:type="spellEnd"/>
      <w:r w:rsidRPr="00016857">
        <w:rPr>
          <w:sz w:val="20"/>
          <w:szCs w:val="20"/>
        </w:rPr>
        <w:t xml:space="preserve"> the plasmid-borne </w:t>
      </w:r>
      <w:r w:rsidRPr="00016857">
        <w:rPr>
          <w:i/>
          <w:iCs/>
          <w:sz w:val="20"/>
          <w:szCs w:val="20"/>
        </w:rPr>
        <w:t>galE</w:t>
      </w:r>
      <w:r w:rsidRPr="00016857">
        <w:rPr>
          <w:sz w:val="20"/>
          <w:szCs w:val="20"/>
        </w:rPr>
        <w:t>-hMM2 and </w:t>
      </w:r>
      <w:r w:rsidRPr="00016857">
        <w:rPr>
          <w:i/>
          <w:iCs/>
          <w:sz w:val="20"/>
          <w:szCs w:val="20"/>
        </w:rPr>
        <w:t>galE</w:t>
      </w:r>
      <w:r w:rsidRPr="00016857">
        <w:rPr>
          <w:sz w:val="20"/>
          <w:szCs w:val="20"/>
        </w:rPr>
        <w:t>-hMM5 mutant operons. The </w:t>
      </w:r>
      <w:proofErr w:type="spellStart"/>
      <w:r w:rsidRPr="00016857">
        <w:rPr>
          <w:i/>
          <w:iCs/>
          <w:sz w:val="20"/>
          <w:szCs w:val="20"/>
        </w:rPr>
        <w:t>galE</w:t>
      </w:r>
      <w:proofErr w:type="spellEnd"/>
      <w:r w:rsidRPr="00016857">
        <w:rPr>
          <w:sz w:val="20"/>
          <w:szCs w:val="20"/>
        </w:rPr>
        <w:t> mRNA 3′ ends (1166–1172) are missing in lanes 2 and 3. DNA sequencing ladders that serve as length markers are in lanes marked G, A, T, and C.</w:t>
      </w:r>
    </w:p>
    <w:p w14:paraId="1686909F" w14:textId="77777777" w:rsidR="00E8381A" w:rsidRDefault="00E8381A" w:rsidP="00463C82">
      <w:pPr>
        <w:ind w:left="720"/>
        <w:rPr>
          <w:sz w:val="20"/>
          <w:szCs w:val="20"/>
        </w:rPr>
      </w:pPr>
    </w:p>
    <w:p w14:paraId="5B9E2DDB" w14:textId="1324F91E" w:rsidR="00E8381A" w:rsidRDefault="00E8381A" w:rsidP="003B0EB1">
      <w:pPr>
        <w:pStyle w:val="Heading3"/>
      </w:pPr>
      <w:r>
        <w:lastRenderedPageBreak/>
        <w:t>Example 2</w:t>
      </w:r>
      <w:r w:rsidR="00B439EE" w:rsidRPr="00B439EE">
        <w:rPr>
          <w:vertAlign w:val="superscript"/>
        </w:rPr>
        <w:t>2</w:t>
      </w:r>
      <w:r>
        <w:t xml:space="preserve">. </w:t>
      </w:r>
    </w:p>
    <w:p w14:paraId="5329A5AA" w14:textId="4AF87AA7" w:rsidR="00E8381A" w:rsidRDefault="00546573" w:rsidP="00E838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8640E5" wp14:editId="30D41EFA">
            <wp:extent cx="5095039" cy="2108200"/>
            <wp:effectExtent l="0" t="0" r="0" b="6350"/>
            <wp:docPr id="1916486032" name="Picture 3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6032" name="Picture 3" descr="A close-up of a 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353" cy="21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9253" w14:textId="0640BCA3" w:rsidR="00CD6CD1" w:rsidRPr="003B0EB1" w:rsidRDefault="00CD6CD1" w:rsidP="00E8381A">
      <w:pPr>
        <w:rPr>
          <w:sz w:val="20"/>
          <w:szCs w:val="20"/>
        </w:rPr>
      </w:pPr>
      <w:r w:rsidRPr="003B0EB1">
        <w:rPr>
          <w:b/>
          <w:bCs/>
          <w:sz w:val="20"/>
          <w:szCs w:val="20"/>
        </w:rPr>
        <w:t>Figure 2</w:t>
      </w:r>
      <w:r w:rsidRPr="003B0EB1">
        <w:rPr>
          <w:sz w:val="20"/>
          <w:szCs w:val="20"/>
        </w:rPr>
        <w:t>. Phylogenetic analysis of six </w:t>
      </w:r>
      <w:proofErr w:type="spellStart"/>
      <w:r w:rsidRPr="003B0EB1">
        <w:rPr>
          <w:i/>
          <w:iCs/>
          <w:sz w:val="20"/>
          <w:szCs w:val="20"/>
        </w:rPr>
        <w:t>Kodamaea</w:t>
      </w:r>
      <w:proofErr w:type="spellEnd"/>
      <w:r w:rsidRPr="003B0EB1">
        <w:rPr>
          <w:i/>
          <w:iCs/>
          <w:sz w:val="20"/>
          <w:szCs w:val="20"/>
        </w:rPr>
        <w:t xml:space="preserve"> </w:t>
      </w:r>
      <w:proofErr w:type="spellStart"/>
      <w:r w:rsidRPr="003B0EB1">
        <w:rPr>
          <w:i/>
          <w:iCs/>
          <w:sz w:val="20"/>
          <w:szCs w:val="20"/>
        </w:rPr>
        <w:t>ohmeri</w:t>
      </w:r>
      <w:proofErr w:type="spellEnd"/>
      <w:r w:rsidRPr="003B0EB1">
        <w:rPr>
          <w:sz w:val="20"/>
          <w:szCs w:val="20"/>
        </w:rPr>
        <w:t> strains based on core genome SNPs.</w:t>
      </w:r>
    </w:p>
    <w:p w14:paraId="03EE35C3" w14:textId="77777777" w:rsidR="00CD6CD1" w:rsidRDefault="00CD6CD1" w:rsidP="00E8381A">
      <w:pPr>
        <w:rPr>
          <w:sz w:val="24"/>
          <w:szCs w:val="24"/>
        </w:rPr>
      </w:pPr>
    </w:p>
    <w:p w14:paraId="75D63B06" w14:textId="0C75A6EE" w:rsidR="001A5830" w:rsidRDefault="001A5830" w:rsidP="003B0EB1">
      <w:pPr>
        <w:pStyle w:val="Heading3"/>
      </w:pPr>
      <w:r>
        <w:t>Example 3</w:t>
      </w:r>
      <w:r w:rsidR="00B439EE" w:rsidRPr="00B439EE">
        <w:rPr>
          <w:vertAlign w:val="superscript"/>
        </w:rPr>
        <w:t>3</w:t>
      </w:r>
      <w:r>
        <w:t xml:space="preserve">. </w:t>
      </w:r>
    </w:p>
    <w:p w14:paraId="5588799E" w14:textId="1456DC88" w:rsidR="001A5830" w:rsidRDefault="001A5830" w:rsidP="00E838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7175C" wp14:editId="60FE0CC4">
            <wp:extent cx="2708287" cy="4340906"/>
            <wp:effectExtent l="0" t="0" r="0" b="2540"/>
            <wp:docPr id="39522267" name="Picture 4" descr="A group of graphs showing different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267" name="Picture 4" descr="A group of graphs showing different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87" cy="43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94F" w14:textId="6FB6DE2B" w:rsidR="003B0EB1" w:rsidRPr="003B0EB1" w:rsidRDefault="003B0EB1" w:rsidP="00E8381A">
      <w:pPr>
        <w:rPr>
          <w:sz w:val="20"/>
          <w:szCs w:val="20"/>
        </w:rPr>
      </w:pPr>
      <w:r w:rsidRPr="003B0EB1">
        <w:rPr>
          <w:b/>
          <w:bCs/>
          <w:sz w:val="20"/>
          <w:szCs w:val="20"/>
        </w:rPr>
        <w:t>Figure 3</w:t>
      </w:r>
      <w:r w:rsidRPr="003B0EB1">
        <w:rPr>
          <w:sz w:val="20"/>
          <w:szCs w:val="20"/>
        </w:rPr>
        <w:t>. Antibiotic susceptibility of WT, ∆</w:t>
      </w:r>
      <w:proofErr w:type="spellStart"/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 xml:space="preserve">, and </w:t>
      </w:r>
      <w:r w:rsidRPr="003B0EB1">
        <w:rPr>
          <w:rFonts w:ascii="Segoe UI Symbol" w:hAnsi="Segoe UI Symbol" w:cs="Segoe UI Symbol"/>
          <w:sz w:val="20"/>
          <w:szCs w:val="20"/>
        </w:rPr>
        <w:t>⸬</w:t>
      </w:r>
      <w:proofErr w:type="spellStart"/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> strains. The vertical axis represents the </w:t>
      </w:r>
      <w:r w:rsidRPr="003B0EB1">
        <w:rPr>
          <w:i/>
          <w:iCs/>
          <w:sz w:val="20"/>
          <w:szCs w:val="20"/>
        </w:rPr>
        <w:t>OD</w:t>
      </w:r>
      <w:r w:rsidRPr="003B0EB1">
        <w:rPr>
          <w:sz w:val="20"/>
          <w:szCs w:val="20"/>
          <w:vertAlign w:val="subscript"/>
        </w:rPr>
        <w:t>600</w:t>
      </w:r>
      <w:r w:rsidRPr="003B0EB1">
        <w:rPr>
          <w:sz w:val="20"/>
          <w:szCs w:val="20"/>
        </w:rPr>
        <w:t> value, while the horizontal axis represents the concentration of different antibiotics (mg/mL). The blue, red, and green bars indicate the </w:t>
      </w:r>
      <w:r w:rsidRPr="003B0EB1">
        <w:rPr>
          <w:i/>
          <w:iCs/>
          <w:sz w:val="20"/>
          <w:szCs w:val="20"/>
        </w:rPr>
        <w:t>OD</w:t>
      </w:r>
      <w:r w:rsidRPr="003B0EB1">
        <w:rPr>
          <w:sz w:val="20"/>
          <w:szCs w:val="20"/>
          <w:vertAlign w:val="subscript"/>
        </w:rPr>
        <w:t>600</w:t>
      </w:r>
      <w:r w:rsidRPr="003B0EB1">
        <w:rPr>
          <w:sz w:val="20"/>
          <w:szCs w:val="20"/>
        </w:rPr>
        <w:t xml:space="preserve"> values of WT, </w:t>
      </w:r>
      <w:proofErr w:type="spellStart"/>
      <w:r w:rsidRPr="003B0EB1">
        <w:rPr>
          <w:sz w:val="20"/>
          <w:szCs w:val="20"/>
        </w:rPr>
        <w:t>Δ</w:t>
      </w:r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 xml:space="preserve">, and </w:t>
      </w:r>
      <w:r w:rsidRPr="003B0EB1">
        <w:rPr>
          <w:rFonts w:ascii="Segoe UI Symbol" w:hAnsi="Segoe UI Symbol" w:cs="Segoe UI Symbol"/>
          <w:sz w:val="20"/>
          <w:szCs w:val="20"/>
        </w:rPr>
        <w:t>⸬</w:t>
      </w:r>
      <w:proofErr w:type="spellStart"/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 xml:space="preserve"> strains at different antibiotic concentrations. Compared to WT, the </w:t>
      </w:r>
      <w:proofErr w:type="spellStart"/>
      <w:r w:rsidRPr="003B0EB1">
        <w:rPr>
          <w:sz w:val="20"/>
          <w:szCs w:val="20"/>
        </w:rPr>
        <w:t>Δ</w:t>
      </w:r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> strain exhibited significantly decreased susceptibility to amoxicillin </w:t>
      </w:r>
      <w:r w:rsidRPr="003B0EB1">
        <w:rPr>
          <w:b/>
          <w:bCs/>
          <w:sz w:val="20"/>
          <w:szCs w:val="20"/>
        </w:rPr>
        <w:t>(A)</w:t>
      </w:r>
      <w:r w:rsidRPr="003B0EB1">
        <w:rPr>
          <w:sz w:val="20"/>
          <w:szCs w:val="20"/>
        </w:rPr>
        <w:t>, ampicillin </w:t>
      </w:r>
      <w:r w:rsidRPr="003B0EB1">
        <w:rPr>
          <w:b/>
          <w:bCs/>
          <w:sz w:val="20"/>
          <w:szCs w:val="20"/>
        </w:rPr>
        <w:t>(B)</w:t>
      </w:r>
      <w:r w:rsidRPr="003B0EB1">
        <w:rPr>
          <w:sz w:val="20"/>
          <w:szCs w:val="20"/>
        </w:rPr>
        <w:t>, metronidazole </w:t>
      </w:r>
      <w:r w:rsidRPr="003B0EB1">
        <w:rPr>
          <w:b/>
          <w:bCs/>
          <w:sz w:val="20"/>
          <w:szCs w:val="20"/>
        </w:rPr>
        <w:t>(C)</w:t>
      </w:r>
      <w:r w:rsidRPr="003B0EB1">
        <w:rPr>
          <w:sz w:val="20"/>
          <w:szCs w:val="20"/>
        </w:rPr>
        <w:t>, vancomycin </w:t>
      </w:r>
      <w:r w:rsidRPr="003B0EB1">
        <w:rPr>
          <w:b/>
          <w:bCs/>
          <w:sz w:val="20"/>
          <w:szCs w:val="20"/>
        </w:rPr>
        <w:t>(D)</w:t>
      </w:r>
      <w:r w:rsidRPr="003B0EB1">
        <w:rPr>
          <w:sz w:val="20"/>
          <w:szCs w:val="20"/>
        </w:rPr>
        <w:t>, norfloxacin </w:t>
      </w:r>
      <w:r w:rsidRPr="003B0EB1">
        <w:rPr>
          <w:b/>
          <w:bCs/>
          <w:sz w:val="20"/>
          <w:szCs w:val="20"/>
        </w:rPr>
        <w:t>(E)</w:t>
      </w:r>
      <w:r w:rsidRPr="003B0EB1">
        <w:rPr>
          <w:sz w:val="20"/>
          <w:szCs w:val="20"/>
        </w:rPr>
        <w:t>, cefotetan </w:t>
      </w:r>
      <w:r w:rsidRPr="003B0EB1">
        <w:rPr>
          <w:b/>
          <w:bCs/>
          <w:sz w:val="20"/>
          <w:szCs w:val="20"/>
        </w:rPr>
        <w:t>(F)</w:t>
      </w:r>
      <w:r w:rsidRPr="003B0EB1">
        <w:rPr>
          <w:sz w:val="20"/>
          <w:szCs w:val="20"/>
        </w:rPr>
        <w:t>, and kanamycin </w:t>
      </w:r>
      <w:r w:rsidRPr="003B0EB1">
        <w:rPr>
          <w:b/>
          <w:bCs/>
          <w:sz w:val="20"/>
          <w:szCs w:val="20"/>
        </w:rPr>
        <w:t>(G)</w:t>
      </w:r>
      <w:r w:rsidRPr="003B0EB1">
        <w:rPr>
          <w:sz w:val="20"/>
          <w:szCs w:val="20"/>
        </w:rPr>
        <w:t xml:space="preserve">, whereas the </w:t>
      </w:r>
      <w:r w:rsidRPr="003B0EB1">
        <w:rPr>
          <w:rFonts w:ascii="Segoe UI Symbol" w:hAnsi="Segoe UI Symbol" w:cs="Segoe UI Symbol"/>
          <w:sz w:val="20"/>
          <w:szCs w:val="20"/>
        </w:rPr>
        <w:t>⸬</w:t>
      </w:r>
      <w:proofErr w:type="spellStart"/>
      <w:r w:rsidRPr="003B0EB1">
        <w:rPr>
          <w:i/>
          <w:iCs/>
          <w:sz w:val="20"/>
          <w:szCs w:val="20"/>
        </w:rPr>
        <w:t>rpoN</w:t>
      </w:r>
      <w:proofErr w:type="spellEnd"/>
      <w:r w:rsidRPr="003B0EB1">
        <w:rPr>
          <w:sz w:val="20"/>
          <w:szCs w:val="20"/>
        </w:rPr>
        <w:t> strain showed partial restoration of susceptibility to these antibiotics compared to WT.</w:t>
      </w:r>
    </w:p>
    <w:p w14:paraId="2F05FF4D" w14:textId="77777777" w:rsidR="00CD6CD1" w:rsidRPr="00E8381A" w:rsidRDefault="00CD6CD1" w:rsidP="00E8381A">
      <w:pPr>
        <w:rPr>
          <w:sz w:val="24"/>
          <w:szCs w:val="24"/>
        </w:rPr>
      </w:pPr>
    </w:p>
    <w:p w14:paraId="6AE3294F" w14:textId="24D6C2CA" w:rsidR="00CF5FD8" w:rsidRPr="00CF5FD8" w:rsidRDefault="00CF5FD8" w:rsidP="00CF5FD8">
      <w:pPr>
        <w:pStyle w:val="Heading3"/>
        <w:rPr>
          <w:u w:val="single"/>
        </w:rPr>
      </w:pPr>
      <w:r>
        <w:rPr>
          <w:u w:val="single"/>
        </w:rPr>
        <w:lastRenderedPageBreak/>
        <w:t>Exercise B</w:t>
      </w:r>
      <w:r w:rsidRPr="00CF5FD8">
        <w:rPr>
          <w:u w:val="single"/>
        </w:rPr>
        <w:t>.</w:t>
      </w:r>
    </w:p>
    <w:p w14:paraId="2FB8984F" w14:textId="77777777" w:rsidR="00D12633" w:rsidRDefault="00D12633" w:rsidP="00CF5FD8"/>
    <w:p w14:paraId="170136CA" w14:textId="77B6C51E" w:rsidR="00824355" w:rsidRDefault="00B439EE" w:rsidP="00CF5FD8">
      <w:r>
        <w:t>Write a legend for the following figure. Compare your legend with the authors’</w:t>
      </w:r>
      <w:r w:rsidRPr="00B439EE">
        <w:rPr>
          <w:vertAlign w:val="superscript"/>
        </w:rPr>
        <w:t>4</w:t>
      </w:r>
      <w:r>
        <w:t xml:space="preserve">. </w:t>
      </w:r>
    </w:p>
    <w:p w14:paraId="6FBF23A4" w14:textId="77777777" w:rsidR="00B439EE" w:rsidRDefault="00B439EE" w:rsidP="00CF5FD8"/>
    <w:p w14:paraId="016A598B" w14:textId="403B84A6" w:rsidR="00B439EE" w:rsidRDefault="005711A8" w:rsidP="00CF5FD8">
      <w:r>
        <w:rPr>
          <w:noProof/>
        </w:rPr>
        <w:drawing>
          <wp:inline distT="0" distB="0" distL="0" distR="0" wp14:anchorId="465CADFE" wp14:editId="7ECCF900">
            <wp:extent cx="6192520" cy="2375535"/>
            <wp:effectExtent l="0" t="0" r="0" b="5715"/>
            <wp:docPr id="87261293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293" name="Picture 6" descr="A diagram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8849" w14:textId="77777777" w:rsidR="006478C6" w:rsidRDefault="006478C6" w:rsidP="00783920">
      <w:pPr>
        <w:pStyle w:val="Heading3"/>
      </w:pPr>
    </w:p>
    <w:p w14:paraId="784DBFF9" w14:textId="77777777" w:rsidR="006478C6" w:rsidRDefault="006478C6" w:rsidP="00783920">
      <w:pPr>
        <w:pStyle w:val="Heading3"/>
      </w:pPr>
    </w:p>
    <w:p w14:paraId="5146E189" w14:textId="77777777" w:rsidR="006478C6" w:rsidRDefault="006478C6" w:rsidP="00783920">
      <w:pPr>
        <w:pStyle w:val="Heading3"/>
      </w:pPr>
    </w:p>
    <w:p w14:paraId="7081E06A" w14:textId="77777777" w:rsidR="006478C6" w:rsidRDefault="006478C6" w:rsidP="00783920">
      <w:pPr>
        <w:pStyle w:val="Heading3"/>
      </w:pPr>
    </w:p>
    <w:p w14:paraId="1DABD203" w14:textId="27472C79" w:rsidR="00783920" w:rsidRDefault="00783920" w:rsidP="00783920">
      <w:pPr>
        <w:pStyle w:val="Heading3"/>
      </w:pPr>
      <w:r>
        <w:t>References</w:t>
      </w:r>
    </w:p>
    <w:p w14:paraId="20ADCBEC" w14:textId="047D7038" w:rsidR="00783920" w:rsidRDefault="00EF48A4" w:rsidP="00764F8C">
      <w:pPr>
        <w:pStyle w:val="ListParagraph"/>
        <w:numPr>
          <w:ilvl w:val="0"/>
          <w:numId w:val="8"/>
        </w:numPr>
        <w:rPr>
          <w:bCs/>
        </w:rPr>
      </w:pPr>
      <w:r w:rsidRPr="00EF48A4">
        <w:rPr>
          <w:bCs/>
        </w:rPr>
        <w:t>Jeon HJ,</w:t>
      </w:r>
      <w:r w:rsidR="00A42F69">
        <w:rPr>
          <w:bCs/>
        </w:rPr>
        <w:t xml:space="preserve"> et al. </w:t>
      </w:r>
      <w:r w:rsidRPr="00EF48A4">
        <w:rPr>
          <w:bCs/>
        </w:rPr>
        <w:t>Rho-dependent termination and RNase E-mediated cleavage: dual pathways for RNA 3′ end processing in polycistronic mRNA. J</w:t>
      </w:r>
      <w:r w:rsidR="00F9193D">
        <w:rPr>
          <w:bCs/>
        </w:rPr>
        <w:t xml:space="preserve">ournal of </w:t>
      </w:r>
      <w:r w:rsidRPr="00EF48A4">
        <w:rPr>
          <w:bCs/>
        </w:rPr>
        <w:t>Bacteriol</w:t>
      </w:r>
      <w:r w:rsidR="00F9193D">
        <w:rPr>
          <w:bCs/>
        </w:rPr>
        <w:t xml:space="preserve">ogy </w:t>
      </w:r>
      <w:r w:rsidRPr="00EF48A4">
        <w:rPr>
          <w:bCs/>
        </w:rPr>
        <w:t>207</w:t>
      </w:r>
      <w:r w:rsidR="00F9193D">
        <w:rPr>
          <w:bCs/>
        </w:rPr>
        <w:t xml:space="preserve">, </w:t>
      </w:r>
      <w:r w:rsidRPr="00EF48A4">
        <w:rPr>
          <w:bCs/>
        </w:rPr>
        <w:t>e00437-24</w:t>
      </w:r>
      <w:r w:rsidR="00F9193D">
        <w:rPr>
          <w:bCs/>
        </w:rPr>
        <w:t xml:space="preserve"> (2025</w:t>
      </w:r>
      <w:proofErr w:type="gramStart"/>
      <w:r w:rsidR="00F9193D">
        <w:rPr>
          <w:bCs/>
        </w:rPr>
        <w:t>)</w:t>
      </w:r>
      <w:r w:rsidRPr="00EF48A4">
        <w:rPr>
          <w:bCs/>
        </w:rPr>
        <w:t>.https://doi.org/10.1128/jb.00437-24</w:t>
      </w:r>
      <w:proofErr w:type="gramEnd"/>
    </w:p>
    <w:p w14:paraId="1AEF17E4" w14:textId="13583922" w:rsidR="00EF48A4" w:rsidRDefault="00C5017C" w:rsidP="00764F8C">
      <w:pPr>
        <w:pStyle w:val="ListParagraph"/>
        <w:numPr>
          <w:ilvl w:val="0"/>
          <w:numId w:val="8"/>
        </w:numPr>
        <w:rPr>
          <w:bCs/>
        </w:rPr>
      </w:pPr>
      <w:r w:rsidRPr="00C5017C">
        <w:rPr>
          <w:bCs/>
        </w:rPr>
        <w:t xml:space="preserve">Wang, S.-J., Yu, X., Liang, J.-h., Zheng, D.-y. &amp; Cao, C.-W. Emerging pathogens: the underestimated risk of </w:t>
      </w:r>
      <w:proofErr w:type="spellStart"/>
      <w:r w:rsidRPr="00C5017C">
        <w:rPr>
          <w:bCs/>
        </w:rPr>
        <w:t>Kodamaea</w:t>
      </w:r>
      <w:proofErr w:type="spellEnd"/>
      <w:r w:rsidRPr="00C5017C">
        <w:rPr>
          <w:bCs/>
        </w:rPr>
        <w:t xml:space="preserve"> </w:t>
      </w:r>
      <w:proofErr w:type="spellStart"/>
      <w:r w:rsidRPr="00C5017C">
        <w:rPr>
          <w:bCs/>
        </w:rPr>
        <w:t>ohmeri</w:t>
      </w:r>
      <w:proofErr w:type="spellEnd"/>
      <w:r w:rsidRPr="00C5017C">
        <w:rPr>
          <w:bCs/>
        </w:rPr>
        <w:t xml:space="preserve"> infection in hospitals. Frontiers in Microbiology Volume 16 - 2025 (2025). </w:t>
      </w:r>
      <w:hyperlink r:id="rId10" w:history="1">
        <w:r w:rsidR="006B375A" w:rsidRPr="00C41E28">
          <w:rPr>
            <w:rStyle w:val="Hyperlink"/>
            <w:bCs/>
          </w:rPr>
          <w:t>https://doi.org/10.3389/fmicb.2025.1572747</w:t>
        </w:r>
      </w:hyperlink>
    </w:p>
    <w:p w14:paraId="142E87CF" w14:textId="5B132816" w:rsidR="006B375A" w:rsidRDefault="00B0674C" w:rsidP="00764F8C">
      <w:pPr>
        <w:pStyle w:val="ListParagraph"/>
        <w:numPr>
          <w:ilvl w:val="0"/>
          <w:numId w:val="8"/>
        </w:numPr>
        <w:rPr>
          <w:bCs/>
        </w:rPr>
      </w:pPr>
      <w:r w:rsidRPr="00B0674C">
        <w:rPr>
          <w:bCs/>
        </w:rPr>
        <w:t>Yang, Y. et al. The sigma factor σ54 (</w:t>
      </w:r>
      <w:proofErr w:type="spellStart"/>
      <w:r w:rsidRPr="00B0674C">
        <w:rPr>
          <w:bCs/>
          <w:i/>
          <w:iCs/>
        </w:rPr>
        <w:t>rpoN</w:t>
      </w:r>
      <w:proofErr w:type="spellEnd"/>
      <w:r w:rsidRPr="00B0674C">
        <w:rPr>
          <w:bCs/>
        </w:rPr>
        <w:t xml:space="preserve">) functions as a global regulator of antibiotic resistance, motility, metabolism, and virulence in </w:t>
      </w:r>
      <w:proofErr w:type="spellStart"/>
      <w:r w:rsidRPr="00B0674C">
        <w:rPr>
          <w:bCs/>
          <w:i/>
          <w:iCs/>
        </w:rPr>
        <w:t>Clostridioides</w:t>
      </w:r>
      <w:proofErr w:type="spellEnd"/>
      <w:r w:rsidRPr="00B0674C">
        <w:rPr>
          <w:bCs/>
          <w:i/>
          <w:iCs/>
        </w:rPr>
        <w:t xml:space="preserve"> difficile</w:t>
      </w:r>
      <w:r w:rsidRPr="00B0674C">
        <w:rPr>
          <w:bCs/>
        </w:rPr>
        <w:t xml:space="preserve">. Frontiers in Microbiology Volume 16 - 2025 (2025). </w:t>
      </w:r>
      <w:hyperlink r:id="rId11" w:history="1">
        <w:r w:rsidR="00E966CE" w:rsidRPr="00C41E28">
          <w:rPr>
            <w:rStyle w:val="Hyperlink"/>
            <w:bCs/>
          </w:rPr>
          <w:t>https://doi.org/10.3389/fmicb.2025.1569627</w:t>
        </w:r>
      </w:hyperlink>
    </w:p>
    <w:p w14:paraId="7EE213E5" w14:textId="612B4533" w:rsidR="00E966CE" w:rsidRPr="00764F8C" w:rsidRDefault="00E966CE" w:rsidP="00764F8C">
      <w:pPr>
        <w:pStyle w:val="ListParagraph"/>
        <w:numPr>
          <w:ilvl w:val="0"/>
          <w:numId w:val="8"/>
        </w:numPr>
        <w:rPr>
          <w:bCs/>
        </w:rPr>
      </w:pPr>
      <w:r w:rsidRPr="00E966CE">
        <w:rPr>
          <w:bCs/>
        </w:rPr>
        <w:t xml:space="preserve">Zhang, J. et al. </w:t>
      </w:r>
      <w:r w:rsidRPr="00E966CE">
        <w:rPr>
          <w:bCs/>
          <w:i/>
          <w:iCs/>
        </w:rPr>
        <w:t>Borrelia burgdorferi</w:t>
      </w:r>
      <w:r w:rsidRPr="00E966CE">
        <w:rPr>
          <w:bCs/>
        </w:rPr>
        <w:t xml:space="preserve"> loses essential genetic elements and cell proliferative potential during stationary phase in culture but not in the tick vector. Journal of Bacteriology 207, e00457-00424 (2025). https://doi.org/doi:10.1128/jb.00457-24</w:t>
      </w:r>
    </w:p>
    <w:sectPr w:rsidR="00E966CE" w:rsidRPr="00764F8C" w:rsidSect="00D12633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D750A"/>
    <w:multiLevelType w:val="hybridMultilevel"/>
    <w:tmpl w:val="9B082F84"/>
    <w:lvl w:ilvl="0" w:tplc="6976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87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1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29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C3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69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4D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24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E1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3401B"/>
    <w:multiLevelType w:val="hybridMultilevel"/>
    <w:tmpl w:val="0436D4BC"/>
    <w:lvl w:ilvl="0" w:tplc="CF50F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A7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3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78C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8F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87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63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27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2D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74F02"/>
    <w:multiLevelType w:val="hybridMultilevel"/>
    <w:tmpl w:val="0E4E4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940C4"/>
    <w:multiLevelType w:val="hybridMultilevel"/>
    <w:tmpl w:val="506463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92056">
    <w:abstractNumId w:val="5"/>
  </w:num>
  <w:num w:numId="2" w16cid:durableId="790439498">
    <w:abstractNumId w:val="3"/>
  </w:num>
  <w:num w:numId="3" w16cid:durableId="1968001991">
    <w:abstractNumId w:val="4"/>
  </w:num>
  <w:num w:numId="4" w16cid:durableId="1419985117">
    <w:abstractNumId w:val="1"/>
  </w:num>
  <w:num w:numId="5" w16cid:durableId="1580405821">
    <w:abstractNumId w:val="2"/>
  </w:num>
  <w:num w:numId="6" w16cid:durableId="591939790">
    <w:abstractNumId w:val="0"/>
  </w:num>
  <w:num w:numId="7" w16cid:durableId="1448616955">
    <w:abstractNumId w:val="7"/>
  </w:num>
  <w:num w:numId="8" w16cid:durableId="1967347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16857"/>
    <w:rsid w:val="000B3121"/>
    <w:rsid w:val="000C2AE8"/>
    <w:rsid w:val="000F41BE"/>
    <w:rsid w:val="0014014F"/>
    <w:rsid w:val="001A5830"/>
    <w:rsid w:val="0021060B"/>
    <w:rsid w:val="00220ADB"/>
    <w:rsid w:val="00287A46"/>
    <w:rsid w:val="003B0EB1"/>
    <w:rsid w:val="00463C82"/>
    <w:rsid w:val="0047162D"/>
    <w:rsid w:val="004F7F2E"/>
    <w:rsid w:val="00546573"/>
    <w:rsid w:val="005711A8"/>
    <w:rsid w:val="00595352"/>
    <w:rsid w:val="006478C6"/>
    <w:rsid w:val="00677A34"/>
    <w:rsid w:val="006B375A"/>
    <w:rsid w:val="006B4CB4"/>
    <w:rsid w:val="00723BF5"/>
    <w:rsid w:val="00727DD9"/>
    <w:rsid w:val="00764F8C"/>
    <w:rsid w:val="00783920"/>
    <w:rsid w:val="00790BC8"/>
    <w:rsid w:val="00824355"/>
    <w:rsid w:val="0087701C"/>
    <w:rsid w:val="008D3C59"/>
    <w:rsid w:val="009A67E2"/>
    <w:rsid w:val="00A1372B"/>
    <w:rsid w:val="00A25CD5"/>
    <w:rsid w:val="00A42F69"/>
    <w:rsid w:val="00B05D3A"/>
    <w:rsid w:val="00B0674C"/>
    <w:rsid w:val="00B439EE"/>
    <w:rsid w:val="00B82D0F"/>
    <w:rsid w:val="00BD2D7C"/>
    <w:rsid w:val="00BE32B1"/>
    <w:rsid w:val="00BF440A"/>
    <w:rsid w:val="00C256DD"/>
    <w:rsid w:val="00C5017C"/>
    <w:rsid w:val="00CC6858"/>
    <w:rsid w:val="00CD6CD1"/>
    <w:rsid w:val="00CF5FD8"/>
    <w:rsid w:val="00D12633"/>
    <w:rsid w:val="00DE4A2D"/>
    <w:rsid w:val="00E8381A"/>
    <w:rsid w:val="00E966CE"/>
    <w:rsid w:val="00EF48A4"/>
    <w:rsid w:val="00F469A6"/>
    <w:rsid w:val="00F9193D"/>
    <w:rsid w:val="00F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7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783920"/>
  </w:style>
  <w:style w:type="character" w:customStyle="1" w:styleId="eop">
    <w:name w:val="eop"/>
    <w:basedOn w:val="DefaultParagraphFont"/>
    <w:rsid w:val="00783920"/>
  </w:style>
  <w:style w:type="character" w:styleId="UnresolvedMention">
    <w:name w:val="Unresolved Mention"/>
    <w:basedOn w:val="DefaultParagraphFont"/>
    <w:uiPriority w:val="99"/>
    <w:semiHidden/>
    <w:unhideWhenUsed/>
    <w:rsid w:val="00F46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8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33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3389/fmicb.2025.15696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89/fmicb.2025.15727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D010-8199-4694-B487-128CEE5C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550</Words>
  <Characters>3196</Characters>
  <Application>Microsoft Office Word</Application>
  <DocSecurity>0</DocSecurity>
  <Lines>47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36</cp:revision>
  <dcterms:created xsi:type="dcterms:W3CDTF">2025-05-01T13:31:00Z</dcterms:created>
  <dcterms:modified xsi:type="dcterms:W3CDTF">2025-05-02T10:32:00Z</dcterms:modified>
</cp:coreProperties>
</file>