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8F5BD" w14:textId="69C5C2D0" w:rsidR="000C2AE8" w:rsidRDefault="00BE32B1" w:rsidP="00735898">
      <w:pPr>
        <w:pStyle w:val="Heading1"/>
        <w:spacing w:before="0"/>
        <w:jc w:val="center"/>
      </w:pPr>
      <w:r>
        <w:t xml:space="preserve">Writing exercise </w:t>
      </w:r>
      <w:r w:rsidR="00790BC8">
        <w:t>S</w:t>
      </w:r>
      <w:r w:rsidR="00735898">
        <w:t>10</w:t>
      </w:r>
      <w:r>
        <w:t xml:space="preserve">: </w:t>
      </w:r>
      <w:r w:rsidR="00735898">
        <w:t>Abstracts</w:t>
      </w:r>
    </w:p>
    <w:p w14:paraId="673E1915" w14:textId="72A83370" w:rsidR="00BE32B1" w:rsidRDefault="00BE32B1" w:rsidP="00BE32B1">
      <w:pPr>
        <w:pStyle w:val="Heading2"/>
        <w:jc w:val="center"/>
      </w:pPr>
      <w:r>
        <w:t>Dr. Morgan Feeney, AY 2024-25</w:t>
      </w:r>
    </w:p>
    <w:p w14:paraId="5E80672A" w14:textId="77777777" w:rsidR="00A178D2" w:rsidRDefault="00A178D2" w:rsidP="00BE32B1"/>
    <w:p w14:paraId="3EE939E5" w14:textId="77777777" w:rsidR="001844C6" w:rsidRDefault="00A178D2" w:rsidP="00BE32B1">
      <w:r>
        <w:t xml:space="preserve">You can think of the abstract as a “paper in miniature” – in </w:t>
      </w:r>
      <w:r w:rsidR="00644951">
        <w:t>a few</w:t>
      </w:r>
      <w:r>
        <w:t xml:space="preserve"> sentences each, it should encapsulate the </w:t>
      </w:r>
      <w:r w:rsidR="00220A6F">
        <w:t xml:space="preserve">introduction, methods, results, and discussion/significance. </w:t>
      </w:r>
      <w:r w:rsidR="00D46C63">
        <w:t>(The methods are sometimes left implicit, or</w:t>
      </w:r>
      <w:r w:rsidR="00DA3F1E">
        <w:t xml:space="preserve"> described at a very high level (e.g., “Structural and biochemical analyses” in the example below.)</w:t>
      </w:r>
      <w:r w:rsidR="00D46C63">
        <w:t xml:space="preserve"> </w:t>
      </w:r>
    </w:p>
    <w:p w14:paraId="1E59D2C1" w14:textId="6AF45639" w:rsidR="00BE32B1" w:rsidRDefault="001844C6" w:rsidP="00BE32B1">
      <w:r>
        <w:t xml:space="preserve">Overall, </w:t>
      </w:r>
      <w:r w:rsidR="00220A6F">
        <w:t>t</w:t>
      </w:r>
      <w:r>
        <w:t>he abstract</w:t>
      </w:r>
      <w:r w:rsidR="00220A6F">
        <w:t xml:space="preserve"> should be extremely concise, precise, and focused. </w:t>
      </w:r>
      <w:r w:rsidR="001F0B4B">
        <w:t xml:space="preserve">It should give an enticing description of the paper (so that the reader will want to read it to learn more). </w:t>
      </w:r>
      <w:r w:rsidR="003413FE">
        <w:t xml:space="preserve">It should also be pitched at the correct level </w:t>
      </w:r>
      <w:r w:rsidR="006F10B6">
        <w:t>so that the reader can understand it (this may depend somewhat on the journal/intended audience for the paper, or in your case, whether you are writing a lay or technical abstract.)</w:t>
      </w:r>
    </w:p>
    <w:p w14:paraId="62EC61DB" w14:textId="25C07CA5" w:rsidR="007C7168" w:rsidRDefault="00405340" w:rsidP="00E82F44">
      <w:pPr>
        <w:tabs>
          <w:tab w:val="left" w:pos="920"/>
        </w:tabs>
      </w:pPr>
      <w:r>
        <w:t xml:space="preserve">(Tip: when it comes to the lay and technical abstracts, many students </w:t>
      </w:r>
      <w:r w:rsidR="008813CE">
        <w:t xml:space="preserve">seem to write their technical abstract, and then edit it to remove anything that they perceive as technical language, to generate their lay abstract. A better approach is to start the lay abstract with a fresh slate: think of what </w:t>
      </w:r>
      <w:r w:rsidR="00335FCD">
        <w:t>a non-scientist audience needs to know to understand your work, and begin writing/explaining from there.)</w:t>
      </w:r>
    </w:p>
    <w:p w14:paraId="4DCF5EA8" w14:textId="77777777" w:rsidR="00335FCD" w:rsidRDefault="00335FCD" w:rsidP="00E82F44">
      <w:pPr>
        <w:tabs>
          <w:tab w:val="left" w:pos="920"/>
        </w:tabs>
      </w:pPr>
    </w:p>
    <w:p w14:paraId="6127A309" w14:textId="12E517B2" w:rsidR="00E82F44" w:rsidRDefault="00E82F44" w:rsidP="00E82F44">
      <w:pPr>
        <w:tabs>
          <w:tab w:val="left" w:pos="920"/>
        </w:tabs>
      </w:pPr>
      <w:r>
        <w:t>Example</w:t>
      </w:r>
      <w:r w:rsidR="00335FCD">
        <w:t xml:space="preserve"> abstract</w:t>
      </w:r>
      <w:r w:rsidRPr="00E82F44">
        <w:rPr>
          <w:vertAlign w:val="superscript"/>
        </w:rPr>
        <w:t>1</w:t>
      </w:r>
      <w:r>
        <w:t xml:space="preserve">: </w:t>
      </w:r>
      <w:r w:rsidR="00A77CDB">
        <w:t xml:space="preserve">(Annotated to indicate </w:t>
      </w:r>
      <w:r w:rsidR="00A77CDB" w:rsidRPr="00A77CDB">
        <w:rPr>
          <w:highlight w:val="yellow"/>
        </w:rPr>
        <w:t>intro</w:t>
      </w:r>
      <w:r w:rsidR="00A77CDB">
        <w:t xml:space="preserve">, </w:t>
      </w:r>
      <w:r w:rsidR="00A77CDB" w:rsidRPr="00A77CDB">
        <w:rPr>
          <w:highlight w:val="green"/>
        </w:rPr>
        <w:t>methods</w:t>
      </w:r>
      <w:r w:rsidR="00A77CDB">
        <w:t xml:space="preserve">, </w:t>
      </w:r>
      <w:r w:rsidR="00A77CDB" w:rsidRPr="000B3135">
        <w:rPr>
          <w:highlight w:val="cyan"/>
        </w:rPr>
        <w:t>results</w:t>
      </w:r>
      <w:r w:rsidR="00A77CDB">
        <w:t xml:space="preserve">, and </w:t>
      </w:r>
      <w:r w:rsidR="00A77CDB" w:rsidRPr="00D46C63">
        <w:rPr>
          <w:highlight w:val="magenta"/>
        </w:rPr>
        <w:t>discussion/significance</w:t>
      </w:r>
      <w:r w:rsidR="00A77CDB">
        <w:t>).</w:t>
      </w:r>
    </w:p>
    <w:p w14:paraId="09B8EC17" w14:textId="681E56DF" w:rsidR="007C7168" w:rsidRDefault="005456C0" w:rsidP="00BE32B1">
      <w:r w:rsidRPr="007A08B1">
        <w:rPr>
          <w:highlight w:val="yellow"/>
        </w:rPr>
        <w:t>The cyclic dinucleotide c-di-GMP is a signaling molecule with diverse functions in cellular physiology.</w:t>
      </w:r>
      <w:r w:rsidRPr="005456C0">
        <w:t xml:space="preserve"> </w:t>
      </w:r>
      <w:r w:rsidRPr="007A08B1">
        <w:rPr>
          <w:highlight w:val="cyan"/>
        </w:rPr>
        <w:t>Here, we report that c-di-GMP can assemble into a tetramer that mediates the effective dimerization of a transcription factor, BldD, which controls the progression of multicellular differentiation in sporulating actinomycete bacteria. BldD represses expression of sporulation genes during vegetative growth in a manner that depends on c-di-GMP-mediated dimerization</w:t>
      </w:r>
      <w:r w:rsidRPr="005456C0">
        <w:t xml:space="preserve">. </w:t>
      </w:r>
      <w:r w:rsidRPr="00D46C63">
        <w:rPr>
          <w:highlight w:val="green"/>
        </w:rPr>
        <w:t>Structural and biochemical analyses</w:t>
      </w:r>
      <w:r w:rsidRPr="005456C0">
        <w:t xml:space="preserve"> </w:t>
      </w:r>
      <w:r w:rsidRPr="00D46C63">
        <w:rPr>
          <w:highlight w:val="cyan"/>
        </w:rPr>
        <w:t>show that tetrameric c-di-GMP links two subunits of BldD through their C-terminal domains, which are otherwise separated by ~10 Å and thus cannot effect dimerization directly. Binding of the c-di-GMP tetramer by BldD is selective and requires a bipartite RXD-X8-RXXD signature.</w:t>
      </w:r>
      <w:r w:rsidRPr="005456C0">
        <w:t xml:space="preserve"> </w:t>
      </w:r>
      <w:r w:rsidRPr="00D46C63">
        <w:rPr>
          <w:highlight w:val="magenta"/>
        </w:rPr>
        <w:t>The findings indicate a unique mechanism of protein dimerization and the ability of nucleotide signaling molecules to assume alternative oligomeric states to effect different functions.</w:t>
      </w:r>
    </w:p>
    <w:p w14:paraId="778B693F" w14:textId="77777777" w:rsidR="00335FCD" w:rsidRDefault="00335FCD" w:rsidP="00BE32B1">
      <w:pPr>
        <w:pStyle w:val="Heading3"/>
        <w:rPr>
          <w:u w:val="single"/>
        </w:rPr>
      </w:pPr>
    </w:p>
    <w:p w14:paraId="63294DDE" w14:textId="77777777" w:rsidR="00335FCD" w:rsidRDefault="00335FCD" w:rsidP="00BE32B1">
      <w:pPr>
        <w:pStyle w:val="Heading3"/>
        <w:rPr>
          <w:u w:val="single"/>
        </w:rPr>
      </w:pPr>
    </w:p>
    <w:p w14:paraId="7BA81DCA" w14:textId="3A517CB0" w:rsidR="00BE32B1" w:rsidRPr="00CF5FD8" w:rsidRDefault="00B82D0F" w:rsidP="00BE32B1">
      <w:pPr>
        <w:pStyle w:val="Heading3"/>
        <w:rPr>
          <w:u w:val="single"/>
        </w:rPr>
      </w:pPr>
      <w:r w:rsidRPr="00CF5FD8">
        <w:rPr>
          <w:u w:val="single"/>
        </w:rPr>
        <w:t>Exercise A.</w:t>
      </w:r>
    </w:p>
    <w:p w14:paraId="50C47158" w14:textId="77777777" w:rsidR="00023D73" w:rsidRDefault="00956966" w:rsidP="00023D73">
      <w:r>
        <w:t>Read through each of the following abstracts</w:t>
      </w:r>
      <w:r w:rsidR="00023D73">
        <w:t>. For each, ask yourself:</w:t>
      </w:r>
    </w:p>
    <w:p w14:paraId="6E687FE3" w14:textId="77777777" w:rsidR="00023D73" w:rsidRDefault="00023D73" w:rsidP="00183D4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183D4F">
        <w:rPr>
          <w:rFonts w:ascii="Arial" w:hAnsi="Arial" w:cs="Arial"/>
        </w:rPr>
        <w:t>Can you identify which parts of the abstract describe introduction, methods, results, and discussion/significance?</w:t>
      </w:r>
    </w:p>
    <w:p w14:paraId="004DE82A" w14:textId="77777777" w:rsidR="00183D4F" w:rsidRPr="00183D4F" w:rsidRDefault="00183D4F" w:rsidP="00183D4F">
      <w:pPr>
        <w:pStyle w:val="ListParagraph"/>
        <w:rPr>
          <w:rFonts w:ascii="Arial" w:hAnsi="Arial" w:cs="Arial"/>
        </w:rPr>
      </w:pPr>
    </w:p>
    <w:p w14:paraId="48F72DCD" w14:textId="0CA6136F" w:rsidR="0087701C" w:rsidRDefault="00D32438" w:rsidP="00183D4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183D4F">
        <w:rPr>
          <w:rFonts w:ascii="Arial" w:hAnsi="Arial" w:cs="Arial"/>
        </w:rPr>
        <w:t xml:space="preserve">Is the level of detail appropriate and helpful for the reader? </w:t>
      </w:r>
    </w:p>
    <w:p w14:paraId="19D7E743" w14:textId="77777777" w:rsidR="00183D4F" w:rsidRPr="00183D4F" w:rsidRDefault="00183D4F" w:rsidP="00183D4F">
      <w:pPr>
        <w:pStyle w:val="ListParagraph"/>
        <w:rPr>
          <w:rFonts w:ascii="Arial" w:hAnsi="Arial" w:cs="Arial"/>
        </w:rPr>
      </w:pPr>
    </w:p>
    <w:p w14:paraId="668A052D" w14:textId="17BB6995" w:rsidR="00A238ED" w:rsidRDefault="00183D4F" w:rsidP="00183D4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183D4F">
        <w:rPr>
          <w:rFonts w:ascii="Arial" w:hAnsi="Arial" w:cs="Arial"/>
        </w:rPr>
        <w:t>How</w:t>
      </w:r>
      <w:r>
        <w:rPr>
          <w:rFonts w:ascii="Arial" w:hAnsi="Arial" w:cs="Arial"/>
        </w:rPr>
        <w:t xml:space="preserve"> could the abstract be improved? </w:t>
      </w:r>
    </w:p>
    <w:p w14:paraId="7EFC8EB4" w14:textId="77777777" w:rsidR="00183D4F" w:rsidRPr="00183D4F" w:rsidRDefault="00183D4F" w:rsidP="00183D4F">
      <w:pPr>
        <w:pStyle w:val="ListParagraph"/>
        <w:rPr>
          <w:rFonts w:ascii="Arial" w:hAnsi="Arial" w:cs="Arial"/>
        </w:rPr>
      </w:pPr>
    </w:p>
    <w:p w14:paraId="7334D1D5" w14:textId="77777777" w:rsidR="00335FCD" w:rsidRDefault="00335FCD" w:rsidP="00AE402D"/>
    <w:p w14:paraId="03EB429C" w14:textId="77777777" w:rsidR="00335FCD" w:rsidRDefault="00335FCD" w:rsidP="00AE402D"/>
    <w:p w14:paraId="51BC4ED1" w14:textId="77777777" w:rsidR="00335FCD" w:rsidRDefault="00335FCD" w:rsidP="00AE402D"/>
    <w:p w14:paraId="6B6360C1" w14:textId="77777777" w:rsidR="00335FCD" w:rsidRDefault="00335FCD" w:rsidP="00AE402D"/>
    <w:p w14:paraId="24B0995D" w14:textId="77777777" w:rsidR="00335FCD" w:rsidRDefault="00335FCD" w:rsidP="00AE402D"/>
    <w:p w14:paraId="7C4D7AFA" w14:textId="7935EC21" w:rsidR="00AE402D" w:rsidRDefault="00C364F0" w:rsidP="00AE402D">
      <w:r>
        <w:lastRenderedPageBreak/>
        <w:t>Example 1</w:t>
      </w:r>
      <w:r w:rsidR="00956966" w:rsidRPr="00956966">
        <w:rPr>
          <w:vertAlign w:val="superscript"/>
        </w:rPr>
        <w:t>2</w:t>
      </w:r>
      <w:r>
        <w:t xml:space="preserve">. </w:t>
      </w:r>
    </w:p>
    <w:p w14:paraId="4D440DB8" w14:textId="1716F995" w:rsidR="00AE402D" w:rsidRDefault="00AE402D" w:rsidP="00AE402D">
      <w:r w:rsidRPr="00AE402D">
        <w:t>Bacterial RNA polymerase (RNAP) is a multisubunit enzyme that copies DNA into RNA in a process known as transcription. Bacteria use σ factors to recruit RNAP to promoter regions of genes that need to be transcribed, with 60% bacteria containing at least one specialized σ factor, σ</w:t>
      </w:r>
      <w:r w:rsidRPr="00AE402D">
        <w:rPr>
          <w:vertAlign w:val="superscript"/>
        </w:rPr>
        <w:t>54</w:t>
      </w:r>
      <w:r w:rsidRPr="00AE402D">
        <w:t>. σ</w:t>
      </w:r>
      <w:r w:rsidRPr="00AE402D">
        <w:rPr>
          <w:vertAlign w:val="superscript"/>
        </w:rPr>
        <w:t>54</w:t>
      </w:r>
      <w:r w:rsidRPr="00AE402D">
        <w:t> recruits RNAP to promoters of genes associated with stress responses and forms a stable closed complex that does not spontaneously isomerize to the open state where promoter DNA is melted out and competent for transcription. The σ</w:t>
      </w:r>
      <w:r w:rsidRPr="00AE402D">
        <w:rPr>
          <w:vertAlign w:val="superscript"/>
        </w:rPr>
        <w:t>54</w:t>
      </w:r>
      <w:r w:rsidRPr="00AE402D">
        <w:t>-mediated open complex formation requires specific AAA+ proteins (ATPases Associated with diverse cellular Activities) known as bacterial enhancer-binding proteins (bEBPs). We have now obtained structures of new intermediate states of bEBP-bound complexes during transcription initiation, which elucidate the mechanism of DNA melting driven by ATPase activity of bEBPs and suggest a mechanistic model that couples the Adenosine triphosphate (ATP) hydrolysis cycle within the bEBP hexamer with σ</w:t>
      </w:r>
      <w:r w:rsidRPr="00AE402D">
        <w:rPr>
          <w:vertAlign w:val="superscript"/>
        </w:rPr>
        <w:t>54</w:t>
      </w:r>
      <w:r w:rsidRPr="00AE402D">
        <w:t> unfolding. Our data reveal that bEBP forms a nonplanar hexamer with the hydrolysis-ready subunit located at the furthest/highest point of the spiral hexamer relative to the RNAP. ATP hydrolysis induces conformational changes in bEBP that drives a vectoral transiting of the regulatory N terminus of σ</w:t>
      </w:r>
      <w:r w:rsidRPr="00AE402D">
        <w:rPr>
          <w:vertAlign w:val="superscript"/>
        </w:rPr>
        <w:t>54</w:t>
      </w:r>
      <w:r w:rsidRPr="00AE402D">
        <w:t> into the bEBP hexamer central pore causing the partial unfolding of σ</w:t>
      </w:r>
      <w:r w:rsidRPr="00AE402D">
        <w:rPr>
          <w:vertAlign w:val="superscript"/>
        </w:rPr>
        <w:t>54</w:t>
      </w:r>
      <w:r w:rsidRPr="00AE402D">
        <w:t>, while forming specific bEBP contacts with promoter DNA. Furthermore, our data suggest a mechanism of the bEBP AAA+ protein that is distinct from the hand-over-hand mechanism proposed for many other AAA+ proteins, highlighting the versatile mechanisms utilized by the large protein family.</w:t>
      </w:r>
    </w:p>
    <w:p w14:paraId="51E07FEA" w14:textId="77777777" w:rsidR="00AE402D" w:rsidRDefault="00AE402D" w:rsidP="00AE402D"/>
    <w:p w14:paraId="23889783" w14:textId="3BD42040" w:rsidR="00FE1B11" w:rsidRDefault="00FE1B11" w:rsidP="00AE402D">
      <w:r>
        <w:t>Example 2</w:t>
      </w:r>
      <w:r w:rsidR="00956966" w:rsidRPr="00956966">
        <w:rPr>
          <w:vertAlign w:val="superscript"/>
        </w:rPr>
        <w:t>3</w:t>
      </w:r>
      <w:r>
        <w:t xml:space="preserve">. </w:t>
      </w:r>
    </w:p>
    <w:p w14:paraId="1B8F68C9" w14:textId="77777777" w:rsidR="00FE1B11" w:rsidRPr="00FE1B11" w:rsidRDefault="00FE1B11" w:rsidP="00FE1B11">
      <w:r w:rsidRPr="00FE1B11">
        <w:rPr>
          <w:b/>
          <w:bCs/>
        </w:rPr>
        <w:t>Introduction: </w:t>
      </w:r>
      <w:r w:rsidRPr="00FE1B11">
        <w:t>The </w:t>
      </w:r>
      <w:r w:rsidRPr="00FE1B11">
        <w:rPr>
          <w:i/>
          <w:iCs/>
        </w:rPr>
        <w:t>rpoE-chrR</w:t>
      </w:r>
      <w:r w:rsidRPr="00FE1B11">
        <w:t> pair is a regulatory system used by photosynthetic microorganisms to overcome singlet oxygen stress. </w:t>
      </w:r>
      <w:r w:rsidRPr="00FE1B11">
        <w:rPr>
          <w:i/>
          <w:iCs/>
        </w:rPr>
        <w:t>rpoE</w:t>
      </w:r>
      <w:r w:rsidRPr="00FE1B11">
        <w:t> and </w:t>
      </w:r>
      <w:r w:rsidRPr="00FE1B11">
        <w:rPr>
          <w:i/>
          <w:iCs/>
        </w:rPr>
        <w:t>chrR</w:t>
      </w:r>
      <w:r w:rsidRPr="00FE1B11">
        <w:t> encode the sigma factor σ</w:t>
      </w:r>
      <w:r w:rsidRPr="00FE1B11">
        <w:rPr>
          <w:vertAlign w:val="superscript"/>
        </w:rPr>
        <w:t>E</w:t>
      </w:r>
      <w:r w:rsidRPr="00FE1B11">
        <w:t> and anti-sigma factor ChrR, respectively. Stenotrophomonas maltophilia, an opportunistic pathogen, is a multidrug-resistant gram-negative bacterium. Although it is not a photosynthetic microorganism, a </w:t>
      </w:r>
      <w:r w:rsidRPr="00FE1B11">
        <w:rPr>
          <w:i/>
          <w:iCs/>
        </w:rPr>
        <w:t>rpoE-chrR</w:t>
      </w:r>
      <w:r w:rsidRPr="00FE1B11">
        <w:t> homolog (</w:t>
      </w:r>
      <w:r w:rsidRPr="00FE1B11">
        <w:rPr>
          <w:i/>
          <w:iCs/>
        </w:rPr>
        <w:t>smlt2377-smlt2378</w:t>
      </w:r>
      <w:r w:rsidRPr="00FE1B11">
        <w:t>) was found in the </w:t>
      </w:r>
      <w:r w:rsidRPr="00FE1B11">
        <w:rPr>
          <w:i/>
          <w:iCs/>
        </w:rPr>
        <w:t>S. maltophilia</w:t>
      </w:r>
      <w:r w:rsidRPr="00FE1B11">
        <w:t> genome. In this study, we aimed to assess the significance of σ</w:t>
      </w:r>
      <w:r w:rsidRPr="00FE1B11">
        <w:rPr>
          <w:vertAlign w:val="superscript"/>
        </w:rPr>
        <w:t>Ec</w:t>
      </w:r>
      <w:r w:rsidRPr="00FE1B11">
        <w:t>-ChrR pair in oxidative stress alleviation and antibiotic susceptibility of </w:t>
      </w:r>
      <w:r w:rsidRPr="00FE1B11">
        <w:rPr>
          <w:i/>
          <w:iCs/>
        </w:rPr>
        <w:t>S. maltophilia</w:t>
      </w:r>
      <w:r w:rsidRPr="00FE1B11">
        <w:t> KJ.</w:t>
      </w:r>
    </w:p>
    <w:p w14:paraId="67B3A2CF" w14:textId="77777777" w:rsidR="00FE1B11" w:rsidRPr="00FE1B11" w:rsidRDefault="00FE1B11" w:rsidP="00FE1B11">
      <w:r w:rsidRPr="00FE1B11">
        <w:rPr>
          <w:b/>
          <w:bCs/>
        </w:rPr>
        <w:t>Methods: </w:t>
      </w:r>
      <w:r w:rsidRPr="00FE1B11">
        <w:t>Reverse transcription-polymerase chain reaction was used to validate the presence of operon. The contribution of </w:t>
      </w:r>
      <w:r w:rsidRPr="00FE1B11">
        <w:rPr>
          <w:i/>
          <w:iCs/>
        </w:rPr>
        <w:t>rpoEc-chrR-chrA</w:t>
      </w:r>
      <w:r w:rsidRPr="00FE1B11">
        <w:t> operon to oxidative stress alleviation and antibiotic susceptibility was evaluated using mutant constructs and stress-tolerance assays. RNA-seq transcriptome assay of wild-type KJ, KJΔChrR (</w:t>
      </w:r>
      <w:r w:rsidRPr="00FE1B11">
        <w:rPr>
          <w:i/>
          <w:iCs/>
        </w:rPr>
        <w:t>chrR</w:t>
      </w:r>
      <w:r w:rsidRPr="00FE1B11">
        <w:t> mutant), and KJΔChrRΔRpoEc (</w:t>
      </w:r>
      <w:r w:rsidRPr="00FE1B11">
        <w:rPr>
          <w:i/>
          <w:iCs/>
        </w:rPr>
        <w:t>chrR/rpoEc</w:t>
      </w:r>
      <w:r w:rsidRPr="00FE1B11">
        <w:t> double mutant) was performed to reveal the σ</w:t>
      </w:r>
      <w:r w:rsidRPr="00FE1B11">
        <w:rPr>
          <w:vertAlign w:val="superscript"/>
        </w:rPr>
        <w:t>Ec</w:t>
      </w:r>
      <w:r w:rsidRPr="00FE1B11">
        <w:t> regulon.</w:t>
      </w:r>
    </w:p>
    <w:p w14:paraId="7179DD73" w14:textId="77777777" w:rsidR="00FE1B11" w:rsidRPr="00FE1B11" w:rsidRDefault="00FE1B11" w:rsidP="00FE1B11">
      <w:r w:rsidRPr="00FE1B11">
        <w:rPr>
          <w:b/>
          <w:bCs/>
        </w:rPr>
        <w:t>Results: </w:t>
      </w:r>
      <w:r w:rsidRPr="00FE1B11">
        <w:t>The </w:t>
      </w:r>
      <w:r w:rsidRPr="00FE1B11">
        <w:rPr>
          <w:i/>
          <w:iCs/>
        </w:rPr>
        <w:t>rpoEc-chrR</w:t>
      </w:r>
      <w:r w:rsidRPr="00FE1B11">
        <w:t> pair and downstream chrA formed an operon. Inactivation of </w:t>
      </w:r>
      <w:r w:rsidRPr="00FE1B11">
        <w:rPr>
          <w:i/>
          <w:iCs/>
        </w:rPr>
        <w:t>chrR</w:t>
      </w:r>
      <w:r w:rsidRPr="00FE1B11">
        <w:t> upregulated the expression of </w:t>
      </w:r>
      <w:r w:rsidRPr="00FE1B11">
        <w:rPr>
          <w:i/>
          <w:iCs/>
        </w:rPr>
        <w:t>rpoEc-chrR-chrA</w:t>
      </w:r>
      <w:r w:rsidRPr="00FE1B11">
        <w:t> operon in an σ</w:t>
      </w:r>
      <w:r w:rsidRPr="00FE1B11">
        <w:rPr>
          <w:vertAlign w:val="superscript"/>
        </w:rPr>
        <w:t>Ec</w:t>
      </w:r>
      <w:r w:rsidRPr="00FE1B11">
        <w:t>- and ChrA-dependent manner. σ</w:t>
      </w:r>
      <w:r w:rsidRPr="00FE1B11">
        <w:rPr>
          <w:vertAlign w:val="superscript"/>
        </w:rPr>
        <w:t>Ec</w:t>
      </w:r>
      <w:r w:rsidRPr="00FE1B11">
        <w:t> activation contributed to superoxide tolerance and increased β-lactam susceptibility but did not affect the tolerance to singlet oxygen and hydrogen peroxide. Transcriptome analysis revealed that expression of the nine-gene cluster, </w:t>
      </w:r>
      <w:r w:rsidRPr="00FE1B11">
        <w:rPr>
          <w:i/>
          <w:iCs/>
        </w:rPr>
        <w:t>smlt2375-smlt2367</w:t>
      </w:r>
      <w:r w:rsidRPr="00FE1B11">
        <w:t>, was significantly upregulated in KJΔChrR and reverted to the wild-type level in KJΔChrRΔRpoEc. </w:t>
      </w:r>
      <w:r w:rsidRPr="00FE1B11">
        <w:rPr>
          <w:i/>
          <w:iCs/>
        </w:rPr>
        <w:t>smlt2375-smlt2367</w:t>
      </w:r>
      <w:r w:rsidRPr="00FE1B11">
        <w:t> cluster was located upstream of the </w:t>
      </w:r>
      <w:r w:rsidRPr="00FE1B11">
        <w:rPr>
          <w:i/>
          <w:iCs/>
        </w:rPr>
        <w:t>rpoEc-chrR-chrA</w:t>
      </w:r>
      <w:r w:rsidRPr="00FE1B11">
        <w:t> operon and divergently transcribed, seeming to be involved in membrane lipid modification. Deletion of </w:t>
      </w:r>
      <w:r w:rsidRPr="00FE1B11">
        <w:rPr>
          <w:i/>
          <w:iCs/>
        </w:rPr>
        <w:t>smlt2375-smlt2367</w:t>
      </w:r>
      <w:r w:rsidRPr="00FE1B11">
        <w:t> cluster from the chromosome of KJΔChrR reverted the superoxide tolerance and β-lactam susceptibility to the wild-type level.</w:t>
      </w:r>
    </w:p>
    <w:p w14:paraId="6B318773" w14:textId="77777777" w:rsidR="00FE1B11" w:rsidRPr="00FE1B11" w:rsidRDefault="00FE1B11" w:rsidP="00FE1B11">
      <w:r w:rsidRPr="00FE1B11">
        <w:rPr>
          <w:b/>
          <w:bCs/>
        </w:rPr>
        <w:t>Discussion: </w:t>
      </w:r>
      <w:r w:rsidRPr="00FE1B11">
        <w:t>The </w:t>
      </w:r>
      <w:r w:rsidRPr="00FE1B11">
        <w:rPr>
          <w:i/>
          <w:iCs/>
        </w:rPr>
        <w:t>rpoEc-chrR</w:t>
      </w:r>
      <w:r w:rsidRPr="00FE1B11">
        <w:t> pair of </w:t>
      </w:r>
      <w:r w:rsidRPr="00FE1B11">
        <w:rPr>
          <w:i/>
          <w:iCs/>
        </w:rPr>
        <w:t>S. maltophilia</w:t>
      </w:r>
      <w:r w:rsidRPr="00FE1B11">
        <w:t> was involved in superoxide tolerance and β-lactam susceptibility. Notably, a novel regulatory circuit involving </w:t>
      </w:r>
      <w:r w:rsidRPr="00FE1B11">
        <w:rPr>
          <w:i/>
          <w:iCs/>
        </w:rPr>
        <w:t>rpoEc-chrR-chrA</w:t>
      </w:r>
      <w:r w:rsidRPr="00FE1B11">
        <w:t> operon and </w:t>
      </w:r>
      <w:r w:rsidRPr="00FE1B11">
        <w:rPr>
          <w:i/>
          <w:iCs/>
        </w:rPr>
        <w:t>smlt2375-smlt2367</w:t>
      </w:r>
      <w:r w:rsidRPr="00FE1B11">
        <w:t> cluster was revealed.</w:t>
      </w:r>
    </w:p>
    <w:p w14:paraId="2BEEADC7" w14:textId="77777777" w:rsidR="00FE1B11" w:rsidRDefault="00FE1B11" w:rsidP="00AE402D"/>
    <w:p w14:paraId="6112E719" w14:textId="53E61835" w:rsidR="00AE402D" w:rsidRDefault="00025DAE" w:rsidP="00AE402D">
      <w:r>
        <w:lastRenderedPageBreak/>
        <w:t>Example 3</w:t>
      </w:r>
      <w:r w:rsidR="00956966" w:rsidRPr="00956966">
        <w:rPr>
          <w:vertAlign w:val="superscript"/>
        </w:rPr>
        <w:t>4</w:t>
      </w:r>
      <w:r>
        <w:t xml:space="preserve">. </w:t>
      </w:r>
    </w:p>
    <w:p w14:paraId="2DC7679C" w14:textId="18B85A6D" w:rsidR="00025DAE" w:rsidRDefault="00025DAE" w:rsidP="00AE402D">
      <w:r w:rsidRPr="00025DAE">
        <w:t>In </w:t>
      </w:r>
      <w:r w:rsidRPr="00025DAE">
        <w:rPr>
          <w:i/>
          <w:iCs/>
        </w:rPr>
        <w:t>Xanthomonas axonopodis</w:t>
      </w:r>
      <w:r w:rsidRPr="00025DAE">
        <w:t> pv. </w:t>
      </w:r>
      <w:r w:rsidRPr="00025DAE">
        <w:rPr>
          <w:i/>
          <w:iCs/>
        </w:rPr>
        <w:t>glycines</w:t>
      </w:r>
      <w:r w:rsidRPr="00025DAE">
        <w:t> (</w:t>
      </w:r>
      <w:r w:rsidRPr="00025DAE">
        <w:rPr>
          <w:i/>
          <w:iCs/>
        </w:rPr>
        <w:t>Xag</w:t>
      </w:r>
      <w:r w:rsidRPr="00025DAE">
        <w:t>), </w:t>
      </w:r>
      <w:r w:rsidRPr="00025DAE">
        <w:rPr>
          <w:i/>
          <w:iCs/>
        </w:rPr>
        <w:t>rpoE</w:t>
      </w:r>
      <w:r w:rsidRPr="00025DAE">
        <w:t> (encoding </w:t>
      </w:r>
      <w:r w:rsidRPr="00025DAE">
        <w:rPr>
          <w:i/>
          <w:iCs/>
        </w:rPr>
        <w:t>σ</w:t>
      </w:r>
      <w:r w:rsidRPr="00025DAE">
        <w:rPr>
          <w:vertAlign w:val="superscript"/>
        </w:rPr>
        <w:t>E</w:t>
      </w:r>
      <w:r w:rsidRPr="00025DAE">
        <w:t>) resided within the conserved </w:t>
      </w:r>
      <w:r w:rsidRPr="00025DAE">
        <w:rPr>
          <w:i/>
          <w:iCs/>
        </w:rPr>
        <w:t>rseA</w:t>
      </w:r>
      <w:r w:rsidRPr="00025DAE">
        <w:t>-</w:t>
      </w:r>
      <w:r w:rsidRPr="00025DAE">
        <w:rPr>
          <w:i/>
          <w:iCs/>
        </w:rPr>
        <w:t>mucD</w:t>
      </w:r>
      <w:r w:rsidRPr="00025DAE">
        <w:t> operon but was dually repressed by DSF signaling and the global regulator Clp. Although H</w:t>
      </w:r>
      <w:r w:rsidRPr="00025DAE">
        <w:rPr>
          <w:vertAlign w:val="subscript"/>
        </w:rPr>
        <w:t>2</w:t>
      </w:r>
      <w:r w:rsidRPr="00025DAE">
        <w:t>O</w:t>
      </w:r>
      <w:r w:rsidRPr="00025DAE">
        <w:rPr>
          <w:vertAlign w:val="subscript"/>
        </w:rPr>
        <w:t>2</w:t>
      </w:r>
      <w:r w:rsidRPr="00025DAE">
        <w:t> induced </w:t>
      </w:r>
      <w:r w:rsidRPr="00025DAE">
        <w:rPr>
          <w:i/>
          <w:iCs/>
        </w:rPr>
        <w:t>rpoE</w:t>
      </w:r>
      <w:r w:rsidRPr="00025DAE">
        <w:t> transcription, its expression was paradoxically downregulated by H</w:t>
      </w:r>
      <w:r w:rsidRPr="00025DAE">
        <w:rPr>
          <w:vertAlign w:val="subscript"/>
        </w:rPr>
        <w:t>2</w:t>
      </w:r>
      <w:r w:rsidRPr="00025DAE">
        <w:t>O</w:t>
      </w:r>
      <w:r w:rsidRPr="00025DAE">
        <w:rPr>
          <w:vertAlign w:val="subscript"/>
        </w:rPr>
        <w:t>2</w:t>
      </w:r>
      <w:r w:rsidRPr="00025DAE">
        <w:t>-detoxification genes (</w:t>
      </w:r>
      <w:r w:rsidRPr="00025DAE">
        <w:rPr>
          <w:i/>
          <w:iCs/>
        </w:rPr>
        <w:t>oxyR</w:t>
      </w:r>
      <w:r w:rsidRPr="00025DAE">
        <w:t>, </w:t>
      </w:r>
      <w:r w:rsidRPr="00025DAE">
        <w:rPr>
          <w:i/>
          <w:iCs/>
        </w:rPr>
        <w:t>ahpC</w:t>
      </w:r>
      <w:r w:rsidRPr="00025DAE">
        <w:t>, </w:t>
      </w:r>
      <w:r w:rsidRPr="00025DAE">
        <w:rPr>
          <w:i/>
          <w:iCs/>
        </w:rPr>
        <w:t>ahpF</w:t>
      </w:r>
      <w:r w:rsidRPr="00025DAE">
        <w:t>, </w:t>
      </w:r>
      <w:r w:rsidRPr="00025DAE">
        <w:rPr>
          <w:i/>
          <w:iCs/>
        </w:rPr>
        <w:t>catB</w:t>
      </w:r>
      <w:r w:rsidRPr="00025DAE">
        <w:t>), suggesting a potential feedback loop. Notably, the </w:t>
      </w:r>
      <w:r w:rsidRPr="00025DAE">
        <w:rPr>
          <w:i/>
          <w:iCs/>
        </w:rPr>
        <w:t>rpoE</w:t>
      </w:r>
      <w:r w:rsidRPr="00025DAE">
        <w:t> mutant exhibited attenuated soybean virulence characterized by (1) reduced cell wall-degrading enzymes (CWDEs) production, leading to diminished activation of soybean innate immunity (ROS burst, callose deposition, programmed cell death, and jasmonic acid accumulation); (2) increased H</w:t>
      </w:r>
      <w:r w:rsidRPr="00025DAE">
        <w:rPr>
          <w:vertAlign w:val="subscript"/>
        </w:rPr>
        <w:t>2</w:t>
      </w:r>
      <w:r w:rsidRPr="00025DAE">
        <w:t>O</w:t>
      </w:r>
      <w:r w:rsidRPr="00025DAE">
        <w:rPr>
          <w:vertAlign w:val="subscript"/>
        </w:rPr>
        <w:t>2</w:t>
      </w:r>
      <w:r w:rsidRPr="00025DAE">
        <w:t> sensitivity with impaired siderophore-mediated iron acquisition; (3) failure to elicit hypersensitive response (HR) in nonhosts. Significantly, </w:t>
      </w:r>
      <w:r w:rsidRPr="00025DAE">
        <w:rPr>
          <w:i/>
          <w:iCs/>
        </w:rPr>
        <w:t>rpoE</w:t>
      </w:r>
      <w:r w:rsidRPr="00025DAE">
        <w:t> complementation fully restored virulence traits. Collectively, RpoE emerges as a central regulator orchestrating oxidative stress adaptation, stealth pathogenesis via CWDEs-mediated immune suppression, and host-specific virulence/HR elicitation in </w:t>
      </w:r>
      <w:r w:rsidRPr="00025DAE">
        <w:rPr>
          <w:i/>
          <w:iCs/>
        </w:rPr>
        <w:t>Xag</w:t>
      </w:r>
      <w:r w:rsidRPr="00025DAE">
        <w:t> through its unique network, redefining sigma factor functionality in xanthomonads and providing targets for disrupting pathogen-host interactions.</w:t>
      </w:r>
    </w:p>
    <w:p w14:paraId="1036CBFF" w14:textId="77777777" w:rsidR="0009749C" w:rsidRDefault="0009749C" w:rsidP="00AE402D"/>
    <w:p w14:paraId="6AE3294F" w14:textId="6A1DE806" w:rsidR="00CF5FD8" w:rsidRPr="00CF5FD8" w:rsidRDefault="00CF5FD8" w:rsidP="00CF5FD8">
      <w:pPr>
        <w:pStyle w:val="Heading3"/>
        <w:rPr>
          <w:u w:val="single"/>
        </w:rPr>
      </w:pPr>
      <w:r>
        <w:rPr>
          <w:u w:val="single"/>
        </w:rPr>
        <w:t>Exercise B</w:t>
      </w:r>
      <w:r w:rsidRPr="00CF5FD8">
        <w:rPr>
          <w:u w:val="single"/>
        </w:rPr>
        <w:t>.</w:t>
      </w:r>
    </w:p>
    <w:p w14:paraId="0AD0FEC8" w14:textId="4F70F6FB" w:rsidR="00783920" w:rsidRDefault="00EE2621" w:rsidP="00CF5FD8">
      <w:r>
        <w:t xml:space="preserve">Draft your own abstract. Think carefully about the level of detail required to describe each section, and the information that a reader needs to know about your thesis. </w:t>
      </w:r>
    </w:p>
    <w:p w14:paraId="23EDD357" w14:textId="3D599203" w:rsidR="00A7571A" w:rsidRDefault="00A7571A" w:rsidP="00CF5FD8">
      <w:r>
        <w:t>Then, edit your draft. Look for opportunities to make it more concise</w:t>
      </w:r>
      <w:r w:rsidR="00F160A3">
        <w:t xml:space="preserve"> (omit unneeded words). Ask a friend or colleague for feedback </w:t>
      </w:r>
      <w:r w:rsidR="00725B34">
        <w:t xml:space="preserve">on whether your abstract </w:t>
      </w:r>
      <w:r w:rsidR="00FD324D">
        <w:t>effectively summarises your project.</w:t>
      </w:r>
    </w:p>
    <w:p w14:paraId="2FB8984F" w14:textId="77777777" w:rsidR="00D12633" w:rsidRDefault="00D12633" w:rsidP="00CF5FD8"/>
    <w:p w14:paraId="1DABD203" w14:textId="09A52CA1" w:rsidR="00783920" w:rsidRDefault="00783920" w:rsidP="00783920">
      <w:pPr>
        <w:pStyle w:val="Heading3"/>
      </w:pPr>
      <w:r>
        <w:t>References</w:t>
      </w:r>
    </w:p>
    <w:p w14:paraId="38756BA9" w14:textId="77777777" w:rsidR="007A08B1" w:rsidRDefault="007A08B1" w:rsidP="00C364F0">
      <w:pPr>
        <w:pStyle w:val="ListParagraph"/>
        <w:numPr>
          <w:ilvl w:val="0"/>
          <w:numId w:val="8"/>
        </w:numPr>
        <w:rPr>
          <w:bCs/>
        </w:rPr>
      </w:pPr>
      <w:r w:rsidRPr="007A08B1">
        <w:rPr>
          <w:bCs/>
        </w:rPr>
        <w:t>Tschowri N, Schumacher MA, Schlimpert S, et al. Tetrameric c-di-GMP mediates effective transcription factor dimerization to control Streptomyces development. </w:t>
      </w:r>
      <w:r w:rsidRPr="007A08B1">
        <w:rPr>
          <w:bCs/>
          <w:i/>
          <w:iCs/>
        </w:rPr>
        <w:t>Cell</w:t>
      </w:r>
      <w:r w:rsidRPr="007A08B1">
        <w:rPr>
          <w:bCs/>
        </w:rPr>
        <w:t>. 2014;158(5):1136-1147. doi:10.1016/j.cell.2014.07.022</w:t>
      </w:r>
    </w:p>
    <w:p w14:paraId="54664A63" w14:textId="76554607" w:rsidR="00956966" w:rsidRDefault="00956966" w:rsidP="00C364F0">
      <w:pPr>
        <w:pStyle w:val="ListParagraph"/>
        <w:numPr>
          <w:ilvl w:val="0"/>
          <w:numId w:val="8"/>
        </w:numPr>
        <w:rPr>
          <w:bCs/>
        </w:rPr>
      </w:pPr>
      <w:r w:rsidRPr="00956966">
        <w:rPr>
          <w:bCs/>
        </w:rPr>
        <w:t>Gao F, Ye F, Buck M, Zhang X. Subunit specialization in AAA+ proteins and substrate unfolding during transcription complex remodeling. </w:t>
      </w:r>
      <w:r w:rsidRPr="00956966">
        <w:rPr>
          <w:bCs/>
          <w:i/>
          <w:iCs/>
        </w:rPr>
        <w:t>Proc Natl Acad Sci U S A</w:t>
      </w:r>
      <w:r w:rsidRPr="00956966">
        <w:rPr>
          <w:bCs/>
        </w:rPr>
        <w:t>. 2025;122(17):e2425868122. doi:10.1073/pnas.2425868122</w:t>
      </w:r>
    </w:p>
    <w:p w14:paraId="4A00BCF7" w14:textId="35BD410D" w:rsidR="00A5396E" w:rsidRDefault="00A5396E" w:rsidP="00C364F0">
      <w:pPr>
        <w:pStyle w:val="ListParagraph"/>
        <w:numPr>
          <w:ilvl w:val="0"/>
          <w:numId w:val="8"/>
        </w:numPr>
        <w:rPr>
          <w:bCs/>
        </w:rPr>
      </w:pPr>
      <w:r w:rsidRPr="00A5396E">
        <w:rPr>
          <w:bCs/>
        </w:rPr>
        <w:t>Ku RH, Lu HF, Li LH, Yeh TY, Lin YT, Yang TC. Roles of the </w:t>
      </w:r>
      <w:r w:rsidRPr="00A5396E">
        <w:rPr>
          <w:bCs/>
          <w:i/>
          <w:iCs/>
        </w:rPr>
        <w:t>rpoEc-chrR-chrA</w:t>
      </w:r>
      <w:r w:rsidRPr="00A5396E">
        <w:rPr>
          <w:bCs/>
        </w:rPr>
        <w:t> operon in superoxide tolerance and β-lactam susceptibility of </w:t>
      </w:r>
      <w:r w:rsidRPr="00A5396E">
        <w:rPr>
          <w:bCs/>
          <w:i/>
          <w:iCs/>
        </w:rPr>
        <w:t>Stenotrophomonas maltophilia</w:t>
      </w:r>
      <w:r w:rsidRPr="00A5396E">
        <w:rPr>
          <w:bCs/>
        </w:rPr>
        <w:t>. </w:t>
      </w:r>
      <w:r w:rsidRPr="00A5396E">
        <w:rPr>
          <w:bCs/>
          <w:i/>
          <w:iCs/>
        </w:rPr>
        <w:t>Front Cell Infect Microbiol</w:t>
      </w:r>
      <w:r w:rsidRPr="00A5396E">
        <w:rPr>
          <w:bCs/>
        </w:rPr>
        <w:t>. 2025;15:1492008. Published 2025 Feb 4. doi:10.3389/fcimb.2025.1492008</w:t>
      </w:r>
    </w:p>
    <w:p w14:paraId="2F5BAD45" w14:textId="7FA74CBA" w:rsidR="0009749C" w:rsidRPr="00C364F0" w:rsidRDefault="0009749C" w:rsidP="00C364F0">
      <w:pPr>
        <w:pStyle w:val="ListParagraph"/>
        <w:numPr>
          <w:ilvl w:val="0"/>
          <w:numId w:val="8"/>
        </w:numPr>
        <w:rPr>
          <w:bCs/>
        </w:rPr>
      </w:pPr>
      <w:r w:rsidRPr="0009749C">
        <w:rPr>
          <w:bCs/>
        </w:rPr>
        <w:t>Geng H, Su R, Tao Y, et al. RpoE Orchestrates Oxidative Stress Adaptation, Virulence, and Dual Plant Immune Modulation in </w:t>
      </w:r>
      <w:r w:rsidRPr="0009749C">
        <w:rPr>
          <w:bCs/>
          <w:i/>
          <w:iCs/>
        </w:rPr>
        <w:t>Xanthomonas axonopodis</w:t>
      </w:r>
      <w:r w:rsidRPr="0009749C">
        <w:rPr>
          <w:bCs/>
        </w:rPr>
        <w:t> pv. </w:t>
      </w:r>
      <w:r w:rsidRPr="0009749C">
        <w:rPr>
          <w:bCs/>
          <w:i/>
          <w:iCs/>
        </w:rPr>
        <w:t>glycines</w:t>
      </w:r>
      <w:r w:rsidRPr="0009749C">
        <w:rPr>
          <w:bCs/>
        </w:rPr>
        <w:t>. </w:t>
      </w:r>
      <w:r w:rsidRPr="0009749C">
        <w:rPr>
          <w:bCs/>
          <w:i/>
          <w:iCs/>
        </w:rPr>
        <w:t>J Agric Food Chem</w:t>
      </w:r>
      <w:r w:rsidRPr="0009749C">
        <w:rPr>
          <w:bCs/>
        </w:rPr>
        <w:t>. Published online April 28, 2025. doi:10.1021/acs.jafc.5c00235</w:t>
      </w:r>
    </w:p>
    <w:sectPr w:rsidR="0009749C" w:rsidRPr="00C364F0" w:rsidSect="00D12633">
      <w:pgSz w:w="11906" w:h="16838"/>
      <w:pgMar w:top="1077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0B8D"/>
    <w:multiLevelType w:val="multilevel"/>
    <w:tmpl w:val="85CEC5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D0BE5"/>
    <w:multiLevelType w:val="hybridMultilevel"/>
    <w:tmpl w:val="EE6419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124F"/>
    <w:multiLevelType w:val="hybridMultilevel"/>
    <w:tmpl w:val="AEB02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77959"/>
    <w:multiLevelType w:val="multilevel"/>
    <w:tmpl w:val="1C9C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44DC8"/>
    <w:multiLevelType w:val="hybridMultilevel"/>
    <w:tmpl w:val="C85265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249CB"/>
    <w:multiLevelType w:val="hybridMultilevel"/>
    <w:tmpl w:val="830AA91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22C48"/>
    <w:multiLevelType w:val="hybridMultilevel"/>
    <w:tmpl w:val="00E8220C"/>
    <w:lvl w:ilvl="0" w:tplc="3C002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FC63B4"/>
    <w:multiLevelType w:val="multilevel"/>
    <w:tmpl w:val="6B46CC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D750A"/>
    <w:multiLevelType w:val="hybridMultilevel"/>
    <w:tmpl w:val="9B082F84"/>
    <w:lvl w:ilvl="0" w:tplc="69766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8878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6217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629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4C34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F694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F4D9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4240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5E1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93401B"/>
    <w:multiLevelType w:val="hybridMultilevel"/>
    <w:tmpl w:val="0436D4BC"/>
    <w:lvl w:ilvl="0" w:tplc="CF50F0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4A7D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5A3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78C0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A8FF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387B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636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A27E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D2D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C5881"/>
    <w:multiLevelType w:val="hybridMultilevel"/>
    <w:tmpl w:val="50646332"/>
    <w:lvl w:ilvl="0" w:tplc="F00E0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2C54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8685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6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E63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A5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BC0B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05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A4C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0E2856"/>
    <w:multiLevelType w:val="hybridMultilevel"/>
    <w:tmpl w:val="11B6F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92056">
    <w:abstractNumId w:val="10"/>
  </w:num>
  <w:num w:numId="2" w16cid:durableId="790439498">
    <w:abstractNumId w:val="8"/>
  </w:num>
  <w:num w:numId="3" w16cid:durableId="1968001991">
    <w:abstractNumId w:val="9"/>
  </w:num>
  <w:num w:numId="4" w16cid:durableId="1419985117">
    <w:abstractNumId w:val="3"/>
  </w:num>
  <w:num w:numId="5" w16cid:durableId="1580405821">
    <w:abstractNumId w:val="7"/>
  </w:num>
  <w:num w:numId="6" w16cid:durableId="591939790">
    <w:abstractNumId w:val="0"/>
  </w:num>
  <w:num w:numId="7" w16cid:durableId="1410497286">
    <w:abstractNumId w:val="2"/>
  </w:num>
  <w:num w:numId="8" w16cid:durableId="1680354971">
    <w:abstractNumId w:val="6"/>
  </w:num>
  <w:num w:numId="9" w16cid:durableId="467480991">
    <w:abstractNumId w:val="4"/>
  </w:num>
  <w:num w:numId="10" w16cid:durableId="1310867696">
    <w:abstractNumId w:val="11"/>
  </w:num>
  <w:num w:numId="11" w16cid:durableId="1716157698">
    <w:abstractNumId w:val="1"/>
  </w:num>
  <w:num w:numId="12" w16cid:durableId="575821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E8"/>
    <w:rsid w:val="00023D73"/>
    <w:rsid w:val="00025DAE"/>
    <w:rsid w:val="0009749C"/>
    <w:rsid w:val="000B3121"/>
    <w:rsid w:val="000B3135"/>
    <w:rsid w:val="000C2AE8"/>
    <w:rsid w:val="001065CA"/>
    <w:rsid w:val="0014014F"/>
    <w:rsid w:val="00183D4F"/>
    <w:rsid w:val="001844C6"/>
    <w:rsid w:val="001F0B4B"/>
    <w:rsid w:val="0021060B"/>
    <w:rsid w:val="00220A6F"/>
    <w:rsid w:val="00220ADB"/>
    <w:rsid w:val="00335FCD"/>
    <w:rsid w:val="003413FE"/>
    <w:rsid w:val="00405340"/>
    <w:rsid w:val="00463C82"/>
    <w:rsid w:val="004F7F2E"/>
    <w:rsid w:val="005456C0"/>
    <w:rsid w:val="00644951"/>
    <w:rsid w:val="006F10B6"/>
    <w:rsid w:val="00725B34"/>
    <w:rsid w:val="00727DD9"/>
    <w:rsid w:val="00735898"/>
    <w:rsid w:val="00783920"/>
    <w:rsid w:val="00790BC8"/>
    <w:rsid w:val="007A08B1"/>
    <w:rsid w:val="007C7168"/>
    <w:rsid w:val="0087701C"/>
    <w:rsid w:val="008813CE"/>
    <w:rsid w:val="00956966"/>
    <w:rsid w:val="009A67E2"/>
    <w:rsid w:val="00A178D2"/>
    <w:rsid w:val="00A238ED"/>
    <w:rsid w:val="00A5396E"/>
    <w:rsid w:val="00A7571A"/>
    <w:rsid w:val="00A77CDB"/>
    <w:rsid w:val="00AE402D"/>
    <w:rsid w:val="00B60DE6"/>
    <w:rsid w:val="00B82D0F"/>
    <w:rsid w:val="00BE32B1"/>
    <w:rsid w:val="00BE7BBE"/>
    <w:rsid w:val="00C00FA4"/>
    <w:rsid w:val="00C256DD"/>
    <w:rsid w:val="00C364F0"/>
    <w:rsid w:val="00CC6858"/>
    <w:rsid w:val="00CF5FD8"/>
    <w:rsid w:val="00D12633"/>
    <w:rsid w:val="00D32438"/>
    <w:rsid w:val="00D46C63"/>
    <w:rsid w:val="00DA3F1E"/>
    <w:rsid w:val="00E82F44"/>
    <w:rsid w:val="00EE2621"/>
    <w:rsid w:val="00F160A3"/>
    <w:rsid w:val="00FD324D"/>
    <w:rsid w:val="00FE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614C"/>
  <w15:chartTrackingRefBased/>
  <w15:docId w15:val="{46D99626-2C07-4A09-8E7E-34AD92DB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AE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AE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E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2B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AE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AE8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AE8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AE8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AE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2AE8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BE32B1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70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0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3C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5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paragraph">
    <w:name w:val="paragraph"/>
    <w:basedOn w:val="Normal"/>
    <w:rsid w:val="0078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783920"/>
  </w:style>
  <w:style w:type="character" w:customStyle="1" w:styleId="eop">
    <w:name w:val="eop"/>
    <w:basedOn w:val="DefaultParagraphFont"/>
    <w:rsid w:val="00783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681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6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3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0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1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74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48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5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15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1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06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58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4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180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33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0D010-8199-4694-B487-128CEE5C2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5694</TotalTime>
  <Pages>3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42</cp:revision>
  <dcterms:created xsi:type="dcterms:W3CDTF">2025-05-01T13:31:00Z</dcterms:created>
  <dcterms:modified xsi:type="dcterms:W3CDTF">2025-05-12T09:04:00Z</dcterms:modified>
</cp:coreProperties>
</file>