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76"/>
      </w:pPr>
      <w:r>
        <w:rPr>
          <w:rFonts w:ascii="Arial" w:cs="Arial" w:eastAsia="Arial" w:hAnsi="Arial"/>
          <w:color w:val="485956"/>
          <w:sz w:val="19"/>
          <w:szCs w:val="19"/>
        </w:rPr>
        <w:t xml:space="preserve">Universidad Católica Luis Amigó · Equipo CoE de Datos · Caso 4: People Analytics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D5C63"/>
          <w:sz w:val="40"/>
          <w:szCs w:val="40"/>
        </w:rPr>
        <w:t xml:space="preserve">Acta de validación del cliente — Sprint Review y demo final</w:t>
      </w:r>
    </w:p>
    <w:p>
      <w:pPr>
        <w:spacing w:after="240" w:line="276"/>
      </w:pPr>
      <w:r>
        <w:rPr>
          <w:rFonts w:ascii="Arial" w:cs="Arial" w:eastAsia="Arial" w:hAnsi="Arial"/>
          <w:color w:val="485956"/>
          <w:sz w:val="22"/>
          <w:szCs w:val="22"/>
        </w:rPr>
        <w:t xml:space="preserve">Radar de permanencia · Formato para diligenciar en la reunión con el cliente</w:t>
      </w:r>
    </w:p>
    <w:p>
      <w:pPr>
        <w:pBdr>
          <w:left w:val="single" w:color="8A5A00" w:sz="18" w:space="6"/>
        </w:pBdr>
        <w:shd w:fill="FFF4D9" w:color="auto" w:val="clear"/>
        <w:spacing w:after="160" w:before="80"/>
        <w:ind w:left="120" w:right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Este formato está en blanco a propósito. </w:t>
      </w:r>
      <w:r>
        <w:rPr>
          <w:rFonts w:ascii="Arial" w:cs="Arial" w:eastAsia="Arial" w:hAnsi="Arial"/>
          <w:sz w:val="19"/>
          <w:szCs w:val="19"/>
        </w:rPr>
        <w:t xml:space="preserve">La validación del cliente solo existe cuando el cliente (en el contexto académico, el profesor) revisa la demo y firma. El equipo no debe diligenciar las decisiones ni las firmas por su cuenta.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480"/>
      </w:tblGrid>
      <w:tr>
        <w:trPr>
          <w:cantSplit/>
          <w:tblHeader/>
        </w:trPr>
        <w:tc>
          <w:tcPr>
            <w:tcW w:type="dxa" w:w="26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1D5C6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748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1D5C6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7"/>
                <w:szCs w:val="17"/>
              </w:rPr>
              <w:t xml:space="preserve">Fecha</w:t>
            </w:r>
          </w:p>
        </w:tc>
        <w:tc>
          <w:tcPr>
            <w:tcW w:type="dxa" w:w="748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7"/>
                <w:szCs w:val="17"/>
              </w:rPr>
              <w:t xml:space="preserve">Lugar o enlace</w:t>
            </w:r>
          </w:p>
        </w:tc>
        <w:tc>
          <w:tcPr>
            <w:tcW w:type="dxa" w:w="748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7"/>
                <w:szCs w:val="17"/>
              </w:rPr>
              <w:t xml:space="preserve">Cliente (nombre y cargo)</w:t>
            </w:r>
          </w:p>
        </w:tc>
        <w:tc>
          <w:tcPr>
            <w:tcW w:type="dxa" w:w="748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7"/>
                <w:szCs w:val="17"/>
              </w:rPr>
              <w:t xml:space="preserve">Equipo presente</w:t>
            </w:r>
          </w:p>
        </w:tc>
        <w:tc>
          <w:tcPr>
            <w:tcW w:type="dxa" w:w="748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7"/>
                <w:szCs w:val="17"/>
              </w:rPr>
              <w:t xml:space="preserve">Versión revisada</w:t>
            </w:r>
          </w:p>
        </w:tc>
        <w:tc>
          <w:tcPr>
            <w:tcW w:type="dxa" w:w="748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7"/>
                <w:szCs w:val="17"/>
              </w:rPr>
              <w:t xml:space="preserve">Prototipo web, proyecto Power BI y documento de cierre del 27-oct-2026</w:t>
            </w:r>
          </w:p>
        </w:tc>
      </w:tr>
    </w:tbl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D5C63"/>
          <w:sz w:val="28"/>
          <w:szCs w:val="28"/>
        </w:rPr>
        <w:t xml:space="preserve">1. Revisión de historias de usuario</w:t>
      </w:r>
    </w:p>
    <w:p>
      <w:pPr>
        <w:spacing w:after="120" w:line="276"/>
      </w:pPr>
      <w:r>
        <w:rPr>
          <w:rFonts w:ascii="Arial" w:cs="Arial" w:eastAsia="Arial" w:hAnsi="Arial"/>
          <w:color w:val="485956"/>
          <w:sz w:val="18"/>
          <w:szCs w:val="18"/>
        </w:rPr>
        <w:t xml:space="preserve">Marque una opción por historia: A = acepta, O = acepta con observaciones, R = rechaza.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800"/>
        <w:gridCol w:w="1100"/>
        <w:gridCol w:w="4280"/>
      </w:tblGrid>
      <w:tr>
        <w:trPr>
          <w:cantSplit/>
          <w:tblHeader/>
        </w:trPr>
        <w:tc>
          <w:tcPr>
            <w:tcW w:type="dxa" w:w="9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1D5C6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HU</w:t>
            </w:r>
          </w:p>
        </w:tc>
        <w:tc>
          <w:tcPr>
            <w:tcW w:type="dxa" w:w="38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1D5C6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Historia</w:t>
            </w:r>
          </w:p>
        </w:tc>
        <w:tc>
          <w:tcPr>
            <w:tcW w:type="dxa" w:w="11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1D5C6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 / O / R</w:t>
            </w:r>
          </w:p>
        </w:tc>
        <w:tc>
          <w:tcPr>
            <w:tcW w:type="dxa" w:w="428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1D5C6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Observaciones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HU-01</w:t>
            </w:r>
          </w:p>
        </w:tc>
        <w:tc>
          <w:tcPr>
            <w:tcW w:type="dxa" w:w="38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Información unificada y confiable</w:t>
            </w:r>
          </w:p>
        </w:tc>
        <w:tc>
          <w:tcPr>
            <w:tcW w:type="dxa" w:w="11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/>
            </w:r>
          </w:p>
        </w:tc>
        <w:tc>
          <w:tcPr>
            <w:tcW w:type="dxa" w:w="428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HU-02</w:t>
            </w:r>
          </w:p>
        </w:tc>
        <w:tc>
          <w:tcPr>
            <w:tcW w:type="dxa" w:w="38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Definición única de renuncia temprana</w:t>
            </w:r>
          </w:p>
        </w:tc>
        <w:tc>
          <w:tcPr>
            <w:tcW w:type="dxa" w:w="11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/>
            </w:r>
          </w:p>
        </w:tc>
        <w:tc>
          <w:tcPr>
            <w:tcW w:type="dxa" w:w="428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HU-03</w:t>
            </w:r>
          </w:p>
        </w:tc>
        <w:tc>
          <w:tcPr>
            <w:tcW w:type="dxa" w:w="38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Evolución de la rotación temprana</w:t>
            </w:r>
          </w:p>
        </w:tc>
        <w:tc>
          <w:tcPr>
            <w:tcW w:type="dxa" w:w="11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/>
            </w:r>
          </w:p>
        </w:tc>
        <w:tc>
          <w:tcPr>
            <w:tcW w:type="dxa" w:w="428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HU-04</w:t>
            </w:r>
          </w:p>
        </w:tc>
        <w:tc>
          <w:tcPr>
            <w:tcW w:type="dxa" w:w="38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Mes crítico de renuncia</w:t>
            </w:r>
          </w:p>
        </w:tc>
        <w:tc>
          <w:tcPr>
            <w:tcW w:type="dxa" w:w="11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/>
            </w:r>
          </w:p>
        </w:tc>
        <w:tc>
          <w:tcPr>
            <w:tcW w:type="dxa" w:w="428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HU-05</w:t>
            </w:r>
          </w:p>
        </w:tc>
        <w:tc>
          <w:tcPr>
            <w:tcW w:type="dxa" w:w="38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Costo de la rotación temprana</w:t>
            </w:r>
          </w:p>
        </w:tc>
        <w:tc>
          <w:tcPr>
            <w:tcW w:type="dxa" w:w="11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/>
            </w:r>
          </w:p>
        </w:tc>
        <w:tc>
          <w:tcPr>
            <w:tcW w:type="dxa" w:w="428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HU-06</w:t>
            </w:r>
          </w:p>
        </w:tc>
        <w:tc>
          <w:tcPr>
            <w:tcW w:type="dxa" w:w="38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Filtrar el dashboard</w:t>
            </w:r>
          </w:p>
        </w:tc>
        <w:tc>
          <w:tcPr>
            <w:tcW w:type="dxa" w:w="11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/>
            </w:r>
          </w:p>
        </w:tc>
        <w:tc>
          <w:tcPr>
            <w:tcW w:type="dxa" w:w="428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HU-07</w:t>
            </w:r>
          </w:p>
        </w:tc>
        <w:tc>
          <w:tcPr>
            <w:tcW w:type="dxa" w:w="38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Retención por supervisor</w:t>
            </w:r>
          </w:p>
        </w:tc>
        <w:tc>
          <w:tcPr>
            <w:tcW w:type="dxa" w:w="11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/>
            </w:r>
          </w:p>
        </w:tc>
        <w:tc>
          <w:tcPr>
            <w:tcW w:type="dxa" w:w="428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HU-08</w:t>
            </w:r>
          </w:p>
        </w:tc>
        <w:tc>
          <w:tcPr>
            <w:tcW w:type="dxa" w:w="38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Pruebas técnicas y permanencia</w:t>
            </w:r>
          </w:p>
        </w:tc>
        <w:tc>
          <w:tcPr>
            <w:tcW w:type="dxa" w:w="11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/>
            </w:r>
          </w:p>
        </w:tc>
        <w:tc>
          <w:tcPr>
            <w:tcW w:type="dxa" w:w="428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HU-09</w:t>
            </w:r>
          </w:p>
        </w:tc>
        <w:tc>
          <w:tcPr>
            <w:tcW w:type="dxa" w:w="38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Perfiles con mayor rotación</w:t>
            </w:r>
          </w:p>
        </w:tc>
        <w:tc>
          <w:tcPr>
            <w:tcW w:type="dxa" w:w="11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/>
            </w:r>
          </w:p>
        </w:tc>
        <w:tc>
          <w:tcPr>
            <w:tcW w:type="dxa" w:w="428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HU-10</w:t>
            </w:r>
          </w:p>
        </w:tc>
        <w:tc>
          <w:tcPr>
            <w:tcW w:type="dxa" w:w="38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Motivos declarados de renuncia</w:t>
            </w:r>
          </w:p>
        </w:tc>
        <w:tc>
          <w:tcPr>
            <w:tcW w:type="dxa" w:w="11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/>
            </w:r>
          </w:p>
        </w:tc>
        <w:tc>
          <w:tcPr>
            <w:tcW w:type="dxa" w:w="428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HU-11</w:t>
            </w:r>
          </w:p>
        </w:tc>
        <w:tc>
          <w:tcPr>
            <w:tcW w:type="dxa" w:w="38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Resumen de causas y recomendaciones</w:t>
            </w:r>
          </w:p>
        </w:tc>
        <w:tc>
          <w:tcPr>
            <w:tcW w:type="dxa" w:w="11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/>
            </w:r>
          </w:p>
        </w:tc>
        <w:tc>
          <w:tcPr>
            <w:tcW w:type="dxa" w:w="428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HU-12</w:t>
            </w:r>
          </w:p>
        </w:tc>
        <w:tc>
          <w:tcPr>
            <w:tcW w:type="dxa" w:w="38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Semáforo de riesgo del candidato</w:t>
            </w:r>
          </w:p>
        </w:tc>
        <w:tc>
          <w:tcPr>
            <w:tcW w:type="dxa" w:w="11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/>
            </w:r>
          </w:p>
        </w:tc>
        <w:tc>
          <w:tcPr>
            <w:tcW w:type="dxa" w:w="428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HU-13</w:t>
            </w:r>
          </w:p>
        </w:tc>
        <w:tc>
          <w:tcPr>
            <w:tcW w:type="dxa" w:w="38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Explicación del riesgo</w:t>
            </w:r>
          </w:p>
        </w:tc>
        <w:tc>
          <w:tcPr>
            <w:tcW w:type="dxa" w:w="11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/>
            </w:r>
          </w:p>
        </w:tc>
        <w:tc>
          <w:tcPr>
            <w:tcW w:type="dxa" w:w="428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HU-14</w:t>
            </w:r>
          </w:p>
        </w:tc>
        <w:tc>
          <w:tcPr>
            <w:tcW w:type="dxa" w:w="38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Confiabilidad de la herramienta</w:t>
            </w:r>
          </w:p>
        </w:tc>
        <w:tc>
          <w:tcPr>
            <w:tcW w:type="dxa" w:w="11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/>
            </w:r>
          </w:p>
        </w:tc>
        <w:tc>
          <w:tcPr>
            <w:tcW w:type="dxa" w:w="428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HU-15</w:t>
            </w:r>
          </w:p>
        </w:tc>
        <w:tc>
          <w:tcPr>
            <w:tcW w:type="dxa" w:w="38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Herramienta no discriminatoria</w:t>
            </w:r>
          </w:p>
        </w:tc>
        <w:tc>
          <w:tcPr>
            <w:tcW w:type="dxa" w:w="11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/>
            </w:r>
          </w:p>
        </w:tc>
        <w:tc>
          <w:tcPr>
            <w:tcW w:type="dxa" w:w="428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HU-16</w:t>
            </w:r>
          </w:p>
        </w:tc>
        <w:tc>
          <w:tcPr>
            <w:tcW w:type="dxa" w:w="38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Protección de datos personales</w:t>
            </w:r>
          </w:p>
        </w:tc>
        <w:tc>
          <w:tcPr>
            <w:tcW w:type="dxa" w:w="11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/>
            </w:r>
          </w:p>
        </w:tc>
        <w:tc>
          <w:tcPr>
            <w:tcW w:type="dxa" w:w="428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D5C63"/>
          <w:sz w:val="28"/>
          <w:szCs w:val="28"/>
        </w:rPr>
        <w:t xml:space="preserve">2. Decisiones que corresponden al cliente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5600"/>
        <w:gridCol w:w="1500"/>
        <w:gridCol w:w="2380"/>
      </w:tblGrid>
      <w:tr>
        <w:trPr>
          <w:cantSplit/>
          <w:tblHeader/>
        </w:trPr>
        <w:tc>
          <w:tcPr>
            <w:tcW w:type="dxa" w:w="6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1D5C6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56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1D5C6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Decisión</w:t>
            </w:r>
          </w:p>
        </w:tc>
        <w:tc>
          <w:tcPr>
            <w:tcW w:type="dxa" w:w="15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1D5C6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Propuesta del equipo</w:t>
            </w:r>
          </w:p>
        </w:tc>
        <w:tc>
          <w:tcPr>
            <w:tcW w:type="dxa" w:w="238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1D5C6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Decisión del cliente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1</w:t>
            </w:r>
          </w:p>
        </w:tc>
        <w:tc>
          <w:tcPr>
            <w:tcW w:type="dxa" w:w="56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¿Acepta los datos simulados (sección 4.2) como base de la entrega académica?</w:t>
            </w:r>
          </w:p>
        </w:tc>
        <w:tc>
          <w:tcPr>
            <w:tcW w:type="dxa" w:w="15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Sí</w:t>
            </w:r>
          </w:p>
        </w:tc>
        <w:tc>
          <w:tcPr>
            <w:tcW w:type="dxa" w:w="238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2</w:t>
            </w:r>
          </w:p>
        </w:tc>
        <w:tc>
          <w:tcPr>
            <w:tcW w:type="dxa" w:w="56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¿Los despidos se muestran aparte y no cuentan como rotación temprana?</w:t>
            </w:r>
          </w:p>
        </w:tc>
        <w:tc>
          <w:tcPr>
            <w:tcW w:type="dxa" w:w="15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Sí</w:t>
            </w:r>
          </w:p>
        </w:tc>
        <w:tc>
          <w:tcPr>
            <w:tcW w:type="dxa" w:w="238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3</w:t>
            </w:r>
          </w:p>
        </w:tc>
        <w:tc>
          <w:tcPr>
            <w:tcW w:type="dxa" w:w="56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Mínimo de personas para comparar un grupo</w:t>
            </w:r>
          </w:p>
        </w:tc>
        <w:tc>
          <w:tcPr>
            <w:tcW w:type="dxa" w:w="15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30</w:t>
            </w:r>
          </w:p>
        </w:tc>
        <w:tc>
          <w:tcPr>
            <w:tcW w:type="dxa" w:w="238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4</w:t>
            </w:r>
          </w:p>
        </w:tc>
        <w:tc>
          <w:tcPr>
            <w:tcW w:type="dxa" w:w="56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Supuestos de costo por reemplazo (reclutamiento + formación + tiempo improductivo)</w:t>
            </w:r>
          </w:p>
        </w:tc>
        <w:tc>
          <w:tcPr>
            <w:tcW w:type="dxa" w:w="15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COP 2.550.000</w:t>
            </w:r>
          </w:p>
        </w:tc>
        <w:tc>
          <w:tcPr>
            <w:tcW w:type="dxa" w:w="238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5</w:t>
            </w:r>
          </w:p>
        </w:tc>
        <w:tc>
          <w:tcPr>
            <w:tcW w:type="dxa" w:w="56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Meta de recall del modelo predictivo</w:t>
            </w:r>
          </w:p>
        </w:tc>
        <w:tc>
          <w:tcPr>
            <w:tcW w:type="dxa" w:w="15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≥ 0,60</w:t>
            </w:r>
          </w:p>
        </w:tc>
        <w:tc>
          <w:tcPr>
            <w:tcW w:type="dxa" w:w="238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6</w:t>
            </w:r>
          </w:p>
        </w:tc>
        <w:tc>
          <w:tcPr>
            <w:tcW w:type="dxa" w:w="56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Diferencia máxima de recall y falsos positivos entre grupos</w:t>
            </w:r>
          </w:p>
        </w:tc>
        <w:tc>
          <w:tcPr>
            <w:tcW w:type="dxa" w:w="15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≤ 10 p.p.</w:t>
            </w:r>
          </w:p>
        </w:tc>
        <w:tc>
          <w:tcPr>
            <w:tcW w:type="dxa" w:w="238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7</w:t>
            </w:r>
          </w:p>
        </w:tc>
        <w:tc>
          <w:tcPr>
            <w:tcW w:type="dxa" w:w="56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¿Acepta el plan B (reglas de alerta) como semáforo oficial mientras el modelo no cumpla la meta y la equidad?</w:t>
            </w:r>
          </w:p>
        </w:tc>
        <w:tc>
          <w:tcPr>
            <w:tcW w:type="dxa" w:w="15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Sí</w:t>
            </w:r>
          </w:p>
        </w:tc>
        <w:tc>
          <w:tcPr>
            <w:tcW w:type="dxa" w:w="238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8</w:t>
            </w:r>
          </w:p>
        </w:tc>
        <w:tc>
          <w:tcPr>
            <w:tcW w:type="dxa" w:w="56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Reglas del plan B: rojo si distancia &gt; 15 km con turno nocturno o rotativo, o sin experiencia con puntaje &lt; 60; amarillo si solo un factor</w:t>
            </w:r>
          </w:p>
        </w:tc>
        <w:tc>
          <w:tcPr>
            <w:tcW w:type="dxa" w:w="15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Como se describe</w:t>
            </w:r>
          </w:p>
        </w:tc>
        <w:tc>
          <w:tcPr>
            <w:tcW w:type="dxa" w:w="238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6F7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9</w:t>
            </w:r>
          </w:p>
        </w:tc>
        <w:tc>
          <w:tcPr>
            <w:tcW w:type="dxa" w:w="56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¿Las recomendaciones del resumen son accionables para la empresa (S-05)?</w:t>
            </w:r>
          </w:p>
        </w:tc>
        <w:tc>
          <w:tcPr>
            <w:tcW w:type="dxa" w:w="150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>Sí</w:t>
            </w:r>
          </w:p>
        </w:tc>
        <w:tc>
          <w:tcPr>
            <w:tcW w:type="dxa" w:w="238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D5C63"/>
          <w:sz w:val="28"/>
          <w:szCs w:val="28"/>
        </w:rPr>
        <w:t xml:space="preserve">3. Observaciones generales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
</w:t>
      </w: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D5C63"/>
          <w:sz w:val="28"/>
          <w:szCs w:val="28"/>
        </w:rPr>
        <w:t xml:space="preserve">4. Resultado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☐ Se acepta la entrega   ☐ Se acepta con observaciones   ☐ No se acepta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1D5C6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Cliente</w:t>
            </w:r>
          </w:p>
        </w:tc>
        <w:tc>
          <w:tcPr>
            <w:tcW w:type="dxa" w:w="336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1D5C6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Product Owner</w:t>
            </w:r>
          </w:p>
        </w:tc>
        <w:tc>
          <w:tcPr>
            <w:tcW w:type="dxa" w:w="336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1D5C6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Scrum Master</w:t>
            </w:r>
          </w:p>
        </w:tc>
      </w:tr>
      <w:tr>
        <w:trPr>
          <w:cantSplit/>
          <w:tblHeader w:val="off"/>
        </w:trPr>
        <w:tc>
          <w:tcPr>
            <w:tcW w:type="dxa" w:w="336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7"/>
                <w:szCs w:val="17"/>
              </w:rPr>
              <w:t xml:space="preserve">Nombre y firma</w:t>
            </w:r>
          </w:p>
        </w:tc>
        <w:tc>
          <w:tcPr>
            <w:tcW w:type="dxa" w:w="336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7"/>
                <w:szCs w:val="17"/>
              </w:rPr>
              <w:t xml:space="preserve">Nombre y firma</w:t>
            </w:r>
          </w:p>
        </w:tc>
        <w:tc>
          <w:tcPr>
            <w:tcW w:type="dxa" w:w="3360"/>
            <w:tcBorders>
              <w:top w:val="single" w:color="B9C3C0" w:sz="4"/>
              <w:left w:val="single" w:color="B9C3C0" w:sz="4"/>
              <w:bottom w:val="single" w:color="B9C3C0" w:sz="4"/>
              <w:right w:val="single" w:color="B9C3C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42321"/>
                <w:sz w:val="17"/>
                <w:szCs w:val="17"/>
              </w:rPr>
              <w:t xml:space="preserve">Nombre y firma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485956"/>
        <w:sz w:val="16"/>
        <w:szCs w:val="16"/>
      </w:rPr>
      <w:t xml:space="preserve">Radar de permanencia · Acta de validación del cliente · Página </w:t>
    </w:r>
    <w:r>
      <w:rPr>
        <w:rFonts w:ascii="Arial" w:cs="Arial" w:eastAsia="Arial" w:hAnsi="Arial"/>
        <w:color w:val="48595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validación del cliente</dc:title>
  <dc:creator>Equipo CoE de Datos</dc:creator>
  <cp:lastModifiedBy>Un-named</cp:lastModifiedBy>
  <cp:revision>1</cp:revision>
  <dcterms:created xsi:type="dcterms:W3CDTF">2026-10-27T19:34:30.079Z</dcterms:created>
  <dcterms:modified xsi:type="dcterms:W3CDTF">2026-10-27T19:34:30.079Z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