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Lembar Belajar</w:t>
      </w:r>
    </w:p>
    <w:p>
      <w:pPr>
        <w:pStyle w:val="Subtitle"/>
      </w:pPr>
      <w:r>
        <w:t xml:space="preserve">DEMO — Manajemen Stratejik (soal contoh) — Training 1 (Demo)</w:t>
      </w:r>
    </w:p>
    <w:p>
      <w:r>
        <w:t xml:space="preserve">Soal dari sesi 17 Oktober 2026 pukul 08.00 beserta kunci, pembahasan, jawaban ideal, dan rubrik. Tidak memuat jawaban maupun nilai peserta.</w:t>
      </w:r>
    </w:p>
    <w:p>
      <w:r>
        <w:rPr>
          <w:i/>
          <w:iCs/>
          <w:color w:val="555E6B"/>
        </w:rPr>
        <w:t xml:space="preserve">Simulator belajar, bukan ujian resmi, dan tidak berafiliasi dengan IAI. Passing grade 70 adalah standar latihan internal, bukan ketentuan resmi IAI.</w:t>
      </w:r>
    </w:p>
    <w:p>
      <w:pPr>
        <w:pStyle w:val="Heading1"/>
      </w:pPr>
      <w:r>
        <w:t xml:space="preserve">Pilihan Ganda dan Numerik</w:t>
      </w:r>
    </w:p>
    <w:p>
      <w:pPr>
        <w:pStyle w:val="Heading2"/>
      </w:pPr>
      <w:r>
        <w:t xml:space="preserve">Soal 1 · Pilihan ganda · DEMO-MCQ-001</w:t>
      </w:r>
    </w:p>
    <w:p>
      <w:pPr>
        <w:keepNext/>
      </w:pPr>
      <w:r>
        <w:t xml:space="preserve">[DEMO] Kekuatan kompetitif manakah yang paling meningkat ketika biaya beralih (switching cost) pelanggan menjadi sangat rendah?</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17"/>
        <w:gridCol w:w="6425"/>
        <w:gridCol w:w="2294"/>
      </w:tblGrid>
      <w:tr>
        <w:trPr>
          <w:cantSplit/>
          <w:tblHeader/>
        </w:trPr>
        <w:tc>
          <w:tcPr>
            <w:tcW w:w="917" w:type="dxa"/>
            <w:shd w:val="clear" w:color="auto" w:fill="E7ECF3"/>
          </w:tcPr>
          <w:p>
            <w:pPr>
              <w:keepNext/>
              <w:spacing w:after="0"/>
            </w:pPr>
            <w:r>
              <w:rPr>
                <w:b/>
                <w:bCs/>
                <w:sz w:val="19"/>
                <w:szCs w:val="19"/>
              </w:rPr>
              <w:t xml:space="preserve">Opsi</w:t>
            </w:r>
          </w:p>
        </w:tc>
        <w:tc>
          <w:tcPr>
            <w:tcW w:w="6425" w:type="dxa"/>
            <w:shd w:val="clear" w:color="auto" w:fill="E7ECF3"/>
          </w:tcPr>
          <w:p>
            <w:pPr>
              <w:keepNext/>
              <w:spacing w:after="0"/>
            </w:pPr>
            <w:r>
              <w:rPr>
                <w:b/>
                <w:bCs/>
                <w:sz w:val="19"/>
                <w:szCs w:val="19"/>
              </w:rPr>
              <w:t xml:space="preserve">Teks</w:t>
            </w:r>
          </w:p>
        </w:tc>
        <w:tc>
          <w:tcPr>
            <w:tcW w:w="2294" w:type="dxa"/>
            <w:shd w:val="clear" w:color="auto" w:fill="E7ECF3"/>
          </w:tcPr>
          <w:p>
            <w:pPr>
              <w:keepNext/>
              <w:spacing w:after="0"/>
            </w:pPr>
            <w:r>
              <w:rPr>
                <w:b/>
                <w:bCs/>
                <w:sz w:val="19"/>
                <w:szCs w:val="19"/>
              </w:rPr>
              <w:t xml:space="preserve">Keterangan</w:t>
            </w:r>
          </w:p>
        </w:tc>
      </w:tr>
      <w:tr>
        <w:trPr>
          <w:cantSplit/>
        </w:trPr>
        <w:tc>
          <w:tcPr>
            <w:tcW w:w="917" w:type="dxa"/>
          </w:tcPr>
          <w:p>
            <w:pPr>
              <w:keepNext/>
              <w:spacing w:after="0"/>
            </w:pPr>
            <w:r>
              <w:rPr>
                <w:sz w:val="19"/>
                <w:szCs w:val="19"/>
              </w:rPr>
              <w:t xml:space="preserve">A</w:t>
            </w:r>
          </w:p>
        </w:tc>
        <w:tc>
          <w:tcPr>
            <w:tcW w:w="6425" w:type="dxa"/>
          </w:tcPr>
          <w:p>
            <w:pPr>
              <w:keepNext/>
              <w:spacing w:after="0"/>
            </w:pPr>
            <w:r>
              <w:rPr>
                <w:sz w:val="19"/>
                <w:szCs w:val="19"/>
              </w:rPr>
              <w:t xml:space="preserve">Kebutuhan modal awal</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B</w:t>
            </w:r>
          </w:p>
        </w:tc>
        <w:tc>
          <w:tcPr>
            <w:tcW w:w="6425" w:type="dxa"/>
          </w:tcPr>
          <w:p>
            <w:pPr>
              <w:keepNext/>
              <w:spacing w:after="0"/>
            </w:pPr>
            <w:r>
              <w:rPr>
                <w:sz w:val="19"/>
                <w:szCs w:val="19"/>
              </w:rPr>
              <w:t xml:space="preserve">Daya tawar pemasok</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C</w:t>
            </w:r>
          </w:p>
        </w:tc>
        <w:tc>
          <w:tcPr>
            <w:tcW w:w="6425" w:type="dxa"/>
          </w:tcPr>
          <w:p>
            <w:pPr>
              <w:keepNext/>
              <w:spacing w:after="0"/>
            </w:pPr>
            <w:r>
              <w:rPr>
                <w:sz w:val="19"/>
                <w:szCs w:val="19"/>
              </w:rPr>
              <w:t xml:space="preserve">Hambatan masuk industri</w:t>
            </w:r>
          </w:p>
        </w:tc>
        <w:tc>
          <w:tcPr>
            <w:tcW w:w="2294" w:type="dxa"/>
          </w:tcPr>
          <w:p>
            <w:pPr>
              <w:keepNext/>
              <w:spacing w:after="0"/>
            </w:pPr>
            <w:r>
              <w:rPr>
                <w:sz w:val="19"/>
                <w:szCs w:val="19"/>
              </w:rPr>
              <w:t xml:space="preserve"/>
            </w:r>
          </w:p>
        </w:tc>
      </w:tr>
      <w:tr>
        <w:trPr>
          <w:cantSplit/>
        </w:trPr>
        <w:tc>
          <w:tcPr>
            <w:tcW w:w="917" w:type="dxa"/>
          </w:tcPr>
          <w:p>
            <w:pPr>
              <w:spacing w:after="0"/>
            </w:pPr>
            <w:r>
              <w:rPr>
                <w:sz w:val="19"/>
                <w:szCs w:val="19"/>
              </w:rPr>
              <w:t xml:space="preserve">D</w:t>
            </w:r>
          </w:p>
        </w:tc>
        <w:tc>
          <w:tcPr>
            <w:tcW w:w="6425" w:type="dxa"/>
          </w:tcPr>
          <w:p>
            <w:pPr>
              <w:spacing w:after="0"/>
            </w:pPr>
            <w:r>
              <w:rPr>
                <w:sz w:val="19"/>
                <w:szCs w:val="19"/>
              </w:rPr>
              <w:t xml:space="preserve">Daya tawar pembeli</w:t>
            </w:r>
          </w:p>
        </w:tc>
        <w:tc>
          <w:tcPr>
            <w:tcW w:w="2294" w:type="dxa"/>
            <w:shd w:val="clear" w:color="auto" w:fill="DCF2E3"/>
          </w:tcPr>
          <w:p>
            <w:pPr>
              <w:spacing w:after="0"/>
            </w:pPr>
            <w:r>
              <w:rPr>
                <w:b/>
                <w:bCs/>
                <w:sz w:val="19"/>
                <w:szCs w:val="19"/>
              </w:rPr>
              <w:t xml:space="preserve">Kunci</w:t>
            </w:r>
          </w:p>
        </w:tc>
      </w:tr>
    </w:tbl>
    <w:p>
      <w:pPr>
        <w:spacing w:after="120"/>
      </w:pPr>
    </w:p>
    <w:p>
      <w:r>
        <w:rPr>
          <w:b/>
          <w:bCs/>
        </w:rPr>
        <w:t xml:space="preserve">Kunci: </w:t>
      </w:r>
      <w:r>
        <w:t xml:space="preserve">D. Daya tawar pembeli</w:t>
      </w:r>
    </w:p>
    <w:p>
      <w:r>
        <w:rPr>
          <w:b/>
          <w:bCs/>
        </w:rPr>
        <w:t xml:space="preserve">Pembahasan: </w:t>
      </w:r>
      <w:r>
        <w:t xml:space="preserve">Biaya beralih yang rendah memudahkan pembeli berpindah ke pesaing sehingga daya tawarnya meningkat.</w:t>
      </w:r>
    </w:p>
    <w:p>
      <w:r>
        <w:rPr>
          <w:b/>
          <w:bCs/>
        </w:rPr>
        <w:t xml:space="preserve">Mengapa pilihan lain salah:</w:t>
      </w:r>
    </w:p>
    <w:p>
      <w:pPr>
        <w:pStyle w:val="Butir"/>
      </w:pPr>
      <w:r>
        <w:t xml:space="preserve">•</w:t>
        <w:tab/>
        <w:t xml:space="preserve">A — Kebutuhan modal tidak berkaitan dengan biaya beralih pelanggan.</w:t>
      </w:r>
    </w:p>
    <w:p>
      <w:pPr>
        <w:pStyle w:val="Butir"/>
      </w:pPr>
      <w:r>
        <w:t xml:space="preserve">•</w:t>
        <w:tab/>
        <w:t xml:space="preserve">B — Biaya beralih pelanggan tidak mengubah posisi tawar pemasok.</w:t>
      </w:r>
    </w:p>
    <w:p>
      <w:pPr>
        <w:pStyle w:val="Butir"/>
      </w:pPr>
      <w:r>
        <w:t xml:space="preserve">•</w:t>
        <w:tab/>
        <w:t xml:space="preserve">C — Biaya beralih yang rendah justru menurunkan hambatan masuk.</w:t>
      </w:r>
    </w:p>
    <w:p>
      <w:pPr>
        <w:pStyle w:val="Heading2"/>
      </w:pPr>
      <w:r>
        <w:t xml:space="preserve">Soal 2 · Pilihan ganda · DEMO-MCQ-002</w:t>
      </w:r>
    </w:p>
    <w:p>
      <w:pPr>
        <w:keepNext/>
      </w:pPr>
      <w:r>
        <w:t xml:space="preserve">[DEMO] PT Rasa Laut Lestari (fiktif) ingin meningkatkan loyalitas gerai ritel modern. Dalam strategy map, sasaran manakah yang paling tepat sebagai penggerak langsung sasaran tersebut?</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917"/>
        <w:gridCol w:w="6425"/>
        <w:gridCol w:w="2294"/>
      </w:tblGrid>
      <w:tr>
        <w:trPr>
          <w:cantSplit/>
          <w:tblHeader/>
        </w:trPr>
        <w:tc>
          <w:tcPr>
            <w:tcW w:w="917" w:type="dxa"/>
            <w:shd w:val="clear" w:color="auto" w:fill="E7ECF3"/>
          </w:tcPr>
          <w:p>
            <w:pPr>
              <w:keepNext/>
              <w:spacing w:after="0"/>
            </w:pPr>
            <w:r>
              <w:rPr>
                <w:b/>
                <w:bCs/>
                <w:sz w:val="19"/>
                <w:szCs w:val="19"/>
              </w:rPr>
              <w:t xml:space="preserve">Opsi</w:t>
            </w:r>
          </w:p>
        </w:tc>
        <w:tc>
          <w:tcPr>
            <w:tcW w:w="6425" w:type="dxa"/>
            <w:shd w:val="clear" w:color="auto" w:fill="E7ECF3"/>
          </w:tcPr>
          <w:p>
            <w:pPr>
              <w:keepNext/>
              <w:spacing w:after="0"/>
            </w:pPr>
            <w:r>
              <w:rPr>
                <w:b/>
                <w:bCs/>
                <w:sz w:val="19"/>
                <w:szCs w:val="19"/>
              </w:rPr>
              <w:t xml:space="preserve">Teks</w:t>
            </w:r>
          </w:p>
        </w:tc>
        <w:tc>
          <w:tcPr>
            <w:tcW w:w="2294" w:type="dxa"/>
            <w:shd w:val="clear" w:color="auto" w:fill="E7ECF3"/>
          </w:tcPr>
          <w:p>
            <w:pPr>
              <w:keepNext/>
              <w:spacing w:after="0"/>
            </w:pPr>
            <w:r>
              <w:rPr>
                <w:b/>
                <w:bCs/>
                <w:sz w:val="19"/>
                <w:szCs w:val="19"/>
              </w:rPr>
              <w:t xml:space="preserve">Keterangan</w:t>
            </w:r>
          </w:p>
        </w:tc>
      </w:tr>
      <w:tr>
        <w:trPr>
          <w:cantSplit/>
        </w:trPr>
        <w:tc>
          <w:tcPr>
            <w:tcW w:w="917" w:type="dxa"/>
          </w:tcPr>
          <w:p>
            <w:pPr>
              <w:keepNext/>
              <w:spacing w:after="0"/>
            </w:pPr>
            <w:r>
              <w:rPr>
                <w:sz w:val="19"/>
                <w:szCs w:val="19"/>
              </w:rPr>
              <w:t xml:space="preserve">A</w:t>
            </w:r>
          </w:p>
        </w:tc>
        <w:tc>
          <w:tcPr>
            <w:tcW w:w="6425" w:type="dxa"/>
          </w:tcPr>
          <w:p>
            <w:pPr>
              <w:keepNext/>
              <w:spacing w:after="0"/>
            </w:pPr>
            <w:r>
              <w:rPr>
                <w:sz w:val="19"/>
                <w:szCs w:val="19"/>
              </w:rPr>
              <w:t xml:space="preserve">Meningkatkan kompetensi digital tenaga penjual</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B</w:t>
            </w:r>
          </w:p>
        </w:tc>
        <w:tc>
          <w:tcPr>
            <w:tcW w:w="6425" w:type="dxa"/>
          </w:tcPr>
          <w:p>
            <w:pPr>
              <w:keepNext/>
              <w:spacing w:after="0"/>
            </w:pPr>
            <w:r>
              <w:rPr>
                <w:sz w:val="19"/>
                <w:szCs w:val="19"/>
              </w:rPr>
              <w:t xml:space="preserve">Menurunkan biaya produksi per kaleng 5%</w:t>
            </w:r>
          </w:p>
        </w:tc>
        <w:tc>
          <w:tcPr>
            <w:tcW w:w="2294" w:type="dxa"/>
          </w:tcPr>
          <w:p>
            <w:pPr>
              <w:keepNext/>
              <w:spacing w:after="0"/>
            </w:pPr>
            <w:r>
              <w:rPr>
                <w:sz w:val="19"/>
                <w:szCs w:val="19"/>
              </w:rPr>
              <w:t xml:space="preserve"/>
            </w:r>
          </w:p>
        </w:tc>
      </w:tr>
      <w:tr>
        <w:trPr>
          <w:cantSplit/>
        </w:trPr>
        <w:tc>
          <w:tcPr>
            <w:tcW w:w="917" w:type="dxa"/>
          </w:tcPr>
          <w:p>
            <w:pPr>
              <w:keepNext/>
              <w:spacing w:after="0"/>
            </w:pPr>
            <w:r>
              <w:rPr>
                <w:sz w:val="19"/>
                <w:szCs w:val="19"/>
              </w:rPr>
              <w:t xml:space="preserve">C</w:t>
            </w:r>
          </w:p>
        </w:tc>
        <w:tc>
          <w:tcPr>
            <w:tcW w:w="6425" w:type="dxa"/>
          </w:tcPr>
          <w:p>
            <w:pPr>
              <w:keepNext/>
              <w:spacing w:after="0"/>
            </w:pPr>
            <w:r>
              <w:rPr>
                <w:sz w:val="19"/>
                <w:szCs w:val="19"/>
              </w:rPr>
              <w:t xml:space="preserve">Meningkatkan laba bersih per saham</w:t>
            </w:r>
          </w:p>
        </w:tc>
        <w:tc>
          <w:tcPr>
            <w:tcW w:w="2294" w:type="dxa"/>
          </w:tcPr>
          <w:p>
            <w:pPr>
              <w:keepNext/>
              <w:spacing w:after="0"/>
            </w:pPr>
            <w:r>
              <w:rPr>
                <w:sz w:val="19"/>
                <w:szCs w:val="19"/>
              </w:rPr>
              <w:t xml:space="preserve"/>
            </w:r>
          </w:p>
        </w:tc>
      </w:tr>
      <w:tr>
        <w:trPr>
          <w:cantSplit/>
        </w:trPr>
        <w:tc>
          <w:tcPr>
            <w:tcW w:w="917" w:type="dxa"/>
          </w:tcPr>
          <w:p>
            <w:pPr>
              <w:spacing w:after="0"/>
            </w:pPr>
            <w:r>
              <w:rPr>
                <w:sz w:val="19"/>
                <w:szCs w:val="19"/>
              </w:rPr>
              <w:t xml:space="preserve">D</w:t>
            </w:r>
          </w:p>
        </w:tc>
        <w:tc>
          <w:tcPr>
            <w:tcW w:w="6425" w:type="dxa"/>
          </w:tcPr>
          <w:p>
            <w:pPr>
              <w:spacing w:after="0"/>
            </w:pPr>
            <w:r>
              <w:rPr>
                <w:sz w:val="19"/>
                <w:szCs w:val="19"/>
              </w:rPr>
              <w:t xml:space="preserve">Meningkatkan ketepatan waktu pengiriman ke gerai</w:t>
            </w:r>
          </w:p>
        </w:tc>
        <w:tc>
          <w:tcPr>
            <w:tcW w:w="2294" w:type="dxa"/>
            <w:shd w:val="clear" w:color="auto" w:fill="DCF2E3"/>
          </w:tcPr>
          <w:p>
            <w:pPr>
              <w:spacing w:after="0"/>
            </w:pPr>
            <w:r>
              <w:rPr>
                <w:b/>
                <w:bCs/>
                <w:sz w:val="19"/>
                <w:szCs w:val="19"/>
              </w:rPr>
              <w:t xml:space="preserve">Kunci</w:t>
            </w:r>
          </w:p>
        </w:tc>
      </w:tr>
    </w:tbl>
    <w:p>
      <w:pPr>
        <w:spacing w:after="120"/>
      </w:pPr>
    </w:p>
    <w:p>
      <w:r>
        <w:rPr>
          <w:b/>
          <w:bCs/>
        </w:rPr>
        <w:t xml:space="preserve">Kunci: </w:t>
      </w:r>
      <w:r>
        <w:t xml:space="preserve">D. Meningkatkan ketepatan waktu pengiriman ke gerai</w:t>
      </w:r>
    </w:p>
    <w:p>
      <w:r>
        <w:rPr>
          <w:b/>
          <w:bCs/>
        </w:rPr>
        <w:t xml:space="preserve">Pembahasan: </w:t>
      </w:r>
      <w:r>
        <w:t xml:space="preserve">Sasaran pelanggan digerakkan langsung oleh sasaran proses internal; ketepatan pengiriman memengaruhi pengalaman gerai secara langsung.</w:t>
      </w:r>
    </w:p>
    <w:p>
      <w:r>
        <w:rPr>
          <w:b/>
          <w:bCs/>
        </w:rPr>
        <w:t xml:space="preserve">Mengapa pilihan lain salah:</w:t>
      </w:r>
    </w:p>
    <w:p>
      <w:pPr>
        <w:pStyle w:val="Butir"/>
      </w:pPr>
      <w:r>
        <w:t xml:space="preserve">•</w:t>
        <w:tab/>
        <w:t xml:space="preserve">A — Kompetensi karyawan berada dua tingkat di bawah sasaran pelanggan.</w:t>
      </w:r>
    </w:p>
    <w:p>
      <w:pPr>
        <w:pStyle w:val="Butir"/>
      </w:pPr>
      <w:r>
        <w:t xml:space="preserve">•</w:t>
        <w:tab/>
        <w:t xml:space="preserve">B — Efisiensi biaya tidak langsung dirasakan gerai sebagai pelanggan.</w:t>
      </w:r>
    </w:p>
    <w:p>
      <w:pPr>
        <w:pStyle w:val="Butir"/>
      </w:pPr>
      <w:r>
        <w:t xml:space="preserve">•</w:t>
        <w:tab/>
        <w:t xml:space="preserve">C — Laba per saham adalah hasil akhir perspektif keuangan, bukan penggerak loyalitas.</w:t>
      </w:r>
    </w:p>
    <w:p>
      <w:pPr>
        <w:pStyle w:val="Heading2"/>
      </w:pPr>
      <w:r>
        <w:t xml:space="preserve">Soal 3 · Numerik · DEMO-NUM-001</w:t>
      </w:r>
    </w:p>
    <w:p>
      <w:r>
        <w:t xml:space="preserve">[DEMO] Divisi Logistik PT Arunika Niaga (fiktif) mencatat laba operasi setelah pajak Rp180 miliar, modal yang diinvestasikan Rp1.200 miliar, dan WACC 11%. Berapa Economic Value Added (EVA) divisi tersebut?</w:t>
      </w:r>
    </w:p>
    <w:p>
      <w:r>
        <w:rPr>
          <w:b/>
          <w:bCs/>
        </w:rPr>
        <w:t xml:space="preserve">Kunci: </w:t>
      </w:r>
      <w:r>
        <w:t xml:space="preserve">48 Rp miliar (toleransi ±1%)</w:t>
      </w:r>
    </w:p>
    <w:p>
      <w:r>
        <w:rPr>
          <w:b/>
          <w:bCs/>
        </w:rPr>
        <w:t xml:space="preserve">Pembahasan: </w:t>
      </w:r>
      <w:r>
        <w:t xml:space="preserve">EVA = NOPAT - (WACC x modal diinvestasikan) = 180 - (11% x 1.200) = 180 - 132 = 48.</w:t>
      </w:r>
    </w:p>
    <w:p>
      <w:pPr>
        <w:pStyle w:val="Heading1"/>
      </w:pPr>
      <w:r>
        <w:t xml:space="preserve">Esai dan Kasus</w:t>
      </w:r>
    </w:p>
    <w:p>
      <w:pPr>
        <w:pStyle w:val="Heading2"/>
      </w:pPr>
      <w:r>
        <w:t xml:space="preserve">Soal 4 · Esai · DEMO-ESA-001</w:t>
      </w:r>
    </w:p>
    <w:p>
      <w:pPr>
        <w:pStyle w:val="Kecil"/>
      </w:pPr>
      <w:r>
        <w:rPr>
          <w:color w:val="555E6B"/>
        </w:rPr>
        <w:t xml:space="preserve">Kesulitan: Sedang · Topik: T02 · Kompetensi: K01</w:t>
      </w:r>
    </w:p>
    <w:p>
      <w:pPr>
        <w:pStyle w:val="Heading3"/>
      </w:pPr>
      <w:r>
        <w:t xml:space="preserve">Soal</w:t>
      </w:r>
    </w:p>
    <w:p>
      <w:r>
        <w:t xml:space="preserve">[DEMO] Direksi PT Bumi Hijau Agro (fiktif) mengukur kinerja hanya dengan laba bersih dan pertumbuhan pendapatan. Jelaskan kelemahan pendekatan tersebut dan bagaimana balanced scorecard dapat memperbaikinya. Sertakan satu contoh ukuran untuk setiap perspektif.</w:t>
      </w:r>
    </w:p>
    <w:p>
      <w:pPr>
        <w:pStyle w:val="Heading3"/>
      </w:pPr>
      <w:r>
        <w:t xml:space="preserve">Jawaban ideal</w:t>
      </w:r>
    </w:p>
    <w:p>
      <w:r>
        <w:t xml:space="preserve">Ukuran keuangan bersifat lagging, berorientasi jangka pendek, dan tidak menjelaskan penyebab kinerja. Balanced scorecard menyeimbangkan ukuran lagging dan leading dalam empat perspektif yang terhubung sebab-akibat: keuangan (ROCE), pelanggan (retensi distributor), proses internal (rendemen pengolahan), pembelajaran dan pertumbuhan (jam pelatihan agronomi per karyawan).</w:t>
      </w:r>
    </w:p>
    <w:p>
      <w:r>
        <w:rPr>
          <w:b/>
          <w:bCs/>
        </w:rPr>
        <w:t xml:space="preserve">Alternatif yang dapat diterima: </w:t>
      </w:r>
      <w:r>
        <w:t xml:space="preserve">Ukuran lain yang relevan diterima (mis. NPS distributor, produktivitas lahan, indeks keterlibatan karyawan).</w:t>
      </w:r>
    </w:p>
    <w:p>
      <w:pPr>
        <w:pStyle w:val="Heading3"/>
      </w:pPr>
      <w:r>
        <w:t xml:space="preserve">Rubrik</w:t>
      </w:r>
    </w:p>
    <w:tbl>
      <w:tblPr>
        <w:tblStyle w:val="TableGrid"/>
        <w:tblW w:w="9637"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1068"/>
        <w:gridCol w:w="1180"/>
        <w:gridCol w:w="6325"/>
        <w:gridCol w:w="1064"/>
      </w:tblGrid>
      <w:tr>
        <w:trPr>
          <w:cantSplit/>
          <w:tblHeader/>
        </w:trPr>
        <w:tc>
          <w:tcPr>
            <w:tcW w:w="1068" w:type="dxa"/>
            <w:shd w:val="clear" w:color="auto" w:fill="E7ECF3"/>
          </w:tcPr>
          <w:p>
            <w:pPr>
              <w:keepNext/>
              <w:spacing w:after="0"/>
            </w:pPr>
            <w:r>
              <w:rPr>
                <w:b/>
                <w:bCs/>
                <w:sz w:val="19"/>
                <w:szCs w:val="19"/>
              </w:rPr>
              <w:t xml:space="preserve">Bagian</w:t>
            </w:r>
          </w:p>
        </w:tc>
        <w:tc>
          <w:tcPr>
            <w:tcW w:w="1180" w:type="dxa"/>
            <w:shd w:val="clear" w:color="auto" w:fill="E7ECF3"/>
          </w:tcPr>
          <w:p>
            <w:pPr>
              <w:keepNext/>
              <w:spacing w:after="0"/>
            </w:pPr>
            <w:r>
              <w:rPr>
                <w:b/>
                <w:bCs/>
                <w:sz w:val="19"/>
                <w:szCs w:val="19"/>
              </w:rPr>
              <w:t xml:space="preserve">Kriteria</w:t>
            </w:r>
          </w:p>
        </w:tc>
        <w:tc>
          <w:tcPr>
            <w:tcW w:w="6325" w:type="dxa"/>
            <w:shd w:val="clear" w:color="auto" w:fill="E7ECF3"/>
          </w:tcPr>
          <w:p>
            <w:pPr>
              <w:keepNext/>
              <w:spacing w:after="0"/>
            </w:pPr>
            <w:r>
              <w:rPr>
                <w:b/>
                <w:bCs/>
                <w:sz w:val="19"/>
                <w:szCs w:val="19"/>
              </w:rPr>
              <w:t xml:space="preserve">Deskripsi</w:t>
            </w:r>
          </w:p>
        </w:tc>
        <w:tc>
          <w:tcPr>
            <w:tcW w:w="1064" w:type="dxa"/>
            <w:shd w:val="clear" w:color="auto" w:fill="E7ECF3"/>
          </w:tcPr>
          <w:p>
            <w:pPr>
              <w:keepNext/>
              <w:spacing w:after="0"/>
            </w:pPr>
            <w:r>
              <w:rPr>
                <w:b/>
                <w:bCs/>
                <w:sz w:val="19"/>
                <w:szCs w:val="19"/>
              </w:rPr>
              <w:t xml:space="preserve">Maks</w:t>
            </w:r>
          </w:p>
        </w:tc>
      </w:tr>
      <w:tr>
        <w:trPr>
          <w:cantSplit/>
        </w:trPr>
        <w:tc>
          <w:tcPr>
            <w:tcW w:w="1068" w:type="dxa"/>
          </w:tcPr>
          <w:p>
            <w:pPr>
              <w:keepNext/>
              <w:spacing w:after="0"/>
            </w:pPr>
            <w:r>
              <w:rPr>
                <w:sz w:val="19"/>
                <w:szCs w:val="19"/>
              </w:rPr>
              <w:t xml:space="preserve">—</w:t>
            </w:r>
          </w:p>
        </w:tc>
        <w:tc>
          <w:tcPr>
            <w:tcW w:w="1180" w:type="dxa"/>
          </w:tcPr>
          <w:p>
            <w:pPr>
              <w:keepNext/>
              <w:spacing w:after="0"/>
            </w:pPr>
            <w:r>
              <w:rPr>
                <w:sz w:val="19"/>
                <w:szCs w:val="19"/>
              </w:rPr>
              <w:t xml:space="preserve">C1</w:t>
            </w:r>
          </w:p>
        </w:tc>
        <w:tc>
          <w:tcPr>
            <w:tcW w:w="6325" w:type="dxa"/>
          </w:tcPr>
          <w:p>
            <w:pPr>
              <w:keepNext/>
              <w:spacing w:after="0"/>
            </w:pPr>
            <w:r>
              <w:rPr>
                <w:sz w:val="19"/>
                <w:szCs w:val="19"/>
              </w:rPr>
              <w:t xml:space="preserve">Kelemahan ukuran keuangan semata</w:t>
            </w:r>
          </w:p>
        </w:tc>
        <w:tc>
          <w:tcPr>
            <w:tcW w:w="1064" w:type="dxa"/>
          </w:tcPr>
          <w:p>
            <w:pPr>
              <w:keepNext/>
              <w:spacing w:after="0"/>
            </w:pPr>
            <w:r>
              <w:rPr>
                <w:sz w:val="19"/>
                <w:szCs w:val="19"/>
              </w:rPr>
              <w:t xml:space="preserve">3,00</w:t>
            </w:r>
          </w:p>
        </w:tc>
      </w:tr>
      <w:tr>
        <w:trPr>
          <w:cantSplit/>
        </w:trPr>
        <w:tc>
          <w:tcPr>
            <w:tcW w:w="1068" w:type="dxa"/>
          </w:tcPr>
          <w:p>
            <w:pPr>
              <w:keepNext/>
              <w:spacing w:after="0"/>
            </w:pPr>
            <w:r>
              <w:rPr>
                <w:sz w:val="19"/>
                <w:szCs w:val="19"/>
              </w:rPr>
              <w:t xml:space="preserve">—</w:t>
            </w:r>
          </w:p>
        </w:tc>
        <w:tc>
          <w:tcPr>
            <w:tcW w:w="1180" w:type="dxa"/>
          </w:tcPr>
          <w:p>
            <w:pPr>
              <w:keepNext/>
              <w:spacing w:after="0"/>
            </w:pPr>
            <w:r>
              <w:rPr>
                <w:sz w:val="19"/>
                <w:szCs w:val="19"/>
              </w:rPr>
              <w:t xml:space="preserve">C2</w:t>
            </w:r>
          </w:p>
        </w:tc>
        <w:tc>
          <w:tcPr>
            <w:tcW w:w="6325" w:type="dxa"/>
          </w:tcPr>
          <w:p>
            <w:pPr>
              <w:keepNext/>
              <w:spacing w:after="0"/>
            </w:pPr>
            <w:r>
              <w:rPr>
                <w:sz w:val="19"/>
                <w:szCs w:val="19"/>
              </w:rPr>
              <w:t xml:space="preserve">Logika balanced scorecard</w:t>
            </w:r>
          </w:p>
        </w:tc>
        <w:tc>
          <w:tcPr>
            <w:tcW w:w="1064" w:type="dxa"/>
          </w:tcPr>
          <w:p>
            <w:pPr>
              <w:keepNext/>
              <w:spacing w:after="0"/>
            </w:pPr>
            <w:r>
              <w:rPr>
                <w:sz w:val="19"/>
                <w:szCs w:val="19"/>
              </w:rPr>
              <w:t xml:space="preserve">3,00</w:t>
            </w:r>
          </w:p>
        </w:tc>
      </w:tr>
      <w:tr>
        <w:trPr>
          <w:cantSplit/>
        </w:trPr>
        <w:tc>
          <w:tcPr>
            <w:tcW w:w="1068" w:type="dxa"/>
          </w:tcPr>
          <w:p>
            <w:pPr>
              <w:keepNext/>
              <w:spacing w:after="0"/>
            </w:pPr>
            <w:r>
              <w:rPr>
                <w:sz w:val="19"/>
                <w:szCs w:val="19"/>
              </w:rPr>
              <w:t xml:space="preserve">—</w:t>
            </w:r>
          </w:p>
        </w:tc>
        <w:tc>
          <w:tcPr>
            <w:tcW w:w="1180" w:type="dxa"/>
          </w:tcPr>
          <w:p>
            <w:pPr>
              <w:keepNext/>
              <w:spacing w:after="0"/>
            </w:pPr>
            <w:r>
              <w:rPr>
                <w:sz w:val="19"/>
                <w:szCs w:val="19"/>
              </w:rPr>
              <w:t xml:space="preserve">C3</w:t>
            </w:r>
          </w:p>
        </w:tc>
        <w:tc>
          <w:tcPr>
            <w:tcW w:w="6325" w:type="dxa"/>
          </w:tcPr>
          <w:p>
            <w:pPr>
              <w:keepNext/>
              <w:spacing w:after="0"/>
            </w:pPr>
            <w:r>
              <w:rPr>
                <w:sz w:val="19"/>
                <w:szCs w:val="19"/>
              </w:rPr>
              <w:t xml:space="preserve">Contoh ukuran per perspektif</w:t>
            </w:r>
          </w:p>
        </w:tc>
        <w:tc>
          <w:tcPr>
            <w:tcW w:w="1064" w:type="dxa"/>
          </w:tcPr>
          <w:p>
            <w:pPr>
              <w:keepNext/>
              <w:spacing w:after="0"/>
            </w:pPr>
            <w:r>
              <w:rPr>
                <w:sz w:val="19"/>
                <w:szCs w:val="19"/>
              </w:rPr>
              <w:t xml:space="preserve">2,00</w:t>
            </w:r>
          </w:p>
        </w:tc>
      </w:tr>
      <w:tr>
        <w:trPr>
          <w:cantSplit/>
        </w:trPr>
        <w:tc>
          <w:tcPr>
            <w:tcW w:w="1068" w:type="dxa"/>
          </w:tcPr>
          <w:p>
            <w:pPr>
              <w:spacing w:after="0"/>
            </w:pPr>
            <w:r>
              <w:rPr>
                <w:sz w:val="19"/>
                <w:szCs w:val="19"/>
              </w:rPr>
              <w:t xml:space="preserve">—</w:t>
            </w:r>
          </w:p>
        </w:tc>
        <w:tc>
          <w:tcPr>
            <w:tcW w:w="1180" w:type="dxa"/>
          </w:tcPr>
          <w:p>
            <w:pPr>
              <w:spacing w:after="0"/>
            </w:pPr>
            <w:r>
              <w:rPr>
                <w:sz w:val="19"/>
                <w:szCs w:val="19"/>
              </w:rPr>
              <w:t xml:space="preserve">C4</w:t>
            </w:r>
          </w:p>
        </w:tc>
        <w:tc>
          <w:tcPr>
            <w:tcW w:w="6325" w:type="dxa"/>
          </w:tcPr>
          <w:p>
            <w:pPr>
              <w:spacing w:after="0"/>
            </w:pPr>
            <w:r>
              <w:rPr>
                <w:sz w:val="19"/>
                <w:szCs w:val="19"/>
              </w:rPr>
              <w:t xml:space="preserve">Kualitas argumentasi</w:t>
            </w:r>
          </w:p>
        </w:tc>
        <w:tc>
          <w:tcPr>
            <w:tcW w:w="1064" w:type="dxa"/>
          </w:tcPr>
          <w:p>
            <w:pPr>
              <w:spacing w:after="0"/>
            </w:pPr>
            <w:r>
              <w:rPr>
                <w:sz w:val="19"/>
                <w:szCs w:val="19"/>
              </w:rPr>
              <w:t xml:space="preserve">2,00</w:t>
            </w:r>
          </w:p>
        </w:tc>
      </w:tr>
    </w:tbl>
    <w:p>
      <w:pPr>
        <w:spacing w:after="120"/>
      </w:pPr>
    </w:p>
    <w:p>
      <w:pPr>
        <w:pStyle w:val="Heading2"/>
      </w:pPr>
      <w:r>
        <w:t xml:space="preserve">Soal 5 · Studi kasus mini · DEMO-KAS-001</w:t>
      </w:r>
    </w:p>
    <w:p>
      <w:pPr>
        <w:pStyle w:val="Kecil"/>
      </w:pPr>
      <w:r>
        <w:rPr>
          <w:color w:val="555E6B"/>
        </w:rPr>
        <w:t xml:space="preserve">Kesulitan: Sulit · Topik: T01, T03 · Kompetensi: K01, K02</w:t>
      </w:r>
    </w:p>
    <w:p>
      <w:pPr>
        <w:pStyle w:val="Heading3"/>
      </w:pPr>
      <w:r>
        <w:t xml:space="preserve">Soal</w:t>
      </w:r>
    </w:p>
    <w:p>
      <w:r>
        <w:t xml:space="preserve">[DEMO] Bacalah kasus PT Sinar Nusantara Logistik (fiktif) lalu jawab kedua sub-pertanyaan.</w:t>
      </w:r>
    </w:p>
    <w:p>
      <w:r>
        <w:t xml:space="preserve">PT Sinar Nusantara Logistik (SNL) melayani tiga segmen: pengiriman B2B, pengiriman ritel, dan pergudangan. Pesaing digital menekan tarif pengiriman ritel. Direksi mempertimbangkan dua pilihan: (1) memperbesar armada ritel untuk merebut pangsa, atau (2) mengalihkan investasi ke pergudangan terpadu untuk klien B2B. Anggaran investasi tahun depan Rp300 miliar.</w:t>
      </w:r>
    </w:p>
    <w:p>
      <w:pPr>
        <w:keepNext/>
      </w:pPr>
      <w:r>
        <w:rPr>
          <w:b/>
          <w:bCs/>
        </w:rPr>
        <w:t xml:space="preserve">Kinerja segmen 2025 (Rp miliar)</w:t>
      </w:r>
    </w:p>
    <w:tbl>
      <w:tblPr>
        <w:tblStyle w:val="TableGrid"/>
        <w:tblW w:w="9636"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2409"/>
        <w:gridCol w:w="2409"/>
        <w:gridCol w:w="2409"/>
        <w:gridCol w:w="2409"/>
      </w:tblGrid>
      <w:tr>
        <w:trPr>
          <w:cantSplit/>
          <w:tblHeader/>
        </w:trPr>
        <w:tc>
          <w:tcPr>
            <w:tcW w:w="2409" w:type="dxa"/>
            <w:shd w:val="clear" w:color="auto" w:fill="E7ECF3"/>
          </w:tcPr>
          <w:p>
            <w:pPr>
              <w:keepNext/>
              <w:spacing w:after="0"/>
            </w:pPr>
            <w:r>
              <w:rPr>
                <w:b/>
                <w:bCs/>
                <w:sz w:val="19"/>
                <w:szCs w:val="19"/>
              </w:rPr>
              <w:t xml:space="preserve">Segmen</w:t>
            </w:r>
          </w:p>
        </w:tc>
        <w:tc>
          <w:tcPr>
            <w:tcW w:w="2409" w:type="dxa"/>
            <w:shd w:val="clear" w:color="auto" w:fill="E7ECF3"/>
          </w:tcPr>
          <w:p>
            <w:pPr>
              <w:keepNext/>
              <w:spacing w:after="0"/>
            </w:pPr>
            <w:r>
              <w:rPr>
                <w:b/>
                <w:bCs/>
                <w:sz w:val="19"/>
                <w:szCs w:val="19"/>
              </w:rPr>
              <w:t xml:space="preserve">Pendapatan</w:t>
            </w:r>
          </w:p>
        </w:tc>
        <w:tc>
          <w:tcPr>
            <w:tcW w:w="2409" w:type="dxa"/>
            <w:shd w:val="clear" w:color="auto" w:fill="E7ECF3"/>
          </w:tcPr>
          <w:p>
            <w:pPr>
              <w:keepNext/>
              <w:spacing w:after="0"/>
            </w:pPr>
            <w:r>
              <w:rPr>
                <w:b/>
                <w:bCs/>
                <w:sz w:val="19"/>
                <w:szCs w:val="19"/>
              </w:rPr>
              <w:t xml:space="preserve">Laba operasi</w:t>
            </w:r>
          </w:p>
        </w:tc>
        <w:tc>
          <w:tcPr>
            <w:tcW w:w="2409" w:type="dxa"/>
            <w:shd w:val="clear" w:color="auto" w:fill="E7ECF3"/>
          </w:tcPr>
          <w:p>
            <w:pPr>
              <w:keepNext/>
              <w:spacing w:after="0"/>
            </w:pPr>
            <w:r>
              <w:rPr>
                <w:b/>
                <w:bCs/>
                <w:sz w:val="19"/>
                <w:szCs w:val="19"/>
              </w:rPr>
              <w:t xml:space="preserve">Margin operasi (%)</w:t>
            </w:r>
          </w:p>
        </w:tc>
      </w:tr>
      <w:tr>
        <w:trPr>
          <w:cantSplit/>
        </w:trPr>
        <w:tc>
          <w:tcPr>
            <w:tcW w:w="2409" w:type="dxa"/>
          </w:tcPr>
          <w:p>
            <w:pPr>
              <w:keepNext/>
              <w:spacing w:after="0"/>
            </w:pPr>
            <w:r>
              <w:rPr>
                <w:sz w:val="19"/>
                <w:szCs w:val="19"/>
              </w:rPr>
              <w:t xml:space="preserve">Pengiriman B2B</w:t>
            </w:r>
          </w:p>
        </w:tc>
        <w:tc>
          <w:tcPr>
            <w:tcW w:w="2409" w:type="dxa"/>
          </w:tcPr>
          <w:p>
            <w:pPr>
              <w:keepNext/>
              <w:spacing w:after="0"/>
            </w:pPr>
            <w:r>
              <w:rPr>
                <w:sz w:val="19"/>
                <w:szCs w:val="19"/>
              </w:rPr>
              <w:t xml:space="preserve">820</w:t>
            </w:r>
          </w:p>
        </w:tc>
        <w:tc>
          <w:tcPr>
            <w:tcW w:w="2409" w:type="dxa"/>
          </w:tcPr>
          <w:p>
            <w:pPr>
              <w:keepNext/>
              <w:spacing w:after="0"/>
            </w:pPr>
            <w:r>
              <w:rPr>
                <w:sz w:val="19"/>
                <w:szCs w:val="19"/>
              </w:rPr>
              <w:t xml:space="preserve">98,4</w:t>
            </w:r>
          </w:p>
        </w:tc>
        <w:tc>
          <w:tcPr>
            <w:tcW w:w="2409" w:type="dxa"/>
          </w:tcPr>
          <w:p>
            <w:pPr>
              <w:keepNext/>
              <w:spacing w:after="0"/>
            </w:pPr>
            <w:r>
              <w:rPr>
                <w:sz w:val="19"/>
                <w:szCs w:val="19"/>
              </w:rPr>
              <w:t xml:space="preserve">12</w:t>
            </w:r>
          </w:p>
        </w:tc>
      </w:tr>
      <w:tr>
        <w:trPr>
          <w:cantSplit/>
        </w:trPr>
        <w:tc>
          <w:tcPr>
            <w:tcW w:w="2409" w:type="dxa"/>
          </w:tcPr>
          <w:p>
            <w:pPr>
              <w:keepNext/>
              <w:spacing w:after="0"/>
            </w:pPr>
            <w:r>
              <w:rPr>
                <w:sz w:val="19"/>
                <w:szCs w:val="19"/>
              </w:rPr>
              <w:t xml:space="preserve">Pengiriman ritel</w:t>
            </w:r>
          </w:p>
        </w:tc>
        <w:tc>
          <w:tcPr>
            <w:tcW w:w="2409" w:type="dxa"/>
          </w:tcPr>
          <w:p>
            <w:pPr>
              <w:keepNext/>
              <w:spacing w:after="0"/>
            </w:pPr>
            <w:r>
              <w:rPr>
                <w:sz w:val="19"/>
                <w:szCs w:val="19"/>
              </w:rPr>
              <w:t xml:space="preserve">430</w:t>
            </w:r>
          </w:p>
        </w:tc>
        <w:tc>
          <w:tcPr>
            <w:tcW w:w="2409" w:type="dxa"/>
          </w:tcPr>
          <w:p>
            <w:pPr>
              <w:keepNext/>
              <w:spacing w:after="0"/>
            </w:pPr>
            <w:r>
              <w:rPr>
                <w:sz w:val="19"/>
                <w:szCs w:val="19"/>
              </w:rPr>
              <w:t xml:space="preserve">21,5</w:t>
            </w:r>
          </w:p>
        </w:tc>
        <w:tc>
          <w:tcPr>
            <w:tcW w:w="2409" w:type="dxa"/>
          </w:tcPr>
          <w:p>
            <w:pPr>
              <w:keepNext/>
              <w:spacing w:after="0"/>
            </w:pPr>
            <w:r>
              <w:rPr>
                <w:sz w:val="19"/>
                <w:szCs w:val="19"/>
              </w:rPr>
              <w:t xml:space="preserve">5</w:t>
            </w:r>
          </w:p>
        </w:tc>
      </w:tr>
      <w:tr>
        <w:trPr>
          <w:cantSplit/>
        </w:trPr>
        <w:tc>
          <w:tcPr>
            <w:tcW w:w="2409" w:type="dxa"/>
          </w:tcPr>
          <w:p>
            <w:pPr>
              <w:keepNext/>
              <w:spacing w:after="0"/>
            </w:pPr>
            <w:r>
              <w:rPr>
                <w:sz w:val="19"/>
                <w:szCs w:val="19"/>
              </w:rPr>
              <w:t xml:space="preserve">Pergudangan</w:t>
            </w:r>
          </w:p>
        </w:tc>
        <w:tc>
          <w:tcPr>
            <w:tcW w:w="2409" w:type="dxa"/>
          </w:tcPr>
          <w:p>
            <w:pPr>
              <w:keepNext/>
              <w:spacing w:after="0"/>
            </w:pPr>
            <w:r>
              <w:rPr>
                <w:sz w:val="19"/>
                <w:szCs w:val="19"/>
              </w:rPr>
              <w:t xml:space="preserve">250</w:t>
            </w:r>
          </w:p>
        </w:tc>
        <w:tc>
          <w:tcPr>
            <w:tcW w:w="2409" w:type="dxa"/>
          </w:tcPr>
          <w:p>
            <w:pPr>
              <w:keepNext/>
              <w:spacing w:after="0"/>
            </w:pPr>
            <w:r>
              <w:rPr>
                <w:sz w:val="19"/>
                <w:szCs w:val="19"/>
              </w:rPr>
              <w:t xml:space="preserve">37,5</w:t>
            </w:r>
          </w:p>
        </w:tc>
        <w:tc>
          <w:tcPr>
            <w:tcW w:w="2409" w:type="dxa"/>
          </w:tcPr>
          <w:p>
            <w:pPr>
              <w:keepNext/>
              <w:spacing w:after="0"/>
            </w:pPr>
            <w:r>
              <w:rPr>
                <w:sz w:val="19"/>
                <w:szCs w:val="19"/>
              </w:rPr>
              <w:t xml:space="preserve">15</w:t>
            </w:r>
          </w:p>
        </w:tc>
      </w:tr>
      <w:tr>
        <w:trPr>
          <w:cantSplit/>
        </w:trPr>
        <w:tc>
          <w:tcPr>
            <w:tcW w:w="2409" w:type="dxa"/>
          </w:tcPr>
          <w:p>
            <w:pPr>
              <w:spacing w:after="0"/>
            </w:pPr>
            <w:r>
              <w:rPr>
                <w:sz w:val="19"/>
                <w:szCs w:val="19"/>
              </w:rPr>
              <w:t xml:space="preserve">Total</w:t>
            </w:r>
          </w:p>
        </w:tc>
        <w:tc>
          <w:tcPr>
            <w:tcW w:w="2409" w:type="dxa"/>
          </w:tcPr>
          <w:p>
            <w:pPr>
              <w:spacing w:after="0"/>
            </w:pPr>
            <w:r>
              <w:rPr>
                <w:sz w:val="19"/>
                <w:szCs w:val="19"/>
              </w:rPr>
              <w:t xml:space="preserve">1.500</w:t>
            </w:r>
          </w:p>
        </w:tc>
        <w:tc>
          <w:tcPr>
            <w:tcW w:w="2409" w:type="dxa"/>
          </w:tcPr>
          <w:p>
            <w:pPr>
              <w:spacing w:after="0"/>
            </w:pPr>
            <w:r>
              <w:rPr>
                <w:sz w:val="19"/>
                <w:szCs w:val="19"/>
              </w:rPr>
              <w:t xml:space="preserve">157,4</w:t>
            </w:r>
          </w:p>
        </w:tc>
        <w:tc>
          <w:tcPr>
            <w:tcW w:w="2409" w:type="dxa"/>
          </w:tcPr>
          <w:p>
            <w:pPr>
              <w:spacing w:after="0"/>
            </w:pPr>
            <w:r>
              <w:rPr>
                <w:sz w:val="19"/>
                <w:szCs w:val="19"/>
              </w:rPr>
              <w:t xml:space="preserve">10,49</w:t>
            </w:r>
          </w:p>
        </w:tc>
      </w:tr>
    </w:tbl>
    <w:p>
      <w:pPr>
        <w:spacing w:after="120"/>
      </w:pPr>
    </w:p>
    <w:p>
      <w:r>
        <w:rPr>
          <w:b/>
          <w:bCs/>
        </w:rPr>
        <w:t xml:space="preserve">(a) [maks 8,00]: </w:t>
      </w:r>
      <w:r>
        <w:t xml:space="preserve">Analisis posisi ketiga segmen berdasarkan data kinerja dan kondisi persaingan.</w:t>
      </w:r>
    </w:p>
    <w:p>
      <w:r>
        <w:rPr>
          <w:b/>
          <w:bCs/>
        </w:rPr>
        <w:t xml:space="preserve">(b) [maks 12,00]: </w:t>
      </w:r>
      <w:r>
        <w:t xml:space="preserve">Evaluasi kedua pilihan investasi dan berikan rekomendasi beserta risikonya.</w:t>
      </w:r>
    </w:p>
    <w:p>
      <w:pPr>
        <w:pStyle w:val="Heading3"/>
      </w:pPr>
      <w:r>
        <w:t xml:space="preserve">Jawaban ideal</w:t>
      </w:r>
    </w:p>
    <w:p>
      <w:r>
        <w:rPr>
          <w:b/>
          <w:bCs/>
        </w:rPr>
        <w:t xml:space="preserve">(a)</w:t>
      </w:r>
    </w:p>
    <w:p>
      <w:r>
        <w:t xml:space="preserve">Pergudangan bermargin tertinggi (15%) dan bersinergi dengan B2B; B2B menyumbang laba terbesar (Rp98,4 miliar, margin 12%); ritel bermargin terendah (5%) dan tertekan pesaing digital.</w:t>
      </w:r>
    </w:p>
    <w:p>
      <w:r>
        <w:rPr>
          <w:b/>
          <w:bCs/>
        </w:rPr>
        <w:t xml:space="preserve">(b)</w:t>
      </w:r>
    </w:p>
    <w:p>
      <w:r>
        <w:t xml:space="preserve">Pilihan (2) lebih tepat: memperkuat segmen bermargin tinggi, membangun switching cost klien B2B, dan menghindari perang tarif. Risiko: konsentrasi pada klien besar dan utilisasi gudang; mitigasi dengan kontrak jangka panjang dan investasi bertahap.</w:t>
      </w:r>
    </w:p>
    <w:p>
      <w:r>
        <w:rPr>
          <w:b/>
          <w:bCs/>
        </w:rPr>
        <w:t xml:space="preserve">Alternatif yang dapat diterima: </w:t>
      </w:r>
      <w:r>
        <w:t xml:space="preserve">Rekomendasi pilihan (1) dapat nilai penuh pada (b) C3 bila argumennya kuat dan risikonya dianalisis. Kerangka GE-McKinsey, BCG, atau Porter boleh dipakai.</w:t>
      </w:r>
    </w:p>
    <w:p>
      <w:pPr>
        <w:pStyle w:val="Heading3"/>
      </w:pPr>
      <w:r>
        <w:t xml:space="preserve">Rubrik</w:t>
      </w:r>
    </w:p>
    <w:tbl>
      <w:tblPr>
        <w:tblStyle w:val="TableGrid"/>
        <w:tblW w:w="9637" w:type="dxa"/>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Layout w:type="fixed"/>
        <w:tblLook w:val="04A0" w:firstRow="1" w:lastRow="0" w:firstColumn="0" w:lastColumn="0" w:noHBand="0" w:noVBand="1"/>
      </w:tblPr>
      <w:tblGrid>
        <w:gridCol w:w="1068"/>
        <w:gridCol w:w="1180"/>
        <w:gridCol w:w="6325"/>
        <w:gridCol w:w="1064"/>
      </w:tblGrid>
      <w:tr>
        <w:trPr>
          <w:cantSplit/>
          <w:tblHeader/>
        </w:trPr>
        <w:tc>
          <w:tcPr>
            <w:tcW w:w="1068" w:type="dxa"/>
            <w:shd w:val="clear" w:color="auto" w:fill="E7ECF3"/>
          </w:tcPr>
          <w:p>
            <w:pPr>
              <w:keepNext/>
              <w:spacing w:after="0"/>
            </w:pPr>
            <w:r>
              <w:rPr>
                <w:b/>
                <w:bCs/>
                <w:sz w:val="19"/>
                <w:szCs w:val="19"/>
              </w:rPr>
              <w:t xml:space="preserve">Bagian</w:t>
            </w:r>
          </w:p>
        </w:tc>
        <w:tc>
          <w:tcPr>
            <w:tcW w:w="1180" w:type="dxa"/>
            <w:shd w:val="clear" w:color="auto" w:fill="E7ECF3"/>
          </w:tcPr>
          <w:p>
            <w:pPr>
              <w:keepNext/>
              <w:spacing w:after="0"/>
            </w:pPr>
            <w:r>
              <w:rPr>
                <w:b/>
                <w:bCs/>
                <w:sz w:val="19"/>
                <w:szCs w:val="19"/>
              </w:rPr>
              <w:t xml:space="preserve">Kriteria</w:t>
            </w:r>
          </w:p>
        </w:tc>
        <w:tc>
          <w:tcPr>
            <w:tcW w:w="6325" w:type="dxa"/>
            <w:shd w:val="clear" w:color="auto" w:fill="E7ECF3"/>
          </w:tcPr>
          <w:p>
            <w:pPr>
              <w:keepNext/>
              <w:spacing w:after="0"/>
            </w:pPr>
            <w:r>
              <w:rPr>
                <w:b/>
                <w:bCs/>
                <w:sz w:val="19"/>
                <w:szCs w:val="19"/>
              </w:rPr>
              <w:t xml:space="preserve">Deskripsi</w:t>
            </w:r>
          </w:p>
        </w:tc>
        <w:tc>
          <w:tcPr>
            <w:tcW w:w="1064" w:type="dxa"/>
            <w:shd w:val="clear" w:color="auto" w:fill="E7ECF3"/>
          </w:tcPr>
          <w:p>
            <w:pPr>
              <w:keepNext/>
              <w:spacing w:after="0"/>
            </w:pPr>
            <w:r>
              <w:rPr>
                <w:b/>
                <w:bCs/>
                <w:sz w:val="19"/>
                <w:szCs w:val="19"/>
              </w:rPr>
              <w:t xml:space="preserve">Maks</w:t>
            </w:r>
          </w:p>
        </w:tc>
      </w:tr>
      <w:tr>
        <w:trPr>
          <w:cantSplit/>
        </w:trPr>
        <w:tc>
          <w:tcPr>
            <w:tcW w:w="1068" w:type="dxa"/>
          </w:tcPr>
          <w:p>
            <w:pPr>
              <w:keepNext/>
              <w:spacing w:after="0"/>
            </w:pPr>
            <w:r>
              <w:rPr>
                <w:sz w:val="19"/>
                <w:szCs w:val="19"/>
              </w:rPr>
              <w:t xml:space="preserve">(a)</w:t>
            </w:r>
          </w:p>
        </w:tc>
        <w:tc>
          <w:tcPr>
            <w:tcW w:w="1180" w:type="dxa"/>
          </w:tcPr>
          <w:p>
            <w:pPr>
              <w:keepNext/>
              <w:spacing w:after="0"/>
            </w:pPr>
            <w:r>
              <w:rPr>
                <w:sz w:val="19"/>
                <w:szCs w:val="19"/>
              </w:rPr>
              <w:t xml:space="preserve">C1</w:t>
            </w:r>
          </w:p>
        </w:tc>
        <w:tc>
          <w:tcPr>
            <w:tcW w:w="6325" w:type="dxa"/>
          </w:tcPr>
          <w:p>
            <w:pPr>
              <w:keepNext/>
              <w:spacing w:after="0"/>
            </w:pPr>
            <w:r>
              <w:rPr>
                <w:sz w:val="19"/>
                <w:szCs w:val="19"/>
              </w:rPr>
              <w:t xml:space="preserve">Membaca data margin dan kontribusi laba</w:t>
            </w:r>
          </w:p>
        </w:tc>
        <w:tc>
          <w:tcPr>
            <w:tcW w:w="1064" w:type="dxa"/>
          </w:tcPr>
          <w:p>
            <w:pPr>
              <w:keepNext/>
              <w:spacing w:after="0"/>
            </w:pPr>
            <w:r>
              <w:rPr>
                <w:sz w:val="19"/>
                <w:szCs w:val="19"/>
              </w:rPr>
              <w:t xml:space="preserve">3,00</w:t>
            </w:r>
          </w:p>
        </w:tc>
      </w:tr>
      <w:tr>
        <w:trPr>
          <w:cantSplit/>
        </w:trPr>
        <w:tc>
          <w:tcPr>
            <w:tcW w:w="1068" w:type="dxa"/>
          </w:tcPr>
          <w:p>
            <w:pPr>
              <w:keepNext/>
              <w:spacing w:after="0"/>
            </w:pPr>
            <w:r>
              <w:rPr>
                <w:sz w:val="19"/>
                <w:szCs w:val="19"/>
              </w:rPr>
              <w:t xml:space="preserve">(a)</w:t>
            </w:r>
          </w:p>
        </w:tc>
        <w:tc>
          <w:tcPr>
            <w:tcW w:w="1180" w:type="dxa"/>
          </w:tcPr>
          <w:p>
            <w:pPr>
              <w:keepNext/>
              <w:spacing w:after="0"/>
            </w:pPr>
            <w:r>
              <w:rPr>
                <w:sz w:val="19"/>
                <w:szCs w:val="19"/>
              </w:rPr>
              <w:t xml:space="preserve">C2</w:t>
            </w:r>
          </w:p>
        </w:tc>
        <w:tc>
          <w:tcPr>
            <w:tcW w:w="6325" w:type="dxa"/>
          </w:tcPr>
          <w:p>
            <w:pPr>
              <w:keepNext/>
              <w:spacing w:after="0"/>
            </w:pPr>
            <w:r>
              <w:rPr>
                <w:sz w:val="19"/>
                <w:szCs w:val="19"/>
              </w:rPr>
              <w:t xml:space="preserve">Mengaitkan data dengan persaingan</w:t>
            </w:r>
          </w:p>
        </w:tc>
        <w:tc>
          <w:tcPr>
            <w:tcW w:w="1064" w:type="dxa"/>
          </w:tcPr>
          <w:p>
            <w:pPr>
              <w:keepNext/>
              <w:spacing w:after="0"/>
            </w:pPr>
            <w:r>
              <w:rPr>
                <w:sz w:val="19"/>
                <w:szCs w:val="19"/>
              </w:rPr>
              <w:t xml:space="preserve">3,00</w:t>
            </w:r>
          </w:p>
        </w:tc>
      </w:tr>
      <w:tr>
        <w:trPr>
          <w:cantSplit/>
        </w:trPr>
        <w:tc>
          <w:tcPr>
            <w:tcW w:w="1068" w:type="dxa"/>
          </w:tcPr>
          <w:p>
            <w:pPr>
              <w:keepNext/>
              <w:spacing w:after="0"/>
            </w:pPr>
            <w:r>
              <w:rPr>
                <w:sz w:val="19"/>
                <w:szCs w:val="19"/>
              </w:rPr>
              <w:t xml:space="preserve">(a)</w:t>
            </w:r>
          </w:p>
        </w:tc>
        <w:tc>
          <w:tcPr>
            <w:tcW w:w="1180" w:type="dxa"/>
          </w:tcPr>
          <w:p>
            <w:pPr>
              <w:keepNext/>
              <w:spacing w:after="0"/>
            </w:pPr>
            <w:r>
              <w:rPr>
                <w:sz w:val="19"/>
                <w:szCs w:val="19"/>
              </w:rPr>
              <w:t xml:space="preserve">C3</w:t>
            </w:r>
          </w:p>
        </w:tc>
        <w:tc>
          <w:tcPr>
            <w:tcW w:w="6325" w:type="dxa"/>
          </w:tcPr>
          <w:p>
            <w:pPr>
              <w:keepNext/>
              <w:spacing w:after="0"/>
            </w:pPr>
            <w:r>
              <w:rPr>
                <w:sz w:val="19"/>
                <w:szCs w:val="19"/>
              </w:rPr>
              <w:t xml:space="preserve">Kesimpulan posisi segmen</w:t>
            </w:r>
          </w:p>
        </w:tc>
        <w:tc>
          <w:tcPr>
            <w:tcW w:w="1064" w:type="dxa"/>
          </w:tcPr>
          <w:p>
            <w:pPr>
              <w:keepNext/>
              <w:spacing w:after="0"/>
            </w:pPr>
            <w:r>
              <w:rPr>
                <w:sz w:val="19"/>
                <w:szCs w:val="19"/>
              </w:rPr>
              <w:t xml:space="preserve">2,00</w:t>
            </w:r>
          </w:p>
        </w:tc>
      </w:tr>
      <w:tr>
        <w:trPr>
          <w:cantSplit/>
        </w:trPr>
        <w:tc>
          <w:tcPr>
            <w:tcW w:w="1068" w:type="dxa"/>
          </w:tcPr>
          <w:p>
            <w:pPr>
              <w:keepNext/>
              <w:spacing w:after="0"/>
            </w:pPr>
            <w:r>
              <w:rPr>
                <w:sz w:val="19"/>
                <w:szCs w:val="19"/>
              </w:rPr>
              <w:t xml:space="preserve">(b)</w:t>
            </w:r>
          </w:p>
        </w:tc>
        <w:tc>
          <w:tcPr>
            <w:tcW w:w="1180" w:type="dxa"/>
          </w:tcPr>
          <w:p>
            <w:pPr>
              <w:keepNext/>
              <w:spacing w:after="0"/>
            </w:pPr>
            <w:r>
              <w:rPr>
                <w:sz w:val="19"/>
                <w:szCs w:val="19"/>
              </w:rPr>
              <w:t xml:space="preserve">C1</w:t>
            </w:r>
          </w:p>
        </w:tc>
        <w:tc>
          <w:tcPr>
            <w:tcW w:w="6325" w:type="dxa"/>
          </w:tcPr>
          <w:p>
            <w:pPr>
              <w:keepNext/>
              <w:spacing w:after="0"/>
            </w:pPr>
            <w:r>
              <w:rPr>
                <w:sz w:val="19"/>
                <w:szCs w:val="19"/>
              </w:rPr>
              <w:t xml:space="preserve">Evaluasi pilihan (1)</w:t>
            </w:r>
          </w:p>
        </w:tc>
        <w:tc>
          <w:tcPr>
            <w:tcW w:w="1064" w:type="dxa"/>
          </w:tcPr>
          <w:p>
            <w:pPr>
              <w:keepNext/>
              <w:spacing w:after="0"/>
            </w:pPr>
            <w:r>
              <w:rPr>
                <w:sz w:val="19"/>
                <w:szCs w:val="19"/>
              </w:rPr>
              <w:t xml:space="preserve">4,00</w:t>
            </w:r>
          </w:p>
        </w:tc>
      </w:tr>
      <w:tr>
        <w:trPr>
          <w:cantSplit/>
        </w:trPr>
        <w:tc>
          <w:tcPr>
            <w:tcW w:w="1068" w:type="dxa"/>
          </w:tcPr>
          <w:p>
            <w:pPr>
              <w:keepNext/>
              <w:spacing w:after="0"/>
            </w:pPr>
            <w:r>
              <w:rPr>
                <w:sz w:val="19"/>
                <w:szCs w:val="19"/>
              </w:rPr>
              <w:t xml:space="preserve">(b)</w:t>
            </w:r>
          </w:p>
        </w:tc>
        <w:tc>
          <w:tcPr>
            <w:tcW w:w="1180" w:type="dxa"/>
          </w:tcPr>
          <w:p>
            <w:pPr>
              <w:keepNext/>
              <w:spacing w:after="0"/>
            </w:pPr>
            <w:r>
              <w:rPr>
                <w:sz w:val="19"/>
                <w:szCs w:val="19"/>
              </w:rPr>
              <w:t xml:space="preserve">C2</w:t>
            </w:r>
          </w:p>
        </w:tc>
        <w:tc>
          <w:tcPr>
            <w:tcW w:w="6325" w:type="dxa"/>
          </w:tcPr>
          <w:p>
            <w:pPr>
              <w:keepNext/>
              <w:spacing w:after="0"/>
            </w:pPr>
            <w:r>
              <w:rPr>
                <w:sz w:val="19"/>
                <w:szCs w:val="19"/>
              </w:rPr>
              <w:t xml:space="preserve">Evaluasi pilihan (2)</w:t>
            </w:r>
          </w:p>
        </w:tc>
        <w:tc>
          <w:tcPr>
            <w:tcW w:w="1064" w:type="dxa"/>
          </w:tcPr>
          <w:p>
            <w:pPr>
              <w:keepNext/>
              <w:spacing w:after="0"/>
            </w:pPr>
            <w:r>
              <w:rPr>
                <w:sz w:val="19"/>
                <w:szCs w:val="19"/>
              </w:rPr>
              <w:t xml:space="preserve">4,00</w:t>
            </w:r>
          </w:p>
        </w:tc>
      </w:tr>
      <w:tr>
        <w:trPr>
          <w:cantSplit/>
        </w:trPr>
        <w:tc>
          <w:tcPr>
            <w:tcW w:w="1068" w:type="dxa"/>
          </w:tcPr>
          <w:p>
            <w:pPr>
              <w:keepNext/>
              <w:spacing w:after="0"/>
            </w:pPr>
            <w:r>
              <w:rPr>
                <w:sz w:val="19"/>
                <w:szCs w:val="19"/>
              </w:rPr>
              <w:t xml:space="preserve">(b)</w:t>
            </w:r>
          </w:p>
        </w:tc>
        <w:tc>
          <w:tcPr>
            <w:tcW w:w="1180" w:type="dxa"/>
          </w:tcPr>
          <w:p>
            <w:pPr>
              <w:keepNext/>
              <w:spacing w:after="0"/>
            </w:pPr>
            <w:r>
              <w:rPr>
                <w:sz w:val="19"/>
                <w:szCs w:val="19"/>
              </w:rPr>
              <w:t xml:space="preserve">C3</w:t>
            </w:r>
          </w:p>
        </w:tc>
        <w:tc>
          <w:tcPr>
            <w:tcW w:w="6325" w:type="dxa"/>
          </w:tcPr>
          <w:p>
            <w:pPr>
              <w:keepNext/>
              <w:spacing w:after="0"/>
            </w:pPr>
            <w:r>
              <w:rPr>
                <w:sz w:val="19"/>
                <w:szCs w:val="19"/>
              </w:rPr>
              <w:t xml:space="preserve">Rekomendasi</w:t>
            </w:r>
          </w:p>
        </w:tc>
        <w:tc>
          <w:tcPr>
            <w:tcW w:w="1064" w:type="dxa"/>
          </w:tcPr>
          <w:p>
            <w:pPr>
              <w:keepNext/>
              <w:spacing w:after="0"/>
            </w:pPr>
            <w:r>
              <w:rPr>
                <w:sz w:val="19"/>
                <w:szCs w:val="19"/>
              </w:rPr>
              <w:t xml:space="preserve">2,00</w:t>
            </w:r>
          </w:p>
        </w:tc>
      </w:tr>
      <w:tr>
        <w:trPr>
          <w:cantSplit/>
        </w:trPr>
        <w:tc>
          <w:tcPr>
            <w:tcW w:w="1068" w:type="dxa"/>
          </w:tcPr>
          <w:p>
            <w:pPr>
              <w:spacing w:after="0"/>
            </w:pPr>
            <w:r>
              <w:rPr>
                <w:sz w:val="19"/>
                <w:szCs w:val="19"/>
              </w:rPr>
              <w:t xml:space="preserve">(b)</w:t>
            </w:r>
          </w:p>
        </w:tc>
        <w:tc>
          <w:tcPr>
            <w:tcW w:w="1180" w:type="dxa"/>
          </w:tcPr>
          <w:p>
            <w:pPr>
              <w:spacing w:after="0"/>
            </w:pPr>
            <w:r>
              <w:rPr>
                <w:sz w:val="19"/>
                <w:szCs w:val="19"/>
              </w:rPr>
              <w:t xml:space="preserve">C4</w:t>
            </w:r>
          </w:p>
        </w:tc>
        <w:tc>
          <w:tcPr>
            <w:tcW w:w="6325" w:type="dxa"/>
          </w:tcPr>
          <w:p>
            <w:pPr>
              <w:spacing w:after="0"/>
            </w:pPr>
            <w:r>
              <w:rPr>
                <w:sz w:val="19"/>
                <w:szCs w:val="19"/>
              </w:rPr>
              <w:t xml:space="preserve">Risiko dan mitigasi</w:t>
            </w:r>
          </w:p>
        </w:tc>
        <w:tc>
          <w:tcPr>
            <w:tcW w:w="1064" w:type="dxa"/>
          </w:tcPr>
          <w:p>
            <w:pPr>
              <w:spacing w:after="0"/>
            </w:pPr>
            <w:r>
              <w:rPr>
                <w:sz w:val="19"/>
                <w:szCs w:val="19"/>
              </w:rPr>
              <w:t xml:space="preserve">2,00</w:t>
            </w:r>
          </w:p>
        </w:tc>
      </w:tr>
    </w:tbl>
    <w:p>
      <w:pPr>
        <w:spacing w:after="120"/>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jc w:val="center"/>
    </w:pPr>
    <w:r>
      <w:rPr>
        <w:color w:val="555E6B"/>
        <w:sz w:val="16"/>
        <w:szCs w:val="16"/>
      </w:rPr>
      <w:t xml:space="preserve">Lembar Belajar · ID sesi demo-20261017-99d81897 · Halaman </w:t>
    </w:r>
    <w:fldSimple w:instr=" PAGE ">
      <w:r>
        <w:rPr>
          <w:color w:val="555E6B"/>
          <w:sz w:val="16"/>
          <w:szCs w:val="16"/>
        </w:rPr>
        <w:t xml:space="preserve">1</w:t>
      </w:r>
    </w:fldSimple>
    <w:r>
      <w:rPr>
        <w:color w:val="555E6B"/>
        <w:sz w:val="16"/>
        <w:szCs w:val="16"/>
      </w:rPr>
      <w:t xml:space="preserve"> dari </w:t>
    </w:r>
    <w:fldSimple w:instr=" NUMPAGES ">
      <w:r>
        <w:rPr>
          <w:color w:val="555E6B"/>
          <w:sz w:val="16"/>
          <w:szCs w:val="16"/>
        </w:rPr>
        <w:t xml:space="preserve">1</w:t>
      </w:r>
    </w:fldSimple>
  </w:p>
</w:ftr>
</file>

<file path=word/styles.xml><?xml version="1.0" encoding="utf-8"?>
<w:styles xmlns:w="http://schemas.openxmlformats.org/wordprocessingml/2006/main">
  <w:docDefaults>
    <w:rPrDefault>
      <w:rPr>
        <w:rFonts w:ascii="Calibri" w:hAnsi="Calibri" w:eastAsia="Calibri" w:cs="Calibri"/>
        <w:sz w:val="22"/>
        <w:szCs w:val="22"/>
        <w:lang w:val="id-ID" w:eastAsia="en-US" w:bidi="ar-SA"/>
      </w:rPr>
    </w:rPrDefault>
    <w:pPrDefault>
      <w:pPr>
        <w:spacing w:after="120" w:line="264" w:lineRule="auto"/>
      </w:pPr>
    </w:pPrDefault>
  </w:docDefaults>
  <w:style w:type="paragraph" w:default="1" w:styleId="Normal">
    <w:name w:val="Normal"/>
    <w:qFormat/>
  </w:style>
  <w:style w:type="paragraph" w:styleId="Title">
    <w:name w:val="Title"/>
    <w:basedOn w:val="Normal"/>
    <w:next w:val="Normal"/>
    <w:uiPriority w:val="10"/>
    <w:qFormat/>
    <w:pPr>
      <w:spacing w:before="2400" w:after="240"/>
    </w:pPr>
    <w:rPr>
      <w:b/>
      <w:bCs/>
      <w:color w:val="1D4ED8"/>
      <w:sz w:val="52"/>
      <w:szCs w:val="52"/>
    </w:rPr>
  </w:style>
  <w:style w:type="paragraph" w:styleId="Subtitle">
    <w:name w:val="Subtitle"/>
    <w:basedOn w:val="Normal"/>
    <w:next w:val="Normal"/>
    <w:uiPriority w:val="11"/>
    <w:qFormat/>
    <w:pPr>
      <w:spacing w:after="360"/>
    </w:pPr>
    <w:rPr>
      <w:color w:val="555E6B"/>
      <w:sz w:val="30"/>
      <w:szCs w:val="30"/>
    </w:rPr>
  </w:style>
  <w:style w:type="paragraph" w:styleId="Heading1">
    <w:name w:val="heading 1"/>
    <w:basedOn w:val="Normal"/>
    <w:next w:val="Normal"/>
    <w:uiPriority w:val="9"/>
    <w:qFormat/>
    <w:pPr>
      <w:keepNext/>
      <w:keepLines/>
      <w:spacing w:before="360" w:after="120"/>
      <w:outlineLvl w:val="0"/>
    </w:pPr>
    <w:rPr>
      <w:b/>
      <w:bCs/>
      <w:color w:val="1D4ED8"/>
      <w:sz w:val="32"/>
      <w:szCs w:val="32"/>
    </w:rPr>
  </w:style>
  <w:style w:type="paragraph" w:styleId="Heading2">
    <w:name w:val="heading 2"/>
    <w:basedOn w:val="Normal"/>
    <w:next w:val="Normal"/>
    <w:uiPriority w:val="9"/>
    <w:qFormat/>
    <w:pPr>
      <w:keepNext/>
      <w:keepLines/>
      <w:spacing w:before="280" w:after="120"/>
      <w:outlineLvl w:val="1"/>
    </w:pPr>
    <w:rPr>
      <w:b/>
      <w:bCs/>
      <w:color w:val="1B1F24"/>
      <w:sz w:val="27"/>
      <w:szCs w:val="27"/>
    </w:rPr>
  </w:style>
  <w:style w:type="paragraph" w:styleId="Heading3">
    <w:name w:val="heading 3"/>
    <w:basedOn w:val="Normal"/>
    <w:next w:val="Normal"/>
    <w:uiPriority w:val="9"/>
    <w:qFormat/>
    <w:pPr>
      <w:keepNext/>
      <w:keepLines/>
      <w:spacing w:before="200" w:after="120"/>
      <w:outlineLvl w:val="2"/>
    </w:pPr>
    <w:rPr>
      <w:b/>
      <w:bCs/>
      <w:color w:val="1B1F24"/>
      <w:sz w:val="23"/>
      <w:szCs w:val="23"/>
    </w:rPr>
  </w:style>
  <w:style w:type="paragraph" w:customStyle="1" w:styleId="Kecil">
    <w:name w:val="Kecil"/>
    <w:basedOn w:val="Normal"/>
    <w:qFormat/>
    <w:rPr>
      <w:sz w:val="18"/>
      <w:szCs w:val="18"/>
    </w:rPr>
  </w:style>
  <w:style w:type="paragraph" w:customStyle="1" w:styleId="Butir">
    <w:name w:val="Butir"/>
    <w:basedOn w:val="Normal"/>
    <w:qFormat/>
    <w:pPr>
      <w:tabs>
        <w:tab w:val="left" w:pos="360"/>
      </w:tabs>
      <w:spacing w:after="60"/>
      <w:ind w:left="360" w:hanging="360"/>
    </w:p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before="40" w:after="40" w:line="240" w:lineRule="auto"/>
    </w:pPr>
    <w:tblPr>
      <w:tblBorders>
        <w:top w:val="single" w:sz="4" w:space="0" w:color="8C96A3"/>
        <w:left w:val="single" w:sz="4" w:space="0" w:color="8C96A3"/>
        <w:bottom w:val="single" w:sz="4" w:space="0" w:color="8C96A3"/>
        <w:right w:val="single" w:sz="4" w:space="0" w:color="8C96A3"/>
        <w:insideH w:val="single" w:sz="4" w:space="0" w:color="8C96A3"/>
        <w:insideV w:val="single" w:sz="4" w:space="0" w:color="8C96A3"/>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dc:title>Lembar Belajar</dc:title>
  <dc:creator>Simulator Ujian CA</dc:creator>
  <dc:language>id-ID</dc:language>
  <dcterms:created xsi:type="dcterms:W3CDTF">2026-10-17T01:40:00Z</dcterms:created>
  <dcterms:modified xsi:type="dcterms:W3CDTF">2026-10-17T01:40:00Z</dcterms:modified>
</cp:coreProperties>
</file>