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04615" cy="1402715"/>
            <wp:effectExtent b="0" l="0" r="0" t="0"/>
            <wp:docPr descr="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40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after="120" w:before="480" w:line="276" w:lineRule="auto"/>
        <w:jc w:val="center"/>
        <w:rPr/>
      </w:pPr>
      <w:bookmarkStart w:colFirst="0" w:colLast="0" w:name="_heading=h.2sggnzgclpi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BC2402 ANALYTICS I:</w:t>
        <w:br w:type="textWrapping"/>
        <w:t xml:space="preserve">VISUAL &amp; PREDICTIVE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spacing w:after="120" w:before="480" w:line="276" w:lineRule="auto"/>
        <w:jc w:val="center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heading=h.9244imdswgnw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AY21/22 SEM 1 | SEMINAR 2, TEAM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aysts2x92v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LINK TO PUBLICLY AVAILABLE DATASET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Courier New" w:cs="Courier New" w:eastAsia="Courier New" w:hAnsi="Courier New"/>
          <w:sz w:val="42"/>
          <w:szCs w:val="42"/>
        </w:rPr>
      </w:pPr>
      <w:bookmarkStart w:colFirst="0" w:colLast="0" w:name="_heading=h.35qfwsphuq1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Courier New" w:cs="Courier New" w:eastAsia="Courier New" w:hAnsi="Courier New"/>
          <w:sz w:val="36"/>
          <w:szCs w:val="36"/>
        </w:rPr>
      </w:pPr>
      <w:bookmarkStart w:colFirst="0" w:colLast="0" w:name="_heading=h.95qj0qnxs8he" w:id="4"/>
      <w:bookmarkEnd w:id="4"/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Databank | The World Bank</w:t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Courier New" w:cs="Courier New" w:eastAsia="Courier New" w:hAnsi="Courier New"/>
          <w:sz w:val="36"/>
          <w:szCs w:val="36"/>
        </w:rPr>
      </w:pPr>
      <w:bookmarkStart w:colFirst="0" w:colLast="0" w:name="_heading=h.qbm06yr4y1r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rFonts w:ascii="Courier New" w:cs="Courier New" w:eastAsia="Courier New" w:hAnsi="Courier New"/>
          <w:sz w:val="36"/>
          <w:szCs w:val="36"/>
        </w:rPr>
      </w:pPr>
      <w:bookmarkStart w:colFirst="0" w:colLast="0" w:name="_heading=h.s214f1b8w25t" w:id="6"/>
      <w:bookmarkEnd w:id="6"/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36"/>
            <w:szCs w:val="36"/>
            <w:u w:val="single"/>
            <w:rtl w:val="0"/>
          </w:rPr>
          <w:t xml:space="preserve">https://databank.worldbank.org/source/education-statistics-%5E-all-indicators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atabank.worldbank.org/source/education-statistics-%5E-all-indi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+B7RM1Jtwkqd1xKkgl5Qwq9Zjg==">AMUW2mWecbyhG/o/2EeZRcyOxykBGuVE7IpMQHmcsQc86mMA1yQGImOeRPRSVzyw9EiTLHoO16UHvDMUc9laTBgea5Zy+O1e1KRlCkALM4fLrByUljx1uOucy0bJZzJAtMK1Mut2YQ4QtFRBVFINbtgwzEQKn39FWWpmaOOaJaqPiiddMYH5V4zbAneVDwf8WiWDTwS8kL1WYECR1vsiw4G0TzcHMPJPArBdwh6hSxYG82Q2U5+3xXVm6Ytjz5kHOPbvECAHp0LH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