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FC0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全量包更新方式</w:t>
      </w:r>
    </w:p>
    <w:p w14:paraId="3CE84A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使用crt等网络ssh工具登录到A控上层板上，登录后输入 </w:t>
      </w:r>
      <w:r>
        <w:rPr>
          <w:rFonts w:hint="default"/>
          <w:lang w:val="en-US" w:eastAsia="zh-CN"/>
        </w:rPr>
        <w:tab/>
      </w:r>
    </w:p>
    <w:p w14:paraId="025F53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killall tcu_daemon zk_comm daemon</w:t>
      </w:r>
    </w:p>
    <w:p w14:paraId="342187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等待约半分钟后，使用winscp将安装程序放到目标控制器的‘/usr/app/config’目录下。</w:t>
      </w:r>
    </w:p>
    <w:p w14:paraId="08C8B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4E990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910965" cy="2696845"/>
            <wp:effectExtent l="0" t="0" r="635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62095" cy="2800985"/>
            <wp:effectExtent l="0" t="0" r="190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8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B0C7E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3.使用crt等串口命令输入指令 </w:t>
      </w:r>
    </w:p>
    <w:p w14:paraId="66A6A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/usr/app/config/ &amp;&amp; chmod 777 * &amp;&amp; ./tcu_update -p /usr/app/config/install.tar.gz -qws &amp;&amp; reboot</w:t>
      </w:r>
    </w:p>
    <w:p w14:paraId="61BCEE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屏幕显示安装中界面，等到进度条至100%，右下角出现完成按钮，点击完成按钮，系统将自动重启。</w:t>
      </w:r>
    </w:p>
    <w:p w14:paraId="0BC598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7597CEB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重启后，点击左下角，进入”关于” 页面，点击‘获取权限’页，输入密码‘6186’。</w:t>
      </w:r>
    </w:p>
    <w:p w14:paraId="516113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获取权限后，进入‘参数配置’页面，配置充电桩号、电表地址、桩密钥、电表波特率</w:t>
      </w:r>
      <w:bookmarkStart w:id="0" w:name="_GoBack"/>
      <w:bookmarkEnd w:id="0"/>
      <w:r>
        <w:rPr>
          <w:rFonts w:hint="eastAsia"/>
          <w:lang w:val="en-US" w:eastAsia="zh-CN"/>
        </w:rPr>
        <w:t>等参数，后点击确认按钮，约15秒后自动重启。</w:t>
      </w:r>
    </w:p>
    <w:p w14:paraId="666CF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18415" b="15240"/>
            <wp:docPr id="6" name="图片 6" descr="102de69ab51319d73059467266bf5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2de69ab51319d73059467266bf5ec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A6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587BAA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07A8F8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增量包更新方式</w:t>
      </w:r>
    </w:p>
    <w:p w14:paraId="01D49A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1.将install</w:t>
      </w:r>
      <w:r>
        <w:rPr>
          <w:rFonts w:hint="default"/>
          <w:lang w:val="en-US" w:eastAsia="zh-CN"/>
        </w:rPr>
        <w:t>.tar.gz</w:t>
      </w:r>
      <w:r>
        <w:rPr>
          <w:rFonts w:hint="eastAsia"/>
          <w:lang w:val="en-US" w:eastAsia="zh-CN"/>
        </w:rPr>
        <w:t>放到u盘中使用左下角“关于”页中的u盘升级功能升级。保留之前的配置文件。</w:t>
      </w:r>
    </w:p>
    <w:p w14:paraId="1F8B28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02B24B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25F98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394975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23CAB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其他：</w:t>
      </w:r>
    </w:p>
    <w:p w14:paraId="20A85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对于需要开启“即插即充”功能的场站，需要修改A控上层板中“/usr/app/config”内的“tcu</w:t>
      </w:r>
      <w:r>
        <w:rPr>
          <w:rFonts w:hint="default"/>
          <w:lang w:val="en-US" w:eastAsia="zh-CN"/>
        </w:rPr>
        <w:t>_hmi.ini”</w:t>
      </w:r>
      <w:r>
        <w:rPr>
          <w:rFonts w:hint="eastAsia"/>
          <w:lang w:val="en-US" w:eastAsia="zh-CN"/>
        </w:rPr>
        <w:t>文件，将对应功能配置改为1，保存并刷新等待同步后进行重启。</w:t>
      </w:r>
    </w:p>
    <w:p w14:paraId="2788F8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738755"/>
            <wp:effectExtent l="0" t="0" r="11430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F1930"/>
    <w:multiLevelType w:val="singleLevel"/>
    <w:tmpl w:val="BFDF193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EFAEE8D"/>
    <w:multiLevelType w:val="multilevel"/>
    <w:tmpl w:val="FEFAEE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81E1E"/>
    <w:rsid w:val="4BA81E1E"/>
    <w:rsid w:val="75AFF592"/>
    <w:rsid w:val="7BFEFD9C"/>
    <w:rsid w:val="7FFF1ED9"/>
    <w:rsid w:val="F1788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864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2026-04-02T17:34:00Z</dcterms:created>
  <dc:creator>阵雨中的车站</dc:creator>
  <cp:lastModifiedBy>阵雨中的车站</cp:lastModifiedBy>
  <dcterms:modified xsi:type="dcterms:W3CDTF">2026-05-12T15:11:52Z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FCEF03BBA54EAAA32B76CC69DF32F96F_41</vt:lpwstr>
  </property>
</Properties>
</file>