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2921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auto"/>
        <w:outlineLvl w:val="9"/>
        <w:rPr>
          <w:rFonts w:hint="default" w:ascii="宋体" w:hAnsi="宋体" w:cs="宋体"/>
          <w:b/>
          <w:bCs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shd w:val="clear" w:color="auto" w:fill="FFFFFF"/>
          <w:lang w:val="en-US" w:eastAsia="zh-CN"/>
        </w:rPr>
        <w:t>输入输出</w:t>
      </w:r>
    </w:p>
    <w:p w14:paraId="36EA1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textAlignment w:val="auto"/>
        <w:rPr>
          <w:rFonts w:hint="eastAsia" w:ascii="Times New Roman" w:hAnsi="Times New Roman" w:eastAsia="仿宋_GB2312" w:cs="宋体"/>
          <w:sz w:val="28"/>
          <w:szCs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仿宋_GB2312" w:cs="宋体"/>
          <w:sz w:val="28"/>
          <w:szCs w:val="24"/>
          <w:shd w:val="clear" w:color="auto" w:fill="FFFFFF"/>
          <w:lang w:val="en-US" w:eastAsia="zh-CN"/>
        </w:rPr>
        <w:t>系统涉及的主要硬件与设备输入输出如下：</w:t>
      </w:r>
    </w:p>
    <w:p w14:paraId="22DB9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textAlignment w:val="auto"/>
        <w:rPr>
          <w:rFonts w:hint="eastAsia" w:ascii="Times New Roman" w:hAnsi="Times New Roman" w:eastAsia="仿宋_GB2312" w:cs="宋体"/>
          <w:sz w:val="28"/>
          <w:szCs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仿宋_GB2312" w:cs="宋体"/>
          <w:sz w:val="28"/>
          <w:szCs w:val="24"/>
          <w:shd w:val="clear" w:color="auto" w:fill="FFFFFF"/>
          <w:lang w:val="en-US" w:eastAsia="zh-CN"/>
        </w:rPr>
        <w:t>1. 主控通信接口：CAN、RS485、共享内存映射或网络接口，视现场主控实现而定。</w:t>
      </w:r>
    </w:p>
    <w:p w14:paraId="0A446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textAlignment w:val="auto"/>
        <w:rPr>
          <w:rFonts w:hint="eastAsia" w:ascii="Times New Roman" w:hAnsi="Times New Roman" w:eastAsia="仿宋_GB2312" w:cs="宋体"/>
          <w:sz w:val="28"/>
          <w:szCs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仿宋_GB2312" w:cs="宋体"/>
          <w:sz w:val="28"/>
          <w:szCs w:val="24"/>
          <w:shd w:val="clear" w:color="auto" w:fill="FFFFFF"/>
          <w:lang w:val="en-US" w:eastAsia="zh-CN"/>
        </w:rPr>
        <w:t>2. 电表接口：RS485，当前计量模块使用 DLT645 规约读取电表。</w:t>
      </w:r>
    </w:p>
    <w:p w14:paraId="74EE7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textAlignment w:val="auto"/>
        <w:rPr>
          <w:rFonts w:hint="eastAsia" w:ascii="Times New Roman" w:hAnsi="Times New Roman" w:eastAsia="仿宋_GB2312" w:cs="宋体"/>
          <w:sz w:val="28"/>
          <w:szCs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仿宋_GB2312" w:cs="宋体"/>
          <w:sz w:val="28"/>
          <w:szCs w:val="24"/>
          <w:shd w:val="clear" w:color="auto" w:fill="FFFFFF"/>
          <w:lang w:val="en-US" w:eastAsia="zh-CN"/>
        </w:rPr>
        <w:t>3. 平台通信接口：4G 或以太网网络链路，对外使用 TCP、MQTT 或现场私有协议。</w:t>
      </w:r>
    </w:p>
    <w:p w14:paraId="0D3B0FC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auto"/>
        <w:outlineLvl w:val="9"/>
        <w:rPr>
          <w:rFonts w:hint="default" w:ascii="宋体" w:hAnsi="宋体" w:cs="宋体"/>
          <w:b/>
          <w:bCs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shd w:val="clear" w:color="auto" w:fill="FFFFFF"/>
          <w:lang w:val="en-US" w:eastAsia="zh-CN"/>
        </w:rPr>
        <w:t>通信接口</w:t>
      </w:r>
    </w:p>
    <w:p w14:paraId="475C7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Times New Roman" w:hAnsi="Times New Roman" w:eastAsia="仿宋_GB2312" w:cs="宋体"/>
          <w:sz w:val="28"/>
          <w:szCs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仿宋_GB2312" w:cs="宋体"/>
          <w:sz w:val="28"/>
          <w:szCs w:val="24"/>
          <w:shd w:val="clear" w:color="auto" w:fill="FFFFFF"/>
          <w:lang w:val="en-US" w:eastAsia="zh-CN"/>
        </w:rPr>
        <w:t>外部通信：</w:t>
      </w:r>
    </w:p>
    <w:p w14:paraId="67AED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textAlignment w:val="auto"/>
        <w:rPr>
          <w:rFonts w:hint="eastAsia" w:ascii="Times New Roman" w:hAnsi="Times New Roman" w:eastAsia="仿宋_GB2312" w:cs="宋体"/>
          <w:sz w:val="28"/>
          <w:szCs w:val="24"/>
          <w:shd w:val="clear" w:color="auto" w:fill="FFFFFF"/>
          <w:lang w:val="en-US" w:eastAsia="zh-CN"/>
        </w:rPr>
      </w:pPr>
      <w:r>
        <w:rPr>
          <w:rFonts w:hint="eastAsia" w:eastAsia="仿宋_GB2312" w:cs="宋体"/>
          <w:sz w:val="28"/>
          <w:szCs w:val="24"/>
          <w:shd w:val="clear" w:color="auto" w:fill="FFFFFF"/>
          <w:lang w:val="en-US" w:eastAsia="zh-CN"/>
        </w:rPr>
        <w:t>（a）</w:t>
      </w:r>
      <w:r>
        <w:rPr>
          <w:rFonts w:hint="eastAsia" w:ascii="Times New Roman" w:hAnsi="Times New Roman" w:eastAsia="仿宋_GB2312" w:cs="宋体"/>
          <w:sz w:val="28"/>
          <w:szCs w:val="24"/>
          <w:shd w:val="clear" w:color="auto" w:fill="FFFFFF"/>
          <w:lang w:val="en-US" w:eastAsia="zh-CN"/>
        </w:rPr>
        <w:t>comm 进程负责与运营平台进行 TCP私有规约交互。</w:t>
      </w:r>
    </w:p>
    <w:p w14:paraId="6E9BF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textAlignment w:val="auto"/>
        <w:rPr>
          <w:rFonts w:hint="eastAsia" w:ascii="Times New Roman" w:hAnsi="Times New Roman" w:eastAsia="仿宋_GB2312" w:cs="宋体"/>
          <w:sz w:val="28"/>
          <w:szCs w:val="24"/>
          <w:shd w:val="clear" w:color="auto" w:fill="FFFFFF"/>
          <w:lang w:val="en-US" w:eastAsia="zh-CN"/>
        </w:rPr>
      </w:pPr>
      <w:r>
        <w:rPr>
          <w:rFonts w:hint="eastAsia" w:eastAsia="仿宋_GB2312" w:cs="宋体"/>
          <w:sz w:val="28"/>
          <w:szCs w:val="24"/>
          <w:shd w:val="clear" w:color="auto" w:fill="FFFFFF"/>
          <w:lang w:val="en-US" w:eastAsia="zh-CN"/>
        </w:rPr>
        <w:t>（b）</w:t>
      </w:r>
      <w:r>
        <w:rPr>
          <w:rFonts w:hint="eastAsia" w:ascii="Times New Roman" w:hAnsi="Times New Roman" w:eastAsia="仿宋_GB2312" w:cs="宋体"/>
          <w:sz w:val="28"/>
          <w:szCs w:val="24"/>
          <w:shd w:val="clear" w:color="auto" w:fill="FFFFFF"/>
          <w:lang w:val="en-US" w:eastAsia="zh-CN"/>
        </w:rPr>
        <w:t>pile_controller 进程负责与 CCU 或主控设备交互。</w:t>
      </w:r>
    </w:p>
    <w:p w14:paraId="6302A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textAlignment w:val="auto"/>
        <w:rPr>
          <w:rFonts w:hint="eastAsia" w:ascii="Times New Roman" w:hAnsi="Times New Roman" w:eastAsia="仿宋_GB2312" w:cs="宋体"/>
          <w:sz w:val="28"/>
          <w:szCs w:val="24"/>
          <w:shd w:val="clear" w:color="auto" w:fill="FFFFFF"/>
          <w:lang w:val="en-US" w:eastAsia="zh-CN"/>
        </w:rPr>
      </w:pPr>
      <w:r>
        <w:rPr>
          <w:rFonts w:hint="eastAsia" w:eastAsia="仿宋_GB2312" w:cs="宋体"/>
          <w:sz w:val="28"/>
          <w:szCs w:val="24"/>
          <w:shd w:val="clear" w:color="auto" w:fill="FFFFFF"/>
          <w:lang w:val="en-US" w:eastAsia="zh-CN"/>
        </w:rPr>
        <w:t>（c）</w:t>
      </w:r>
      <w:r>
        <w:rPr>
          <w:rFonts w:hint="eastAsia" w:ascii="Times New Roman" w:hAnsi="Times New Roman" w:eastAsia="仿宋_GB2312" w:cs="宋体"/>
          <w:sz w:val="28"/>
          <w:szCs w:val="24"/>
          <w:shd w:val="clear" w:color="auto" w:fill="FFFFFF"/>
          <w:lang w:val="en-US" w:eastAsia="zh-CN"/>
        </w:rPr>
        <w:t>meter 进程负责通过串口轮询读取电能、电压、电流等数据。</w:t>
      </w:r>
    </w:p>
    <w:p w14:paraId="0EEB3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Times New Roman" w:hAnsi="Times New Roman" w:eastAsia="仿宋_GB2312" w:cs="宋体"/>
          <w:sz w:val="28"/>
          <w:szCs w:val="24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仿宋_GB2312" w:cs="宋体"/>
          <w:sz w:val="28"/>
          <w:szCs w:val="24"/>
          <w:shd w:val="clear" w:color="auto" w:fill="FFFFFF"/>
          <w:lang w:val="en-US" w:eastAsia="zh-CN"/>
        </w:rPr>
        <w:t>内部通信：</w:t>
      </w:r>
    </w:p>
    <w:p w14:paraId="6E982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textAlignment w:val="auto"/>
        <w:rPr>
          <w:rFonts w:hint="eastAsia" w:ascii="Times New Roman" w:hAnsi="Times New Roman" w:eastAsia="仿宋_GB2312" w:cs="宋体"/>
          <w:sz w:val="28"/>
          <w:szCs w:val="24"/>
          <w:shd w:val="clear" w:color="auto" w:fill="FFFFFF"/>
          <w:lang w:val="en-US" w:eastAsia="zh-CN"/>
        </w:rPr>
      </w:pPr>
      <w:r>
        <w:rPr>
          <w:rFonts w:hint="eastAsia" w:eastAsia="仿宋_GB2312" w:cs="宋体"/>
          <w:sz w:val="28"/>
          <w:szCs w:val="24"/>
          <w:shd w:val="clear" w:color="auto" w:fill="FFFFFF"/>
          <w:lang w:val="en-US" w:eastAsia="zh-CN"/>
        </w:rPr>
        <w:t>（a）</w:t>
      </w:r>
      <w:r>
        <w:rPr>
          <w:rFonts w:hint="eastAsia" w:ascii="Times New Roman" w:hAnsi="Times New Roman" w:eastAsia="仿宋_GB2312" w:cs="宋体"/>
          <w:sz w:val="28"/>
          <w:szCs w:val="24"/>
          <w:shd w:val="clear" w:color="auto" w:fill="FFFFFF"/>
          <w:lang w:val="en-US" w:eastAsia="zh-CN"/>
        </w:rPr>
        <w:t>用于命令、事件、日志和系统控制消息传递。</w:t>
      </w:r>
    </w:p>
    <w:p w14:paraId="512DA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textAlignment w:val="auto"/>
        <w:rPr>
          <w:rFonts w:hint="eastAsia" w:ascii="Times New Roman" w:hAnsi="Times New Roman" w:eastAsia="仿宋_GB2312" w:cs="宋体"/>
          <w:sz w:val="28"/>
          <w:szCs w:val="24"/>
          <w:shd w:val="clear" w:color="auto" w:fill="FFFFFF"/>
          <w:lang w:val="en-US" w:eastAsia="zh-CN"/>
        </w:rPr>
      </w:pPr>
      <w:r>
        <w:rPr>
          <w:rFonts w:hint="eastAsia" w:eastAsia="仿宋_GB2312" w:cs="宋体"/>
          <w:sz w:val="28"/>
          <w:szCs w:val="24"/>
          <w:shd w:val="clear" w:color="auto" w:fill="FFFFFF"/>
          <w:lang w:val="en-US" w:eastAsia="zh-CN"/>
        </w:rPr>
        <w:t>（b）</w:t>
      </w:r>
      <w:r>
        <w:rPr>
          <w:rFonts w:hint="eastAsia" w:ascii="Times New Roman" w:hAnsi="Times New Roman" w:eastAsia="仿宋_GB2312" w:cs="宋体"/>
          <w:sz w:val="28"/>
          <w:szCs w:val="24"/>
          <w:shd w:val="clear" w:color="auto" w:fill="FFFFFF"/>
          <w:lang w:val="en-US" w:eastAsia="zh-CN"/>
        </w:rPr>
        <w:t>现有设计中区分命令队列、日志队列、事件队列和系统控制队列。</w:t>
      </w:r>
    </w:p>
    <w:p w14:paraId="2BB8C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textAlignment w:val="auto"/>
        <w:rPr>
          <w:rFonts w:hint="eastAsia" w:ascii="Times New Roman" w:hAnsi="Times New Roman" w:eastAsia="仿宋_GB2312" w:cs="宋体"/>
          <w:sz w:val="28"/>
          <w:szCs w:val="24"/>
          <w:shd w:val="clear" w:color="auto" w:fill="FFFFFF"/>
          <w:lang w:val="en-US" w:eastAsia="zh-CN"/>
        </w:rPr>
      </w:pPr>
      <w:r>
        <w:rPr>
          <w:rFonts w:hint="eastAsia" w:eastAsia="仿宋_GB2312" w:cs="宋体"/>
          <w:sz w:val="28"/>
          <w:szCs w:val="24"/>
          <w:shd w:val="clear" w:color="auto" w:fill="FFFFFF"/>
          <w:lang w:val="en-US" w:eastAsia="zh-CN"/>
        </w:rPr>
        <w:t>（c）</w:t>
      </w:r>
      <w:r>
        <w:rPr>
          <w:rFonts w:hint="eastAsia" w:ascii="Times New Roman" w:hAnsi="Times New Roman" w:eastAsia="仿宋_GB2312" w:cs="宋体"/>
          <w:sz w:val="28"/>
          <w:szCs w:val="24"/>
          <w:shd w:val="clear" w:color="auto" w:fill="FFFFFF"/>
          <w:lang w:val="en-US" w:eastAsia="zh-CN"/>
        </w:rPr>
        <w:t>MQTT 主题路由</w:t>
      </w:r>
      <w:r>
        <w:rPr>
          <w:rFonts w:hint="eastAsia" w:eastAsia="仿宋_GB2312" w:cs="宋体"/>
          <w:sz w:val="28"/>
          <w:szCs w:val="24"/>
          <w:shd w:val="clear" w:color="auto" w:fill="FFFFFF"/>
          <w:lang w:val="en-US" w:eastAsia="zh-CN"/>
        </w:rPr>
        <w:t>。</w:t>
      </w:r>
    </w:p>
    <w:p w14:paraId="012B2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textAlignment w:val="auto"/>
        <w:rPr>
          <w:rFonts w:hint="eastAsia" w:ascii="Times New Roman" w:hAnsi="Times New Roman" w:eastAsia="仿宋_GB2312" w:cs="宋体"/>
          <w:sz w:val="28"/>
          <w:szCs w:val="24"/>
          <w:shd w:val="clear" w:color="auto" w:fill="FFFFFF"/>
          <w:lang w:val="en-US" w:eastAsia="zh-CN"/>
        </w:rPr>
      </w:pPr>
    </w:p>
    <w:p w14:paraId="53AB7C7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auto"/>
        <w:outlineLvl w:val="9"/>
        <w:rPr>
          <w:rFonts w:hint="default" w:ascii="宋体" w:hAnsi="宋体" w:cs="宋体"/>
          <w:b/>
          <w:bCs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shd w:val="clear" w:color="auto" w:fill="FFFFFF"/>
          <w:lang w:val="en-US" w:eastAsia="zh-CN"/>
        </w:rPr>
        <w:t>协议功能清单</w:t>
      </w:r>
    </w:p>
    <w:tbl>
      <w:tblPr>
        <w:tblStyle w:val="3"/>
        <w:tblW w:w="93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"/>
        <w:gridCol w:w="1255"/>
        <w:gridCol w:w="1255"/>
        <w:gridCol w:w="1084"/>
        <w:gridCol w:w="845"/>
        <w:gridCol w:w="3312"/>
        <w:gridCol w:w="834"/>
      </w:tblGrid>
      <w:tr w14:paraId="7E61D4A1">
        <w:trPr>
          <w:trHeight w:val="327" w:hRule="atLeast"/>
          <w:jc w:val="center"/>
        </w:trPr>
        <w:tc>
          <w:tcPr>
            <w:tcW w:w="727" w:type="dxa"/>
            <w:vAlign w:val="center"/>
          </w:tcPr>
          <w:p w14:paraId="7B09E743">
            <w:pPr>
              <w:jc w:val="center"/>
              <w:rPr>
                <w:rFonts w:hint="default" w:ascii="宋体" w:hAnsi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255" w:type="dxa"/>
            <w:vAlign w:val="center"/>
          </w:tcPr>
          <w:p w14:paraId="6194ACC1">
            <w:pPr>
              <w:jc w:val="center"/>
              <w:rPr>
                <w:rFonts w:hint="default" w:ascii="宋体" w:hAnsi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报文类型</w:t>
            </w:r>
          </w:p>
        </w:tc>
        <w:tc>
          <w:tcPr>
            <w:tcW w:w="1255" w:type="dxa"/>
            <w:vAlign w:val="center"/>
          </w:tcPr>
          <w:p w14:paraId="72EAA9E5">
            <w:pPr>
              <w:jc w:val="center"/>
              <w:rPr>
                <w:rFonts w:hint="default" w:ascii="宋体" w:hAnsi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功能名称</w:t>
            </w:r>
          </w:p>
        </w:tc>
        <w:tc>
          <w:tcPr>
            <w:tcW w:w="1084" w:type="dxa"/>
            <w:vAlign w:val="center"/>
          </w:tcPr>
          <w:p w14:paraId="4DF0ED65">
            <w:pPr>
              <w:jc w:val="center"/>
              <w:rPr>
                <w:rFonts w:hint="default" w:ascii="宋体" w:hAnsi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报文类型</w:t>
            </w:r>
          </w:p>
        </w:tc>
        <w:tc>
          <w:tcPr>
            <w:tcW w:w="845" w:type="dxa"/>
            <w:vAlign w:val="center"/>
          </w:tcPr>
          <w:p w14:paraId="32FAB755">
            <w:pPr>
              <w:jc w:val="center"/>
              <w:rPr>
                <w:rFonts w:hint="default" w:ascii="宋体" w:hAnsi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报文方向</w:t>
            </w:r>
          </w:p>
        </w:tc>
        <w:tc>
          <w:tcPr>
            <w:tcW w:w="3312" w:type="dxa"/>
            <w:vAlign w:val="center"/>
          </w:tcPr>
          <w:p w14:paraId="4A58B7F1">
            <w:pPr>
              <w:jc w:val="center"/>
              <w:rPr>
                <w:rFonts w:hint="default" w:ascii="宋体" w:hAnsi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功能标识</w:t>
            </w:r>
          </w:p>
        </w:tc>
        <w:tc>
          <w:tcPr>
            <w:tcW w:w="834" w:type="dxa"/>
            <w:vAlign w:val="center"/>
          </w:tcPr>
          <w:p w14:paraId="103C003C">
            <w:pPr>
              <w:jc w:val="center"/>
              <w:rPr>
                <w:rFonts w:hint="default" w:ascii="宋体" w:hAnsi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上送周期</w:t>
            </w:r>
          </w:p>
        </w:tc>
      </w:tr>
      <w:tr w14:paraId="3C85666C">
        <w:trPr>
          <w:trHeight w:val="628" w:hRule="atLeast"/>
          <w:jc w:val="center"/>
        </w:trPr>
        <w:tc>
          <w:tcPr>
            <w:tcW w:w="727" w:type="dxa"/>
            <w:vAlign w:val="center"/>
          </w:tcPr>
          <w:p w14:paraId="3E77D2C7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</w:t>
            </w:r>
          </w:p>
        </w:tc>
        <w:tc>
          <w:tcPr>
            <w:tcW w:w="1255" w:type="dxa"/>
            <w:vAlign w:val="center"/>
          </w:tcPr>
          <w:p w14:paraId="6631FE27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状态类</w:t>
            </w:r>
          </w:p>
        </w:tc>
        <w:tc>
          <w:tcPr>
            <w:tcW w:w="1255" w:type="dxa"/>
            <w:vAlign w:val="center"/>
          </w:tcPr>
          <w:p w14:paraId="241FADFC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充电桩状态</w:t>
            </w:r>
          </w:p>
        </w:tc>
        <w:tc>
          <w:tcPr>
            <w:tcW w:w="1084" w:type="dxa"/>
            <w:vAlign w:val="center"/>
          </w:tcPr>
          <w:p w14:paraId="21F63504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state</w:t>
            </w:r>
          </w:p>
        </w:tc>
        <w:tc>
          <w:tcPr>
            <w:tcW w:w="845" w:type="dxa"/>
            <w:vAlign w:val="center"/>
          </w:tcPr>
          <w:p w14:paraId="4D0B8E23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S2M</w:t>
            </w:r>
          </w:p>
        </w:tc>
        <w:tc>
          <w:tcPr>
            <w:tcW w:w="3312" w:type="dxa"/>
            <w:vAlign w:val="center"/>
          </w:tcPr>
          <w:p w14:paraId="7D2BB561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chargerState</w:t>
            </w:r>
          </w:p>
        </w:tc>
        <w:tc>
          <w:tcPr>
            <w:tcW w:w="834" w:type="dxa"/>
            <w:vAlign w:val="center"/>
          </w:tcPr>
          <w:p w14:paraId="3C83A631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15min/变位</w:t>
            </w:r>
          </w:p>
        </w:tc>
      </w:tr>
      <w:tr w14:paraId="4163CF61">
        <w:trPr>
          <w:jc w:val="center"/>
        </w:trPr>
        <w:tc>
          <w:tcPr>
            <w:tcW w:w="727" w:type="dxa"/>
            <w:vAlign w:val="center"/>
          </w:tcPr>
          <w:p w14:paraId="78CC1171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2</w:t>
            </w:r>
          </w:p>
        </w:tc>
        <w:tc>
          <w:tcPr>
            <w:tcW w:w="1255" w:type="dxa"/>
            <w:vMerge w:val="restart"/>
            <w:vAlign w:val="center"/>
          </w:tcPr>
          <w:p w14:paraId="5E21B4AA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事件类</w:t>
            </w:r>
          </w:p>
        </w:tc>
        <w:tc>
          <w:tcPr>
            <w:tcW w:w="1255" w:type="dxa"/>
            <w:vAlign w:val="center"/>
          </w:tcPr>
          <w:p w14:paraId="62745D82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充电记录</w:t>
            </w:r>
          </w:p>
        </w:tc>
        <w:tc>
          <w:tcPr>
            <w:tcW w:w="1084" w:type="dxa"/>
            <w:vAlign w:val="center"/>
          </w:tcPr>
          <w:p w14:paraId="42106FAE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event</w:t>
            </w:r>
          </w:p>
        </w:tc>
        <w:tc>
          <w:tcPr>
            <w:tcW w:w="845" w:type="dxa"/>
            <w:vAlign w:val="center"/>
          </w:tcPr>
          <w:p w14:paraId="6E39ECC8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S2M</w:t>
            </w:r>
          </w:p>
        </w:tc>
        <w:tc>
          <w:tcPr>
            <w:tcW w:w="3312" w:type="dxa"/>
            <w:vAlign w:val="center"/>
          </w:tcPr>
          <w:p w14:paraId="25031737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chargeRecord</w:t>
            </w:r>
          </w:p>
          <w:p w14:paraId="528BD293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/dischargeRecord</w:t>
            </w:r>
          </w:p>
        </w:tc>
        <w:tc>
          <w:tcPr>
            <w:tcW w:w="834" w:type="dxa"/>
            <w:vAlign w:val="center"/>
          </w:tcPr>
          <w:p w14:paraId="43704856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触发</w:t>
            </w:r>
          </w:p>
        </w:tc>
      </w:tr>
      <w:tr w14:paraId="0C27F99B">
        <w:trPr>
          <w:jc w:val="center"/>
        </w:trPr>
        <w:tc>
          <w:tcPr>
            <w:tcW w:w="727" w:type="dxa"/>
            <w:vAlign w:val="center"/>
          </w:tcPr>
          <w:p w14:paraId="2E3BD514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3</w:t>
            </w:r>
          </w:p>
        </w:tc>
        <w:tc>
          <w:tcPr>
            <w:tcW w:w="1255" w:type="dxa"/>
            <w:vMerge w:val="continue"/>
            <w:vAlign w:val="center"/>
          </w:tcPr>
          <w:p w14:paraId="32CB2E64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55" w:type="dxa"/>
            <w:vAlign w:val="center"/>
          </w:tcPr>
          <w:p w14:paraId="49D61E36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充电记录确认</w:t>
            </w:r>
          </w:p>
        </w:tc>
        <w:tc>
          <w:tcPr>
            <w:tcW w:w="1084" w:type="dxa"/>
            <w:vAlign w:val="center"/>
          </w:tcPr>
          <w:p w14:paraId="71AA2E11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comfirm</w:t>
            </w:r>
          </w:p>
        </w:tc>
        <w:tc>
          <w:tcPr>
            <w:tcW w:w="845" w:type="dxa"/>
            <w:vAlign w:val="center"/>
          </w:tcPr>
          <w:p w14:paraId="5913FA7F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M2S</w:t>
            </w:r>
          </w:p>
        </w:tc>
        <w:tc>
          <w:tcPr>
            <w:tcW w:w="3312" w:type="dxa"/>
            <w:vAlign w:val="center"/>
          </w:tcPr>
          <w:p w14:paraId="372DBFB8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chargeRecordConf</w:t>
            </w:r>
          </w:p>
          <w:p w14:paraId="6B6C9A99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/dischargeRecordConf</w:t>
            </w:r>
          </w:p>
        </w:tc>
        <w:tc>
          <w:tcPr>
            <w:tcW w:w="834" w:type="dxa"/>
            <w:vAlign w:val="center"/>
          </w:tcPr>
          <w:p w14:paraId="0D097C0A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无</w:t>
            </w:r>
          </w:p>
        </w:tc>
      </w:tr>
      <w:tr w14:paraId="5041CCB1">
        <w:trPr>
          <w:jc w:val="center"/>
        </w:trPr>
        <w:tc>
          <w:tcPr>
            <w:tcW w:w="727" w:type="dxa"/>
            <w:vAlign w:val="center"/>
          </w:tcPr>
          <w:p w14:paraId="61A02562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4</w:t>
            </w:r>
          </w:p>
        </w:tc>
        <w:tc>
          <w:tcPr>
            <w:tcW w:w="1255" w:type="dxa"/>
            <w:vMerge w:val="continue"/>
            <w:vAlign w:val="center"/>
          </w:tcPr>
          <w:p w14:paraId="18AD1348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55" w:type="dxa"/>
            <w:vAlign w:val="center"/>
          </w:tcPr>
          <w:p w14:paraId="6CDC2060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主动充电启停事件</w:t>
            </w:r>
          </w:p>
        </w:tc>
        <w:tc>
          <w:tcPr>
            <w:tcW w:w="1084" w:type="dxa"/>
            <w:vAlign w:val="center"/>
          </w:tcPr>
          <w:p w14:paraId="0F993DD0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event</w:t>
            </w:r>
          </w:p>
        </w:tc>
        <w:tc>
          <w:tcPr>
            <w:tcW w:w="845" w:type="dxa"/>
            <w:vAlign w:val="center"/>
          </w:tcPr>
          <w:p w14:paraId="38EAFC6D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S2M</w:t>
            </w:r>
          </w:p>
        </w:tc>
        <w:tc>
          <w:tcPr>
            <w:tcW w:w="3312" w:type="dxa"/>
            <w:vAlign w:val="center"/>
          </w:tcPr>
          <w:p w14:paraId="5CB0DD69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chargeEvent</w:t>
            </w:r>
          </w:p>
          <w:p w14:paraId="7575A776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/dischargeEvent</w:t>
            </w:r>
          </w:p>
        </w:tc>
        <w:tc>
          <w:tcPr>
            <w:tcW w:w="834" w:type="dxa"/>
            <w:vAlign w:val="center"/>
          </w:tcPr>
          <w:p w14:paraId="6176B237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触发</w:t>
            </w:r>
          </w:p>
        </w:tc>
      </w:tr>
      <w:tr w14:paraId="4DF279E6">
        <w:trPr>
          <w:jc w:val="center"/>
        </w:trPr>
        <w:tc>
          <w:tcPr>
            <w:tcW w:w="727" w:type="dxa"/>
            <w:vAlign w:val="center"/>
          </w:tcPr>
          <w:p w14:paraId="03750A37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5</w:t>
            </w:r>
          </w:p>
        </w:tc>
        <w:tc>
          <w:tcPr>
            <w:tcW w:w="1255" w:type="dxa"/>
            <w:vMerge w:val="continue"/>
            <w:vAlign w:val="center"/>
          </w:tcPr>
          <w:p w14:paraId="101DC935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55" w:type="dxa"/>
            <w:vAlign w:val="center"/>
          </w:tcPr>
          <w:p w14:paraId="1B54FD70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主动充电启停事件确认</w:t>
            </w:r>
          </w:p>
        </w:tc>
        <w:tc>
          <w:tcPr>
            <w:tcW w:w="1084" w:type="dxa"/>
            <w:vAlign w:val="center"/>
          </w:tcPr>
          <w:p w14:paraId="06A79714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comfirm</w:t>
            </w:r>
          </w:p>
        </w:tc>
        <w:tc>
          <w:tcPr>
            <w:tcW w:w="845" w:type="dxa"/>
            <w:vAlign w:val="center"/>
          </w:tcPr>
          <w:p w14:paraId="4E80A41D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M2S</w:t>
            </w:r>
          </w:p>
        </w:tc>
        <w:tc>
          <w:tcPr>
            <w:tcW w:w="3312" w:type="dxa"/>
            <w:vAlign w:val="center"/>
          </w:tcPr>
          <w:p w14:paraId="6E94C5C1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chargeEventConf</w:t>
            </w:r>
          </w:p>
          <w:p w14:paraId="411F18F3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/dischargeEventConf</w:t>
            </w:r>
          </w:p>
        </w:tc>
        <w:tc>
          <w:tcPr>
            <w:tcW w:w="834" w:type="dxa"/>
            <w:vAlign w:val="center"/>
          </w:tcPr>
          <w:p w14:paraId="07275144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无</w:t>
            </w:r>
          </w:p>
        </w:tc>
      </w:tr>
      <w:tr w14:paraId="73A31DC9">
        <w:trPr>
          <w:jc w:val="center"/>
        </w:trPr>
        <w:tc>
          <w:tcPr>
            <w:tcW w:w="727" w:type="dxa"/>
            <w:vAlign w:val="center"/>
          </w:tcPr>
          <w:p w14:paraId="1AE208A0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6</w:t>
            </w:r>
          </w:p>
        </w:tc>
        <w:tc>
          <w:tcPr>
            <w:tcW w:w="1255" w:type="dxa"/>
            <w:vMerge w:val="restart"/>
            <w:vAlign w:val="center"/>
          </w:tcPr>
          <w:p w14:paraId="65009A93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请求类</w:t>
            </w:r>
          </w:p>
        </w:tc>
        <w:tc>
          <w:tcPr>
            <w:tcW w:w="1255" w:type="dxa"/>
            <w:vAlign w:val="center"/>
          </w:tcPr>
          <w:p w14:paraId="022C2ED8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充电启动请求</w:t>
            </w:r>
          </w:p>
        </w:tc>
        <w:tc>
          <w:tcPr>
            <w:tcW w:w="1084" w:type="dxa"/>
            <w:vAlign w:val="center"/>
          </w:tcPr>
          <w:p w14:paraId="17551D9F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request</w:t>
            </w:r>
          </w:p>
        </w:tc>
        <w:tc>
          <w:tcPr>
            <w:tcW w:w="845" w:type="dxa"/>
            <w:vAlign w:val="center"/>
          </w:tcPr>
          <w:p w14:paraId="3D7673AC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M2S</w:t>
            </w:r>
          </w:p>
        </w:tc>
        <w:tc>
          <w:tcPr>
            <w:tcW w:w="3312" w:type="dxa"/>
            <w:vAlign w:val="center"/>
          </w:tcPr>
          <w:p w14:paraId="6644B73A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 chargeStartReq</w:t>
            </w:r>
          </w:p>
          <w:p w14:paraId="3E5C890F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/dischargeStartReq</w:t>
            </w:r>
          </w:p>
        </w:tc>
        <w:tc>
          <w:tcPr>
            <w:tcW w:w="834" w:type="dxa"/>
            <w:vAlign w:val="center"/>
          </w:tcPr>
          <w:p w14:paraId="3BD12B2B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触发</w:t>
            </w:r>
          </w:p>
        </w:tc>
      </w:tr>
      <w:tr w14:paraId="7A5184F4">
        <w:trPr>
          <w:jc w:val="center"/>
        </w:trPr>
        <w:tc>
          <w:tcPr>
            <w:tcW w:w="727" w:type="dxa"/>
            <w:vAlign w:val="center"/>
          </w:tcPr>
          <w:p w14:paraId="15046253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7</w:t>
            </w:r>
          </w:p>
        </w:tc>
        <w:tc>
          <w:tcPr>
            <w:tcW w:w="1255" w:type="dxa"/>
            <w:vMerge w:val="continue"/>
            <w:vAlign w:val="center"/>
          </w:tcPr>
          <w:p w14:paraId="4B198D71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55" w:type="dxa"/>
            <w:vAlign w:val="center"/>
          </w:tcPr>
          <w:p w14:paraId="5199747B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充电启动请求回复</w:t>
            </w:r>
          </w:p>
        </w:tc>
        <w:tc>
          <w:tcPr>
            <w:tcW w:w="1084" w:type="dxa"/>
            <w:vAlign w:val="center"/>
          </w:tcPr>
          <w:p w14:paraId="565DE47E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response</w:t>
            </w:r>
          </w:p>
        </w:tc>
        <w:tc>
          <w:tcPr>
            <w:tcW w:w="845" w:type="dxa"/>
            <w:vAlign w:val="center"/>
          </w:tcPr>
          <w:p w14:paraId="70698A1A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S2M</w:t>
            </w:r>
          </w:p>
        </w:tc>
        <w:tc>
          <w:tcPr>
            <w:tcW w:w="3312" w:type="dxa"/>
            <w:vAlign w:val="center"/>
          </w:tcPr>
          <w:p w14:paraId="39985C02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 chargeStartRes</w:t>
            </w:r>
          </w:p>
          <w:p w14:paraId="426E4867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/dischargeStartRes</w:t>
            </w:r>
          </w:p>
        </w:tc>
        <w:tc>
          <w:tcPr>
            <w:tcW w:w="834" w:type="dxa"/>
            <w:vAlign w:val="center"/>
          </w:tcPr>
          <w:p w14:paraId="4558225D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无</w:t>
            </w:r>
          </w:p>
        </w:tc>
      </w:tr>
      <w:tr w14:paraId="3B967586">
        <w:trPr>
          <w:jc w:val="center"/>
        </w:trPr>
        <w:tc>
          <w:tcPr>
            <w:tcW w:w="727" w:type="dxa"/>
            <w:vAlign w:val="center"/>
          </w:tcPr>
          <w:p w14:paraId="391D1B81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8</w:t>
            </w:r>
          </w:p>
        </w:tc>
        <w:tc>
          <w:tcPr>
            <w:tcW w:w="1255" w:type="dxa"/>
            <w:vMerge w:val="continue"/>
            <w:vAlign w:val="center"/>
          </w:tcPr>
          <w:p w14:paraId="19200F1C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55" w:type="dxa"/>
            <w:vAlign w:val="center"/>
          </w:tcPr>
          <w:p w14:paraId="1F21E24A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充电停止请求</w:t>
            </w:r>
          </w:p>
        </w:tc>
        <w:tc>
          <w:tcPr>
            <w:tcW w:w="1084" w:type="dxa"/>
            <w:vAlign w:val="center"/>
          </w:tcPr>
          <w:p w14:paraId="29CEA996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request</w:t>
            </w:r>
          </w:p>
        </w:tc>
        <w:tc>
          <w:tcPr>
            <w:tcW w:w="845" w:type="dxa"/>
            <w:vAlign w:val="center"/>
          </w:tcPr>
          <w:p w14:paraId="65A37505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M2S</w:t>
            </w:r>
          </w:p>
        </w:tc>
        <w:tc>
          <w:tcPr>
            <w:tcW w:w="3312" w:type="dxa"/>
            <w:vAlign w:val="center"/>
          </w:tcPr>
          <w:p w14:paraId="7E3EC882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 chargeStopReq</w:t>
            </w:r>
          </w:p>
          <w:p w14:paraId="421E341A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/dischargeStopReq</w:t>
            </w:r>
          </w:p>
        </w:tc>
        <w:tc>
          <w:tcPr>
            <w:tcW w:w="834" w:type="dxa"/>
            <w:vAlign w:val="center"/>
          </w:tcPr>
          <w:p w14:paraId="57E7F0A8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触发</w:t>
            </w:r>
          </w:p>
        </w:tc>
      </w:tr>
      <w:tr w14:paraId="4137FAA0">
        <w:trPr>
          <w:jc w:val="center"/>
        </w:trPr>
        <w:tc>
          <w:tcPr>
            <w:tcW w:w="727" w:type="dxa"/>
            <w:vAlign w:val="center"/>
          </w:tcPr>
          <w:p w14:paraId="67048A17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9</w:t>
            </w:r>
          </w:p>
        </w:tc>
        <w:tc>
          <w:tcPr>
            <w:tcW w:w="1255" w:type="dxa"/>
            <w:vMerge w:val="continue"/>
            <w:vAlign w:val="center"/>
          </w:tcPr>
          <w:p w14:paraId="044AC9C2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55" w:type="dxa"/>
            <w:vAlign w:val="center"/>
          </w:tcPr>
          <w:p w14:paraId="144DA1E3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充电停止请求回复</w:t>
            </w:r>
          </w:p>
        </w:tc>
        <w:tc>
          <w:tcPr>
            <w:tcW w:w="1084" w:type="dxa"/>
            <w:vAlign w:val="center"/>
          </w:tcPr>
          <w:p w14:paraId="34C4CEBD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response</w:t>
            </w:r>
          </w:p>
        </w:tc>
        <w:tc>
          <w:tcPr>
            <w:tcW w:w="845" w:type="dxa"/>
            <w:vAlign w:val="center"/>
          </w:tcPr>
          <w:p w14:paraId="0E61B243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S2M</w:t>
            </w:r>
          </w:p>
        </w:tc>
        <w:tc>
          <w:tcPr>
            <w:tcW w:w="3312" w:type="dxa"/>
            <w:vAlign w:val="center"/>
          </w:tcPr>
          <w:p w14:paraId="448AFC91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 chargeStopRes</w:t>
            </w:r>
          </w:p>
          <w:p w14:paraId="575454FA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/dischargeStopRes</w:t>
            </w:r>
          </w:p>
        </w:tc>
        <w:tc>
          <w:tcPr>
            <w:tcW w:w="834" w:type="dxa"/>
            <w:vAlign w:val="center"/>
          </w:tcPr>
          <w:p w14:paraId="4077FDF4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无</w:t>
            </w:r>
          </w:p>
        </w:tc>
      </w:tr>
      <w:tr w14:paraId="5AB28B6C">
        <w:trPr>
          <w:jc w:val="center"/>
        </w:trPr>
        <w:tc>
          <w:tcPr>
            <w:tcW w:w="727" w:type="dxa"/>
            <w:vAlign w:val="center"/>
          </w:tcPr>
          <w:p w14:paraId="6B30048B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10</w:t>
            </w:r>
          </w:p>
        </w:tc>
        <w:tc>
          <w:tcPr>
            <w:tcW w:w="1255" w:type="dxa"/>
            <w:vMerge w:val="continue"/>
            <w:vAlign w:val="center"/>
          </w:tcPr>
          <w:p w14:paraId="45AB842D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55" w:type="dxa"/>
            <w:vAlign w:val="center"/>
          </w:tcPr>
          <w:p w14:paraId="78B92C7D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计费模型设置</w:t>
            </w:r>
          </w:p>
        </w:tc>
        <w:tc>
          <w:tcPr>
            <w:tcW w:w="1084" w:type="dxa"/>
            <w:vAlign w:val="center"/>
          </w:tcPr>
          <w:p w14:paraId="7F7738E9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request</w:t>
            </w:r>
          </w:p>
        </w:tc>
        <w:tc>
          <w:tcPr>
            <w:tcW w:w="845" w:type="dxa"/>
            <w:vAlign w:val="center"/>
          </w:tcPr>
          <w:p w14:paraId="0468C0E1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M2S</w:t>
            </w:r>
          </w:p>
        </w:tc>
        <w:tc>
          <w:tcPr>
            <w:tcW w:w="3312" w:type="dxa"/>
            <w:vAlign w:val="center"/>
          </w:tcPr>
          <w:p w14:paraId="3602F8AA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 rateModeSetReq</w:t>
            </w:r>
          </w:p>
          <w:p w14:paraId="2F711F91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/dischgRateModeSetReq</w:t>
            </w:r>
          </w:p>
        </w:tc>
        <w:tc>
          <w:tcPr>
            <w:tcW w:w="834" w:type="dxa"/>
            <w:vAlign w:val="center"/>
          </w:tcPr>
          <w:p w14:paraId="4F32AEF1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无</w:t>
            </w:r>
          </w:p>
        </w:tc>
      </w:tr>
      <w:tr w14:paraId="3FDEB370">
        <w:trPr>
          <w:jc w:val="center"/>
        </w:trPr>
        <w:tc>
          <w:tcPr>
            <w:tcW w:w="727" w:type="dxa"/>
            <w:vAlign w:val="center"/>
          </w:tcPr>
          <w:p w14:paraId="790E434C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11</w:t>
            </w:r>
          </w:p>
        </w:tc>
        <w:tc>
          <w:tcPr>
            <w:tcW w:w="1255" w:type="dxa"/>
            <w:vMerge w:val="continue"/>
            <w:vAlign w:val="center"/>
          </w:tcPr>
          <w:p w14:paraId="3D8B67C7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55" w:type="dxa"/>
            <w:vAlign w:val="center"/>
          </w:tcPr>
          <w:p w14:paraId="3F7B4DBB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计费模型设置回复</w:t>
            </w:r>
          </w:p>
        </w:tc>
        <w:tc>
          <w:tcPr>
            <w:tcW w:w="1084" w:type="dxa"/>
            <w:vAlign w:val="center"/>
          </w:tcPr>
          <w:p w14:paraId="4AA95612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response</w:t>
            </w:r>
          </w:p>
        </w:tc>
        <w:tc>
          <w:tcPr>
            <w:tcW w:w="845" w:type="dxa"/>
            <w:vAlign w:val="center"/>
          </w:tcPr>
          <w:p w14:paraId="17C64F7B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S2M</w:t>
            </w:r>
          </w:p>
        </w:tc>
        <w:tc>
          <w:tcPr>
            <w:tcW w:w="3312" w:type="dxa"/>
            <w:vAlign w:val="center"/>
          </w:tcPr>
          <w:p w14:paraId="0C0CABAD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 rateModeSetRes</w:t>
            </w:r>
          </w:p>
          <w:p w14:paraId="0C0AAD5B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/dischgRateModeSetRes</w:t>
            </w:r>
          </w:p>
        </w:tc>
        <w:tc>
          <w:tcPr>
            <w:tcW w:w="834" w:type="dxa"/>
            <w:vAlign w:val="center"/>
          </w:tcPr>
          <w:p w14:paraId="5C84AC31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触发</w:t>
            </w:r>
          </w:p>
        </w:tc>
      </w:tr>
      <w:tr w14:paraId="6D085EF0">
        <w:trPr>
          <w:jc w:val="center"/>
        </w:trPr>
        <w:tc>
          <w:tcPr>
            <w:tcW w:w="727" w:type="dxa"/>
            <w:vAlign w:val="center"/>
          </w:tcPr>
          <w:p w14:paraId="38E9A1B8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12</w:t>
            </w:r>
          </w:p>
        </w:tc>
        <w:tc>
          <w:tcPr>
            <w:tcW w:w="1255" w:type="dxa"/>
            <w:vMerge w:val="continue"/>
            <w:vAlign w:val="center"/>
          </w:tcPr>
          <w:p w14:paraId="6A5B032A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55" w:type="dxa"/>
            <w:vAlign w:val="center"/>
          </w:tcPr>
          <w:p w14:paraId="75644758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对时下发</w:t>
            </w:r>
          </w:p>
        </w:tc>
        <w:tc>
          <w:tcPr>
            <w:tcW w:w="1084" w:type="dxa"/>
            <w:vAlign w:val="center"/>
          </w:tcPr>
          <w:p w14:paraId="01D76486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request</w:t>
            </w:r>
          </w:p>
        </w:tc>
        <w:tc>
          <w:tcPr>
            <w:tcW w:w="845" w:type="dxa"/>
            <w:vAlign w:val="center"/>
          </w:tcPr>
          <w:p w14:paraId="14BF2F6C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S2M</w:t>
            </w:r>
          </w:p>
        </w:tc>
        <w:tc>
          <w:tcPr>
            <w:tcW w:w="3312" w:type="dxa"/>
            <w:vAlign w:val="center"/>
          </w:tcPr>
          <w:p w14:paraId="77DAA1FE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timeSync</w:t>
            </w:r>
          </w:p>
        </w:tc>
        <w:tc>
          <w:tcPr>
            <w:tcW w:w="834" w:type="dxa"/>
            <w:vAlign w:val="center"/>
          </w:tcPr>
          <w:p w14:paraId="3F0EF1A7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无</w:t>
            </w:r>
          </w:p>
        </w:tc>
      </w:tr>
      <w:tr w14:paraId="6A6EADAD">
        <w:trPr>
          <w:jc w:val="center"/>
        </w:trPr>
        <w:tc>
          <w:tcPr>
            <w:tcW w:w="727" w:type="dxa"/>
            <w:vAlign w:val="center"/>
          </w:tcPr>
          <w:p w14:paraId="527A7A40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13</w:t>
            </w:r>
          </w:p>
        </w:tc>
        <w:tc>
          <w:tcPr>
            <w:tcW w:w="1255" w:type="dxa"/>
            <w:vMerge w:val="continue"/>
            <w:vAlign w:val="center"/>
          </w:tcPr>
          <w:p w14:paraId="7974960B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55" w:type="dxa"/>
            <w:vAlign w:val="center"/>
          </w:tcPr>
          <w:p w14:paraId="6FE2885A">
            <w:pPr>
              <w:jc w:val="both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对时回复</w:t>
            </w:r>
          </w:p>
        </w:tc>
        <w:tc>
          <w:tcPr>
            <w:tcW w:w="1084" w:type="dxa"/>
            <w:vAlign w:val="center"/>
          </w:tcPr>
          <w:p w14:paraId="095EC6FD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response</w:t>
            </w:r>
          </w:p>
        </w:tc>
        <w:tc>
          <w:tcPr>
            <w:tcW w:w="845" w:type="dxa"/>
            <w:vAlign w:val="center"/>
          </w:tcPr>
          <w:p w14:paraId="36BB5DAF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M2S</w:t>
            </w:r>
          </w:p>
        </w:tc>
        <w:tc>
          <w:tcPr>
            <w:tcW w:w="3312" w:type="dxa"/>
            <w:vAlign w:val="center"/>
          </w:tcPr>
          <w:p w14:paraId="2B298E01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timeSyncRes</w:t>
            </w:r>
          </w:p>
        </w:tc>
        <w:tc>
          <w:tcPr>
            <w:tcW w:w="834" w:type="dxa"/>
            <w:vAlign w:val="center"/>
          </w:tcPr>
          <w:p w14:paraId="4F5C21B1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触发</w:t>
            </w:r>
          </w:p>
        </w:tc>
      </w:tr>
      <w:tr w14:paraId="318ACBE3">
        <w:trPr>
          <w:jc w:val="center"/>
        </w:trPr>
        <w:tc>
          <w:tcPr>
            <w:tcW w:w="727" w:type="dxa"/>
            <w:vAlign w:val="center"/>
          </w:tcPr>
          <w:p w14:paraId="4AC1DF13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14</w:t>
            </w:r>
          </w:p>
        </w:tc>
        <w:tc>
          <w:tcPr>
            <w:tcW w:w="1255" w:type="dxa"/>
            <w:vMerge w:val="continue"/>
            <w:vAlign w:val="center"/>
          </w:tcPr>
          <w:p w14:paraId="5F330158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55" w:type="dxa"/>
            <w:vAlign w:val="center"/>
          </w:tcPr>
          <w:p w14:paraId="43539060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功率调节设置回复</w:t>
            </w:r>
          </w:p>
        </w:tc>
        <w:tc>
          <w:tcPr>
            <w:tcW w:w="1084" w:type="dxa"/>
            <w:vAlign w:val="center"/>
          </w:tcPr>
          <w:p w14:paraId="37EF916F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response</w:t>
            </w:r>
          </w:p>
        </w:tc>
        <w:tc>
          <w:tcPr>
            <w:tcW w:w="845" w:type="dxa"/>
            <w:vAlign w:val="center"/>
          </w:tcPr>
          <w:p w14:paraId="3863EE7F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S2M</w:t>
            </w:r>
          </w:p>
        </w:tc>
        <w:tc>
          <w:tcPr>
            <w:tcW w:w="3312" w:type="dxa"/>
            <w:vAlign w:val="center"/>
          </w:tcPr>
          <w:p w14:paraId="4CA9701E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powerAdjustSetRes</w:t>
            </w:r>
          </w:p>
          <w:p w14:paraId="0453C46C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/powerAdjustSetDischargeRes</w:t>
            </w:r>
          </w:p>
        </w:tc>
        <w:tc>
          <w:tcPr>
            <w:tcW w:w="834" w:type="dxa"/>
            <w:vAlign w:val="center"/>
          </w:tcPr>
          <w:p w14:paraId="55F45B5B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触发</w:t>
            </w:r>
          </w:p>
        </w:tc>
      </w:tr>
    </w:tbl>
    <w:p w14:paraId="599AF2E3">
      <w:pPr>
        <w:rPr>
          <w:rFonts w:hint="eastAsia" w:ascii="宋体" w:hAnsi="宋体"/>
          <w:sz w:val="24"/>
          <w:szCs w:val="24"/>
          <w:lang w:val="en-US" w:eastAsia="zh-CN"/>
        </w:rPr>
      </w:pPr>
    </w:p>
    <w:p w14:paraId="3310C599">
      <w:pPr>
        <w:rPr>
          <w:rFonts w:hint="eastAsia" w:ascii="宋体" w:hAnsi="宋体"/>
          <w:sz w:val="24"/>
          <w:szCs w:val="24"/>
          <w:lang w:val="en-US" w:eastAsia="zh-CN"/>
        </w:rPr>
      </w:pPr>
    </w:p>
    <w:p w14:paraId="272CAA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auto"/>
        <w:outlineLvl w:val="9"/>
        <w:rPr>
          <w:rFonts w:hint="default" w:ascii="宋体" w:hAnsi="宋体" w:cs="宋体"/>
          <w:b/>
          <w:bCs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shd w:val="clear" w:color="auto" w:fill="FFFFFF"/>
          <w:lang w:val="en-US" w:eastAsia="zh-CN"/>
        </w:rPr>
        <w:t>协议功能设计</w:t>
      </w:r>
    </w:p>
    <w:p w14:paraId="6AD84B8F">
      <w:pPr>
        <w:rPr>
          <w:rFonts w:hint="default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（1）充电机登录</w:t>
      </w:r>
    </w:p>
    <w:p w14:paraId="62B9C0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2" w:firstLineChars="200"/>
        <w:textAlignment w:val="auto"/>
        <w:rPr>
          <w:rFonts w:hint="eastAsia" w:eastAsia="仿宋_GB2312" w:cs="仿宋_GB2312"/>
          <w:b/>
          <w:bCs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/>
          <w:bCs/>
          <w:sz w:val="28"/>
          <w:szCs w:val="28"/>
          <w:shd w:val="clear" w:color="auto" w:fill="FFFFFF"/>
          <w:vertAlign w:val="baseline"/>
          <w:lang w:val="en-US" w:eastAsia="zh-CN"/>
        </w:rPr>
        <w:t>功能描述：</w:t>
      </w:r>
    </w:p>
    <w:p w14:paraId="7207DE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textAlignment w:val="auto"/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首先需要在平台中录入充电桩基本信息，录入成功后，会生成站点ID（资产码）等。充电桩使用资产码方式登录云平台上线。</w:t>
      </w:r>
    </w:p>
    <w:p w14:paraId="11BAB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eastAsia="仿宋_GB2312" w:cs="仿宋_GB2312"/>
          <w:b/>
          <w:bCs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/>
          <w:bCs/>
          <w:sz w:val="28"/>
          <w:szCs w:val="28"/>
          <w:shd w:val="clear" w:color="auto" w:fill="FFFFFF"/>
          <w:vertAlign w:val="baseline"/>
          <w:lang w:val="en-US" w:eastAsia="zh-CN"/>
        </w:rPr>
        <w:t>功能时序图：</w:t>
      </w:r>
    </w:p>
    <w:p w14:paraId="3A3D4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898390" cy="5900420"/>
            <wp:effectExtent l="0" t="0" r="381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8390" cy="590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284CD">
      <w:pPr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42C93A18">
      <w:pPr>
        <w:rPr>
          <w:rFonts w:hint="eastAsia" w:ascii="宋体" w:hAnsi="宋体"/>
          <w:b/>
          <w:bCs/>
          <w:sz w:val="28"/>
          <w:szCs w:val="28"/>
          <w:lang w:val="en-US" w:eastAsia="zh-CN"/>
        </w:rPr>
      </w:pPr>
    </w:p>
    <w:p w14:paraId="1CE836CE">
      <w:pPr>
        <w:rPr>
          <w:rFonts w:hint="eastAsia" w:eastAsia="仿宋_GB2312" w:cs="仿宋_GB2312"/>
          <w:b/>
          <w:bCs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（2）状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态类</w:t>
      </w:r>
      <w:r>
        <w:rPr>
          <w:rFonts w:hint="eastAsia" w:ascii="宋体" w:hAnsi="宋体" w:eastAsia="宋体" w:cs="宋体"/>
          <w:b/>
          <w:bCs/>
          <w:sz w:val="28"/>
          <w:szCs w:val="28"/>
          <w:shd w:val="clear" w:color="auto" w:fill="FFFFFF"/>
          <w:vertAlign w:val="baseline"/>
          <w:lang w:val="en-US" w:eastAsia="zh-CN"/>
        </w:rPr>
        <w:t>通信</w:t>
      </w:r>
    </w:p>
    <w:p w14:paraId="3E60E896">
      <w:pPr>
        <w:numPr>
          <w:ilvl w:val="0"/>
          <w:numId w:val="2"/>
        </w:numP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充电机状态：充电机实时状态，含充电枪实时状态。报文方向：S2M，功能标识：chargerState，上送周期：15分钟或变位上送。</w:t>
      </w:r>
    </w:p>
    <w:p w14:paraId="76C12E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eastAsia="仿宋_GB2312" w:cs="仿宋_GB2312"/>
          <w:b/>
          <w:bCs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/>
          <w:bCs/>
          <w:sz w:val="28"/>
          <w:szCs w:val="28"/>
          <w:shd w:val="clear" w:color="auto" w:fill="FFFFFF"/>
          <w:vertAlign w:val="baseline"/>
          <w:lang w:val="en-US" w:eastAsia="zh-CN"/>
        </w:rPr>
        <w:t>功能时序图如下：</w:t>
      </w:r>
    </w:p>
    <w:p w14:paraId="476E5402">
      <w:pPr>
        <w:widowControl w:val="0"/>
        <w:numPr>
          <w:ilvl w:val="0"/>
          <w:numId w:val="0"/>
        </w:numPr>
        <w:jc w:val="center"/>
        <w:rPr>
          <w:rFonts w:hint="default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drawing>
          <wp:inline distT="0" distB="0" distL="114300" distR="114300">
            <wp:extent cx="2238375" cy="1905000"/>
            <wp:effectExtent l="0" t="0" r="22225" b="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716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eastAsia="仿宋_GB2312" w:cs="仿宋_GB2312"/>
          <w:b/>
          <w:bCs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/>
          <w:bCs/>
          <w:sz w:val="28"/>
          <w:szCs w:val="28"/>
          <w:shd w:val="clear" w:color="auto" w:fill="FFFFFF"/>
          <w:vertAlign w:val="baseline"/>
          <w:lang w:val="en-US" w:eastAsia="zh-CN"/>
        </w:rPr>
        <w:t>关键数据结构：</w:t>
      </w:r>
    </w:p>
    <w:p w14:paraId="74F8AC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充电枪数据结构：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"/>
        <w:gridCol w:w="1764"/>
        <w:gridCol w:w="1264"/>
        <w:gridCol w:w="1611"/>
        <w:gridCol w:w="2829"/>
      </w:tblGrid>
      <w:tr w14:paraId="0CB50920">
        <w:trPr>
          <w:jc w:val="center"/>
        </w:trPr>
        <w:tc>
          <w:tcPr>
            <w:tcW w:w="1054" w:type="dxa"/>
            <w:shd w:val="clear" w:color="auto" w:fill="D7D7D7" w:themeFill="background1" w:themeFillShade="D8"/>
            <w:vAlign w:val="center"/>
          </w:tcPr>
          <w:p w14:paraId="76522E8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/>
              </w:rPr>
              <w:t>序号</w:t>
            </w:r>
          </w:p>
        </w:tc>
        <w:tc>
          <w:tcPr>
            <w:tcW w:w="1764" w:type="dxa"/>
            <w:shd w:val="clear" w:color="auto" w:fill="D7D7D7" w:themeFill="background1" w:themeFillShade="D8"/>
            <w:vAlign w:val="center"/>
          </w:tcPr>
          <w:p w14:paraId="256C669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/>
              </w:rPr>
              <w:t>数据名称</w:t>
            </w:r>
          </w:p>
        </w:tc>
        <w:tc>
          <w:tcPr>
            <w:tcW w:w="1264" w:type="dxa"/>
            <w:shd w:val="clear" w:color="auto" w:fill="D7D7D7" w:themeFill="background1" w:themeFillShade="D8"/>
            <w:vAlign w:val="center"/>
          </w:tcPr>
          <w:p w14:paraId="42A158F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/>
              </w:rPr>
              <w:t>数据标识</w:t>
            </w:r>
          </w:p>
        </w:tc>
        <w:tc>
          <w:tcPr>
            <w:tcW w:w="1611" w:type="dxa"/>
            <w:shd w:val="clear" w:color="auto" w:fill="D7D7D7" w:themeFill="background1" w:themeFillShade="D8"/>
            <w:vAlign w:val="center"/>
          </w:tcPr>
          <w:p w14:paraId="6114F11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829" w:type="dxa"/>
            <w:shd w:val="clear" w:color="auto" w:fill="D7D7D7" w:themeFill="background1" w:themeFillShade="D8"/>
            <w:vAlign w:val="center"/>
          </w:tcPr>
          <w:p w14:paraId="6E2B724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/>
              </w:rPr>
              <w:t>数据描述</w:t>
            </w:r>
          </w:p>
        </w:tc>
      </w:tr>
      <w:tr w14:paraId="58CBB09D">
        <w:trPr>
          <w:jc w:val="center"/>
        </w:trPr>
        <w:tc>
          <w:tcPr>
            <w:tcW w:w="1054" w:type="dxa"/>
            <w:vAlign w:val="center"/>
          </w:tcPr>
          <w:p w14:paraId="2AA2AF8B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</w:t>
            </w:r>
          </w:p>
        </w:tc>
        <w:tc>
          <w:tcPr>
            <w:tcW w:w="1764" w:type="dxa"/>
            <w:vAlign w:val="center"/>
          </w:tcPr>
          <w:p w14:paraId="5D0289E9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交易流水号</w:t>
            </w:r>
          </w:p>
        </w:tc>
        <w:tc>
          <w:tcPr>
            <w:tcW w:w="1264" w:type="dxa"/>
            <w:vAlign w:val="center"/>
          </w:tcPr>
          <w:p w14:paraId="317F1BD6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orderNo</w:t>
            </w:r>
          </w:p>
        </w:tc>
        <w:tc>
          <w:tcPr>
            <w:tcW w:w="1611" w:type="dxa"/>
            <w:vAlign w:val="center"/>
          </w:tcPr>
          <w:p w14:paraId="1A6B0B5A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string/BCD16</w:t>
            </w:r>
          </w:p>
        </w:tc>
        <w:tc>
          <w:tcPr>
            <w:tcW w:w="2829" w:type="dxa"/>
            <w:vAlign w:val="center"/>
          </w:tcPr>
          <w:p w14:paraId="5F214158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交易订单号，组帧时按 16 字节 BCD 编码，不足补 0。</w:t>
            </w:r>
          </w:p>
        </w:tc>
      </w:tr>
      <w:tr w14:paraId="5BD02328">
        <w:trPr>
          <w:jc w:val="center"/>
        </w:trPr>
        <w:tc>
          <w:tcPr>
            <w:tcW w:w="1054" w:type="dxa"/>
            <w:vAlign w:val="center"/>
          </w:tcPr>
          <w:p w14:paraId="2C3E99FB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2</w:t>
            </w:r>
          </w:p>
        </w:tc>
        <w:tc>
          <w:tcPr>
            <w:tcW w:w="1764" w:type="dxa"/>
            <w:vAlign w:val="center"/>
          </w:tcPr>
          <w:p w14:paraId="4CF7AEC5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充电桩编号</w:t>
            </w:r>
          </w:p>
        </w:tc>
        <w:tc>
          <w:tcPr>
            <w:tcW w:w="1264" w:type="dxa"/>
            <w:vAlign w:val="center"/>
          </w:tcPr>
          <w:p w14:paraId="7040ADBE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code</w:t>
            </w:r>
          </w:p>
        </w:tc>
        <w:tc>
          <w:tcPr>
            <w:tcW w:w="1611" w:type="dxa"/>
            <w:vAlign w:val="center"/>
          </w:tcPr>
          <w:p w14:paraId="2DA5D195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string/BCD7</w:t>
            </w:r>
          </w:p>
        </w:tc>
        <w:tc>
          <w:tcPr>
            <w:tcW w:w="2829" w:type="dxa"/>
            <w:vAlign w:val="center"/>
          </w:tcPr>
          <w:p w14:paraId="3B9371CA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充电桩编号，来源于 cdz_no，组帧时按 7 字节 BCD 编码。</w:t>
            </w:r>
          </w:p>
        </w:tc>
      </w:tr>
      <w:tr w14:paraId="6C019A6B">
        <w:trPr>
          <w:jc w:val="center"/>
        </w:trPr>
        <w:tc>
          <w:tcPr>
            <w:tcW w:w="1054" w:type="dxa"/>
            <w:vAlign w:val="center"/>
          </w:tcPr>
          <w:p w14:paraId="1D5E282E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3</w:t>
            </w:r>
          </w:p>
        </w:tc>
        <w:tc>
          <w:tcPr>
            <w:tcW w:w="1764" w:type="dxa"/>
            <w:vAlign w:val="center"/>
          </w:tcPr>
          <w:p w14:paraId="637371C3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枪号</w:t>
            </w:r>
          </w:p>
        </w:tc>
        <w:tc>
          <w:tcPr>
            <w:tcW w:w="1264" w:type="dxa"/>
            <w:vAlign w:val="center"/>
          </w:tcPr>
          <w:p w14:paraId="20927385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gunNo</w:t>
            </w:r>
          </w:p>
        </w:tc>
        <w:tc>
          <w:tcPr>
            <w:tcW w:w="1611" w:type="dxa"/>
            <w:vAlign w:val="center"/>
          </w:tcPr>
          <w:p w14:paraId="05BA252E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int/BCD1</w:t>
            </w:r>
          </w:p>
        </w:tc>
        <w:tc>
          <w:tcPr>
            <w:tcW w:w="2829" w:type="dxa"/>
            <w:vAlign w:val="center"/>
          </w:tcPr>
          <w:p w14:paraId="3D2DF4C4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当前充电枪编号，按 gun + 1 编码。</w:t>
            </w:r>
          </w:p>
        </w:tc>
      </w:tr>
      <w:tr w14:paraId="1C64BEB4">
        <w:trPr>
          <w:jc w:val="center"/>
        </w:trPr>
        <w:tc>
          <w:tcPr>
            <w:tcW w:w="1054" w:type="dxa"/>
            <w:vAlign w:val="center"/>
          </w:tcPr>
          <w:p w14:paraId="7C4062F1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4</w:t>
            </w:r>
          </w:p>
        </w:tc>
        <w:tc>
          <w:tcPr>
            <w:tcW w:w="1764" w:type="dxa"/>
            <w:vAlign w:val="center"/>
          </w:tcPr>
          <w:p w14:paraId="3D2E9F7C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枪状态</w:t>
            </w:r>
          </w:p>
        </w:tc>
        <w:tc>
          <w:tcPr>
            <w:tcW w:w="1264" w:type="dxa"/>
            <w:vAlign w:val="center"/>
          </w:tcPr>
          <w:p w14:paraId="7A6B3A72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state</w:t>
            </w:r>
          </w:p>
        </w:tc>
        <w:tc>
          <w:tcPr>
            <w:tcW w:w="1611" w:type="dxa"/>
            <w:vAlign w:val="center"/>
          </w:tcPr>
          <w:p w14:paraId="5EC32C7F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enum</w:t>
            </w:r>
          </w:p>
        </w:tc>
        <w:tc>
          <w:tcPr>
            <w:tcW w:w="2829" w:type="dxa"/>
            <w:vAlign w:val="center"/>
          </w:tcPr>
          <w:p w14:paraId="23E5910D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枪运行状态。当前由 tcu_logic 的 state_change 映射得到：IDLE/PREPARE=0x02，STARTING/CHARGING/STOPPING=0x03，ERROR=0x01，STOPPED=0x04。</w:t>
            </w:r>
          </w:p>
        </w:tc>
      </w:tr>
      <w:tr w14:paraId="7D6EF897">
        <w:trPr>
          <w:jc w:val="center"/>
        </w:trPr>
        <w:tc>
          <w:tcPr>
            <w:tcW w:w="1054" w:type="dxa"/>
            <w:vAlign w:val="center"/>
          </w:tcPr>
          <w:p w14:paraId="0692D3F4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5</w:t>
            </w:r>
          </w:p>
        </w:tc>
        <w:tc>
          <w:tcPr>
            <w:tcW w:w="1764" w:type="dxa"/>
            <w:vAlign w:val="center"/>
          </w:tcPr>
          <w:p w14:paraId="7EE20FE4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枪是否归位</w:t>
            </w:r>
          </w:p>
        </w:tc>
        <w:tc>
          <w:tcPr>
            <w:tcW w:w="1264" w:type="dxa"/>
            <w:vAlign w:val="center"/>
          </w:tcPr>
          <w:p w14:paraId="06F9024C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gunSeatState</w:t>
            </w:r>
          </w:p>
        </w:tc>
        <w:tc>
          <w:tcPr>
            <w:tcW w:w="1611" w:type="dxa"/>
            <w:vAlign w:val="center"/>
          </w:tcPr>
          <w:p w14:paraId="63380155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enum</w:t>
            </w:r>
          </w:p>
        </w:tc>
        <w:tc>
          <w:tcPr>
            <w:tcW w:w="2829" w:type="dxa"/>
            <w:vAlign w:val="center"/>
          </w:tcPr>
          <w:p w14:paraId="1323B0FE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当前代码固定写 0x02，表示按联调要求固定值。</w:t>
            </w:r>
          </w:p>
        </w:tc>
      </w:tr>
      <w:tr w14:paraId="026BBF7A">
        <w:trPr>
          <w:jc w:val="center"/>
        </w:trPr>
        <w:tc>
          <w:tcPr>
            <w:tcW w:w="1054" w:type="dxa"/>
            <w:vAlign w:val="center"/>
          </w:tcPr>
          <w:p w14:paraId="013C73E5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6</w:t>
            </w:r>
          </w:p>
        </w:tc>
        <w:tc>
          <w:tcPr>
            <w:tcW w:w="1764" w:type="dxa"/>
            <w:vAlign w:val="center"/>
          </w:tcPr>
          <w:p w14:paraId="1CCA0FBE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是否插枪</w:t>
            </w:r>
          </w:p>
        </w:tc>
        <w:tc>
          <w:tcPr>
            <w:tcW w:w="1264" w:type="dxa"/>
            <w:vAlign w:val="center"/>
          </w:tcPr>
          <w:p w14:paraId="0601EA40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vehicleConnectStatus</w:t>
            </w:r>
          </w:p>
        </w:tc>
        <w:tc>
          <w:tcPr>
            <w:tcW w:w="1611" w:type="dxa"/>
            <w:vAlign w:val="center"/>
          </w:tcPr>
          <w:p w14:paraId="43FDC0C0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enum</w:t>
            </w:r>
          </w:p>
        </w:tc>
        <w:tc>
          <w:tcPr>
            <w:tcW w:w="2829" w:type="dxa"/>
            <w:vAlign w:val="center"/>
          </w:tcPr>
          <w:p w14:paraId="04DD1252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是否检测到车辆已连接/插枪。0x01 表示已插枪，0x00 表示未插枪。来源于遥信 yxVehicleConnectStatus。</w:t>
            </w:r>
          </w:p>
        </w:tc>
      </w:tr>
      <w:tr w14:paraId="5787C6A1">
        <w:trPr>
          <w:jc w:val="center"/>
        </w:trPr>
        <w:tc>
          <w:tcPr>
            <w:tcW w:w="1054" w:type="dxa"/>
            <w:vAlign w:val="center"/>
          </w:tcPr>
          <w:p w14:paraId="0319F5DD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7</w:t>
            </w:r>
          </w:p>
        </w:tc>
        <w:tc>
          <w:tcPr>
            <w:tcW w:w="1764" w:type="dxa"/>
            <w:vAlign w:val="center"/>
          </w:tcPr>
          <w:p w14:paraId="32743BC0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输出电压</w:t>
            </w:r>
          </w:p>
        </w:tc>
        <w:tc>
          <w:tcPr>
            <w:tcW w:w="1264" w:type="dxa"/>
            <w:vAlign w:val="center"/>
          </w:tcPr>
          <w:p w14:paraId="7E847249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outputVoltage</w:t>
            </w:r>
          </w:p>
        </w:tc>
        <w:tc>
          <w:tcPr>
            <w:tcW w:w="1611" w:type="dxa"/>
            <w:vAlign w:val="center"/>
          </w:tcPr>
          <w:p w14:paraId="62DD1A43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float</w:t>
            </w:r>
          </w:p>
        </w:tc>
        <w:tc>
          <w:tcPr>
            <w:tcW w:w="2829" w:type="dxa"/>
            <w:vAlign w:val="center"/>
          </w:tcPr>
          <w:p w14:paraId="67405C91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充电输出电压，单位 V。组帧时按 0.1V 精度编码为 2 字节整数。</w:t>
            </w:r>
          </w:p>
        </w:tc>
      </w:tr>
      <w:tr w14:paraId="1BAB4183">
        <w:trPr>
          <w:jc w:val="center"/>
        </w:trPr>
        <w:tc>
          <w:tcPr>
            <w:tcW w:w="1054" w:type="dxa"/>
            <w:vAlign w:val="center"/>
          </w:tcPr>
          <w:p w14:paraId="4C03E4B8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8</w:t>
            </w:r>
          </w:p>
        </w:tc>
        <w:tc>
          <w:tcPr>
            <w:tcW w:w="1764" w:type="dxa"/>
            <w:vAlign w:val="center"/>
          </w:tcPr>
          <w:p w14:paraId="2175E557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输出电流</w:t>
            </w:r>
          </w:p>
        </w:tc>
        <w:tc>
          <w:tcPr>
            <w:tcW w:w="1264" w:type="dxa"/>
            <w:vAlign w:val="center"/>
          </w:tcPr>
          <w:p w14:paraId="6933A761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outputCurrent</w:t>
            </w:r>
          </w:p>
        </w:tc>
        <w:tc>
          <w:tcPr>
            <w:tcW w:w="1611" w:type="dxa"/>
            <w:vAlign w:val="center"/>
          </w:tcPr>
          <w:p w14:paraId="651C8931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float</w:t>
            </w:r>
          </w:p>
        </w:tc>
        <w:tc>
          <w:tcPr>
            <w:tcW w:w="2829" w:type="dxa"/>
            <w:vAlign w:val="center"/>
          </w:tcPr>
          <w:p w14:paraId="62B0D40B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充电输出电流，单位 A。组帧时按 0.1A 精度并加 800A 偏移编码。</w:t>
            </w:r>
          </w:p>
        </w:tc>
      </w:tr>
      <w:tr w14:paraId="5D20229C">
        <w:trPr>
          <w:jc w:val="center"/>
        </w:trPr>
        <w:tc>
          <w:tcPr>
            <w:tcW w:w="1054" w:type="dxa"/>
            <w:vAlign w:val="center"/>
          </w:tcPr>
          <w:p w14:paraId="1DC0E288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9</w:t>
            </w:r>
          </w:p>
        </w:tc>
        <w:tc>
          <w:tcPr>
            <w:tcW w:w="1764" w:type="dxa"/>
            <w:vAlign w:val="center"/>
          </w:tcPr>
          <w:p w14:paraId="7640FFFF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枪线温度</w:t>
            </w:r>
          </w:p>
        </w:tc>
        <w:tc>
          <w:tcPr>
            <w:tcW w:w="1264" w:type="dxa"/>
            <w:vAlign w:val="center"/>
          </w:tcPr>
          <w:p w14:paraId="7E3ECFFA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cableTemp</w:t>
            </w:r>
          </w:p>
        </w:tc>
        <w:tc>
          <w:tcPr>
            <w:tcW w:w="1611" w:type="dxa"/>
            <w:vAlign w:val="center"/>
          </w:tcPr>
          <w:p w14:paraId="7DF0DE4C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float</w:t>
            </w:r>
          </w:p>
        </w:tc>
        <w:tc>
          <w:tcPr>
            <w:tcW w:w="2829" w:type="dxa"/>
            <w:vAlign w:val="center"/>
          </w:tcPr>
          <w:p w14:paraId="2F5B8725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枪线温度，当前取 interfaceTemp1，按“实际值 + 50”编码。</w:t>
            </w:r>
          </w:p>
        </w:tc>
      </w:tr>
      <w:tr w14:paraId="75D59242">
        <w:trPr>
          <w:jc w:val="center"/>
        </w:trPr>
        <w:tc>
          <w:tcPr>
            <w:tcW w:w="1054" w:type="dxa"/>
            <w:vAlign w:val="center"/>
          </w:tcPr>
          <w:p w14:paraId="1BFD4BC3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10</w:t>
            </w:r>
          </w:p>
        </w:tc>
        <w:tc>
          <w:tcPr>
            <w:tcW w:w="1764" w:type="dxa"/>
            <w:vAlign w:val="center"/>
          </w:tcPr>
          <w:p w14:paraId="47C051B2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枪线编码</w:t>
            </w:r>
          </w:p>
        </w:tc>
        <w:tc>
          <w:tcPr>
            <w:tcW w:w="1264" w:type="dxa"/>
            <w:vAlign w:val="center"/>
          </w:tcPr>
          <w:p w14:paraId="7CEC1439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cableCode</w:t>
            </w:r>
          </w:p>
        </w:tc>
        <w:tc>
          <w:tcPr>
            <w:tcW w:w="1611" w:type="dxa"/>
            <w:vAlign w:val="center"/>
          </w:tcPr>
          <w:p w14:paraId="769B6653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string</w:t>
            </w:r>
          </w:p>
        </w:tc>
        <w:tc>
          <w:tcPr>
            <w:tcW w:w="2829" w:type="dxa"/>
            <w:vAlign w:val="center"/>
          </w:tcPr>
          <w:p w14:paraId="15A033BE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枪线标识编码。当前代码固定填 8 字节 0x00。</w:t>
            </w:r>
          </w:p>
        </w:tc>
      </w:tr>
      <w:tr w14:paraId="2897202D">
        <w:trPr>
          <w:jc w:val="center"/>
        </w:trPr>
        <w:tc>
          <w:tcPr>
            <w:tcW w:w="1054" w:type="dxa"/>
            <w:vAlign w:val="center"/>
          </w:tcPr>
          <w:p w14:paraId="59ECE748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11</w:t>
            </w:r>
          </w:p>
        </w:tc>
        <w:tc>
          <w:tcPr>
            <w:tcW w:w="1764" w:type="dxa"/>
            <w:vAlign w:val="center"/>
          </w:tcPr>
          <w:p w14:paraId="56E76517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SOC</w:t>
            </w:r>
          </w:p>
        </w:tc>
        <w:tc>
          <w:tcPr>
            <w:tcW w:w="1264" w:type="dxa"/>
            <w:vAlign w:val="center"/>
          </w:tcPr>
          <w:p w14:paraId="0E277590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soc</w:t>
            </w:r>
          </w:p>
        </w:tc>
        <w:tc>
          <w:tcPr>
            <w:tcW w:w="1611" w:type="dxa"/>
            <w:vAlign w:val="center"/>
          </w:tcPr>
          <w:p w14:paraId="36CB9E39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int</w:t>
            </w:r>
          </w:p>
        </w:tc>
        <w:tc>
          <w:tcPr>
            <w:tcW w:w="2829" w:type="dxa"/>
            <w:vAlign w:val="center"/>
          </w:tcPr>
          <w:p w14:paraId="5C978DE3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当前电池荷电状态，范围 0~100。</w:t>
            </w:r>
          </w:p>
        </w:tc>
      </w:tr>
      <w:tr w14:paraId="0C2AE73D">
        <w:trPr>
          <w:jc w:val="center"/>
        </w:trPr>
        <w:tc>
          <w:tcPr>
            <w:tcW w:w="1054" w:type="dxa"/>
            <w:vAlign w:val="center"/>
          </w:tcPr>
          <w:p w14:paraId="3C4730A0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12</w:t>
            </w:r>
          </w:p>
        </w:tc>
        <w:tc>
          <w:tcPr>
            <w:tcW w:w="1764" w:type="dxa"/>
            <w:vAlign w:val="center"/>
          </w:tcPr>
          <w:p w14:paraId="3B3A98E2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电池组最高温度</w:t>
            </w:r>
          </w:p>
        </w:tc>
        <w:tc>
          <w:tcPr>
            <w:tcW w:w="1264" w:type="dxa"/>
            <w:vAlign w:val="center"/>
          </w:tcPr>
          <w:p w14:paraId="21D42FF2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batteryMaxTemp</w:t>
            </w:r>
          </w:p>
        </w:tc>
        <w:tc>
          <w:tcPr>
            <w:tcW w:w="1611" w:type="dxa"/>
            <w:vAlign w:val="center"/>
          </w:tcPr>
          <w:p w14:paraId="316C404E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float</w:t>
            </w:r>
          </w:p>
        </w:tc>
        <w:tc>
          <w:tcPr>
            <w:tcW w:w="2829" w:type="dxa"/>
            <w:vAlign w:val="center"/>
          </w:tcPr>
          <w:p w14:paraId="373089C7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电池组最高温度，当前取 batteryMaxTemp，按“实际值 + 50”编码。</w:t>
            </w:r>
          </w:p>
        </w:tc>
      </w:tr>
      <w:tr w14:paraId="245F87D0">
        <w:trPr>
          <w:jc w:val="center"/>
        </w:trPr>
        <w:tc>
          <w:tcPr>
            <w:tcW w:w="1054" w:type="dxa"/>
            <w:vAlign w:val="center"/>
          </w:tcPr>
          <w:p w14:paraId="12F85629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13</w:t>
            </w:r>
          </w:p>
        </w:tc>
        <w:tc>
          <w:tcPr>
            <w:tcW w:w="1764" w:type="dxa"/>
            <w:vAlign w:val="center"/>
          </w:tcPr>
          <w:p w14:paraId="6DD18C00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累计充电时间</w:t>
            </w:r>
          </w:p>
        </w:tc>
        <w:tc>
          <w:tcPr>
            <w:tcW w:w="1264" w:type="dxa"/>
            <w:vAlign w:val="center"/>
          </w:tcPr>
          <w:p w14:paraId="7F562142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chargedTime</w:t>
            </w:r>
          </w:p>
        </w:tc>
        <w:tc>
          <w:tcPr>
            <w:tcW w:w="1611" w:type="dxa"/>
            <w:vAlign w:val="center"/>
          </w:tcPr>
          <w:p w14:paraId="5076CC08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int</w:t>
            </w:r>
          </w:p>
        </w:tc>
        <w:tc>
          <w:tcPr>
            <w:tcW w:w="2829" w:type="dxa"/>
            <w:vAlign w:val="center"/>
          </w:tcPr>
          <w:p w14:paraId="4CE8C2B4">
            <w:pPr>
              <w:jc w:val="center"/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本次累计充电时间，单位分钟。来源于 logic/feeData。</w:t>
            </w:r>
          </w:p>
        </w:tc>
      </w:tr>
      <w:tr w14:paraId="57B16CD5">
        <w:trPr>
          <w:jc w:val="center"/>
        </w:trPr>
        <w:tc>
          <w:tcPr>
            <w:tcW w:w="1054" w:type="dxa"/>
            <w:vAlign w:val="center"/>
          </w:tcPr>
          <w:p w14:paraId="5954FCAA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14</w:t>
            </w:r>
          </w:p>
        </w:tc>
        <w:tc>
          <w:tcPr>
            <w:tcW w:w="1764" w:type="dxa"/>
            <w:vAlign w:val="center"/>
          </w:tcPr>
          <w:p w14:paraId="4801E0E7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剩余充电时间</w:t>
            </w:r>
          </w:p>
        </w:tc>
        <w:tc>
          <w:tcPr>
            <w:tcW w:w="1264" w:type="dxa"/>
            <w:vAlign w:val="center"/>
          </w:tcPr>
          <w:p w14:paraId="7BD3E70B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estimatedRemainTime</w:t>
            </w:r>
          </w:p>
        </w:tc>
        <w:tc>
          <w:tcPr>
            <w:tcW w:w="1611" w:type="dxa"/>
            <w:vAlign w:val="center"/>
          </w:tcPr>
          <w:p w14:paraId="1522E8B0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int</w:t>
            </w:r>
          </w:p>
        </w:tc>
        <w:tc>
          <w:tcPr>
            <w:tcW w:w="2829" w:type="dxa"/>
            <w:vAlign w:val="center"/>
          </w:tcPr>
          <w:p w14:paraId="1193191E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预估剩余充电时间，单位分钟。来源于遥测 estimatedRemainTime。</w:t>
            </w:r>
          </w:p>
        </w:tc>
      </w:tr>
      <w:tr w14:paraId="70B5B419">
        <w:trPr>
          <w:jc w:val="center"/>
        </w:trPr>
        <w:tc>
          <w:tcPr>
            <w:tcW w:w="1054" w:type="dxa"/>
            <w:vAlign w:val="center"/>
          </w:tcPr>
          <w:p w14:paraId="12D93E6A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15</w:t>
            </w:r>
          </w:p>
        </w:tc>
        <w:tc>
          <w:tcPr>
            <w:tcW w:w="1764" w:type="dxa"/>
            <w:vAlign w:val="center"/>
          </w:tcPr>
          <w:p w14:paraId="140F9395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充电度数</w:t>
            </w:r>
          </w:p>
        </w:tc>
        <w:tc>
          <w:tcPr>
            <w:tcW w:w="1264" w:type="dxa"/>
            <w:vAlign w:val="center"/>
          </w:tcPr>
          <w:p w14:paraId="26C20063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totalEnergy</w:t>
            </w:r>
          </w:p>
        </w:tc>
        <w:tc>
          <w:tcPr>
            <w:tcW w:w="1611" w:type="dxa"/>
            <w:vAlign w:val="center"/>
          </w:tcPr>
          <w:p w14:paraId="18E82025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float</w:t>
            </w:r>
          </w:p>
        </w:tc>
        <w:tc>
          <w:tcPr>
            <w:tcW w:w="2829" w:type="dxa"/>
            <w:vAlign w:val="center"/>
          </w:tcPr>
          <w:p w14:paraId="617584F8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本次已充电量，单位 kWh。组帧时按 0.0001 kWh 精度编码。</w:t>
            </w:r>
          </w:p>
        </w:tc>
      </w:tr>
      <w:tr w14:paraId="005DBB51">
        <w:trPr>
          <w:jc w:val="center"/>
        </w:trPr>
        <w:tc>
          <w:tcPr>
            <w:tcW w:w="1054" w:type="dxa"/>
            <w:vAlign w:val="center"/>
          </w:tcPr>
          <w:p w14:paraId="75FF209C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16</w:t>
            </w:r>
          </w:p>
        </w:tc>
        <w:tc>
          <w:tcPr>
            <w:tcW w:w="1764" w:type="dxa"/>
            <w:vAlign w:val="center"/>
          </w:tcPr>
          <w:p w14:paraId="6B4E6E84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计费充电度数</w:t>
            </w:r>
          </w:p>
        </w:tc>
        <w:tc>
          <w:tcPr>
            <w:tcW w:w="1264" w:type="dxa"/>
            <w:vAlign w:val="center"/>
          </w:tcPr>
          <w:p w14:paraId="4E75FBC7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billingEnergy</w:t>
            </w:r>
          </w:p>
        </w:tc>
        <w:tc>
          <w:tcPr>
            <w:tcW w:w="1611" w:type="dxa"/>
            <w:vAlign w:val="center"/>
          </w:tcPr>
          <w:p w14:paraId="05D472CF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float</w:t>
            </w:r>
          </w:p>
        </w:tc>
        <w:tc>
          <w:tcPr>
            <w:tcW w:w="2829" w:type="dxa"/>
            <w:vAlign w:val="center"/>
          </w:tcPr>
          <w:p w14:paraId="45528EE8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用于计费的充电电量，当前实现与 totalEnergy 保持一致。</w:t>
            </w:r>
          </w:p>
        </w:tc>
      </w:tr>
      <w:tr w14:paraId="1636CEB1">
        <w:trPr>
          <w:jc w:val="center"/>
        </w:trPr>
        <w:tc>
          <w:tcPr>
            <w:tcW w:w="1054" w:type="dxa"/>
            <w:vAlign w:val="center"/>
          </w:tcPr>
          <w:p w14:paraId="5C463FD6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17</w:t>
            </w:r>
          </w:p>
        </w:tc>
        <w:tc>
          <w:tcPr>
            <w:tcW w:w="1764" w:type="dxa"/>
            <w:vAlign w:val="center"/>
          </w:tcPr>
          <w:p w14:paraId="29FF2178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已充电费</w:t>
            </w:r>
          </w:p>
        </w:tc>
        <w:tc>
          <w:tcPr>
            <w:tcW w:w="1264" w:type="dxa"/>
            <w:vAlign w:val="center"/>
          </w:tcPr>
          <w:p w14:paraId="630CD785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electricAmount</w:t>
            </w:r>
          </w:p>
        </w:tc>
        <w:tc>
          <w:tcPr>
            <w:tcW w:w="1611" w:type="dxa"/>
            <w:vAlign w:val="center"/>
          </w:tcPr>
          <w:p w14:paraId="05521CFD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float</w:t>
            </w:r>
          </w:p>
        </w:tc>
        <w:tc>
          <w:tcPr>
            <w:tcW w:w="2829" w:type="dxa"/>
            <w:vAlign w:val="center"/>
          </w:tcPr>
          <w:p w14:paraId="4D4C6E3E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当前累计电费金额，组帧时按 0.0001 元 精度编码。</w:t>
            </w:r>
          </w:p>
        </w:tc>
      </w:tr>
      <w:tr w14:paraId="4878D0E3">
        <w:trPr>
          <w:jc w:val="center"/>
        </w:trPr>
        <w:tc>
          <w:tcPr>
            <w:tcW w:w="1054" w:type="dxa"/>
            <w:vAlign w:val="center"/>
          </w:tcPr>
          <w:p w14:paraId="4252525D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18</w:t>
            </w:r>
          </w:p>
        </w:tc>
        <w:tc>
          <w:tcPr>
            <w:tcW w:w="1764" w:type="dxa"/>
            <w:vAlign w:val="center"/>
          </w:tcPr>
          <w:p w14:paraId="569876BC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已充服务费</w:t>
            </w:r>
          </w:p>
        </w:tc>
        <w:tc>
          <w:tcPr>
            <w:tcW w:w="1264" w:type="dxa"/>
            <w:vAlign w:val="center"/>
          </w:tcPr>
          <w:p w14:paraId="17D93859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serviceAmount</w:t>
            </w:r>
          </w:p>
        </w:tc>
        <w:tc>
          <w:tcPr>
            <w:tcW w:w="1611" w:type="dxa"/>
            <w:vAlign w:val="center"/>
          </w:tcPr>
          <w:p w14:paraId="769CB9FB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float</w:t>
            </w:r>
          </w:p>
        </w:tc>
        <w:tc>
          <w:tcPr>
            <w:tcW w:w="2829" w:type="dxa"/>
            <w:vAlign w:val="center"/>
          </w:tcPr>
          <w:p w14:paraId="744C9FE8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当前累计服务费金额，组帧时按 0.0001 元 精度编码。</w:t>
            </w:r>
          </w:p>
        </w:tc>
      </w:tr>
      <w:tr w14:paraId="25D742BA">
        <w:trPr>
          <w:jc w:val="center"/>
        </w:trPr>
        <w:tc>
          <w:tcPr>
            <w:tcW w:w="1054" w:type="dxa"/>
            <w:vAlign w:val="center"/>
          </w:tcPr>
          <w:p w14:paraId="32DE41D9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19</w:t>
            </w:r>
          </w:p>
        </w:tc>
        <w:tc>
          <w:tcPr>
            <w:tcW w:w="1764" w:type="dxa"/>
            <w:vAlign w:val="center"/>
          </w:tcPr>
          <w:p w14:paraId="5D52BBC7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枪体温度</w:t>
            </w:r>
          </w:p>
        </w:tc>
        <w:tc>
          <w:tcPr>
            <w:tcW w:w="1264" w:type="dxa"/>
            <w:vAlign w:val="center"/>
          </w:tcPr>
          <w:p w14:paraId="0DA7E4DE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gunBodyTemp</w:t>
            </w:r>
          </w:p>
        </w:tc>
        <w:tc>
          <w:tcPr>
            <w:tcW w:w="1611" w:type="dxa"/>
            <w:vAlign w:val="center"/>
          </w:tcPr>
          <w:p w14:paraId="4E0EA5CF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float</w:t>
            </w:r>
          </w:p>
        </w:tc>
        <w:tc>
          <w:tcPr>
            <w:tcW w:w="2829" w:type="dxa"/>
            <w:vAlign w:val="center"/>
          </w:tcPr>
          <w:p w14:paraId="265321F6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枪体温度，当前仍取 interfaceTemp1，按“实际值 + 50”编码。</w:t>
            </w:r>
          </w:p>
        </w:tc>
      </w:tr>
      <w:tr w14:paraId="30DC281C">
        <w:trPr>
          <w:jc w:val="center"/>
        </w:trPr>
        <w:tc>
          <w:tcPr>
            <w:tcW w:w="1054" w:type="dxa"/>
            <w:vAlign w:val="center"/>
          </w:tcPr>
          <w:p w14:paraId="67E0629C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20</w:t>
            </w:r>
          </w:p>
        </w:tc>
        <w:tc>
          <w:tcPr>
            <w:tcW w:w="1764" w:type="dxa"/>
            <w:vAlign w:val="center"/>
          </w:tcPr>
          <w:p w14:paraId="6F465F3C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电表示值</w:t>
            </w:r>
          </w:p>
        </w:tc>
        <w:tc>
          <w:tcPr>
            <w:tcW w:w="1264" w:type="dxa"/>
            <w:vAlign w:val="center"/>
          </w:tcPr>
          <w:p w14:paraId="5D19BE2B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meterEnergy</w:t>
            </w:r>
          </w:p>
        </w:tc>
        <w:tc>
          <w:tcPr>
            <w:tcW w:w="1611" w:type="dxa"/>
            <w:vAlign w:val="center"/>
          </w:tcPr>
          <w:p w14:paraId="4ADB559F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float</w:t>
            </w:r>
          </w:p>
        </w:tc>
        <w:tc>
          <w:tcPr>
            <w:tcW w:w="2829" w:type="dxa"/>
            <w:vAlign w:val="center"/>
          </w:tcPr>
          <w:p w14:paraId="33FCD8B5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电表累计电量示值，单位 kWh。组帧时按 0.0001 kWh 精度编码为 8 字节。</w:t>
            </w:r>
          </w:p>
        </w:tc>
      </w:tr>
      <w:tr w14:paraId="5B02D53E">
        <w:trPr>
          <w:jc w:val="center"/>
        </w:trPr>
        <w:tc>
          <w:tcPr>
            <w:tcW w:w="1054" w:type="dxa"/>
            <w:vAlign w:val="center"/>
          </w:tcPr>
          <w:p w14:paraId="1D8C7E93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21</w:t>
            </w:r>
          </w:p>
        </w:tc>
        <w:tc>
          <w:tcPr>
            <w:tcW w:w="1764" w:type="dxa"/>
            <w:vAlign w:val="center"/>
          </w:tcPr>
          <w:p w14:paraId="2F324BDB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功率因数</w:t>
            </w:r>
          </w:p>
        </w:tc>
        <w:tc>
          <w:tcPr>
            <w:tcW w:w="1264" w:type="dxa"/>
            <w:vAlign w:val="center"/>
          </w:tcPr>
          <w:p w14:paraId="761D98AA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powerFactor</w:t>
            </w:r>
          </w:p>
        </w:tc>
        <w:tc>
          <w:tcPr>
            <w:tcW w:w="1611" w:type="dxa"/>
            <w:vAlign w:val="center"/>
          </w:tcPr>
          <w:p w14:paraId="717FEB5B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float</w:t>
            </w:r>
          </w:p>
        </w:tc>
        <w:tc>
          <w:tcPr>
            <w:tcW w:w="2829" w:type="dxa"/>
            <w:vAlign w:val="center"/>
          </w:tcPr>
          <w:p w14:paraId="63AA3FD8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功率因数。当前代码固定填 0.99。</w:t>
            </w:r>
          </w:p>
        </w:tc>
      </w:tr>
      <w:tr w14:paraId="6DBF8A6C">
        <w:trPr>
          <w:jc w:val="center"/>
        </w:trPr>
        <w:tc>
          <w:tcPr>
            <w:tcW w:w="1054" w:type="dxa"/>
            <w:vAlign w:val="center"/>
          </w:tcPr>
          <w:p w14:paraId="2675AEEF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22</w:t>
            </w:r>
          </w:p>
        </w:tc>
        <w:tc>
          <w:tcPr>
            <w:tcW w:w="1764" w:type="dxa"/>
            <w:vAlign w:val="center"/>
          </w:tcPr>
          <w:p w14:paraId="2FBC81D0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功率需量</w:t>
            </w:r>
          </w:p>
        </w:tc>
        <w:tc>
          <w:tcPr>
            <w:tcW w:w="1264" w:type="dxa"/>
            <w:vAlign w:val="center"/>
          </w:tcPr>
          <w:p w14:paraId="0A65D2CE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powerDemand</w:t>
            </w:r>
          </w:p>
        </w:tc>
        <w:tc>
          <w:tcPr>
            <w:tcW w:w="1611" w:type="dxa"/>
            <w:vAlign w:val="center"/>
          </w:tcPr>
          <w:p w14:paraId="2A8BDD88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float</w:t>
            </w:r>
          </w:p>
        </w:tc>
        <w:tc>
          <w:tcPr>
            <w:tcW w:w="2829" w:type="dxa"/>
            <w:vAlign w:val="center"/>
          </w:tcPr>
          <w:p w14:paraId="05BB7FD0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当前功率需量，按 输出电压 × 输出电流 / 1000 计算，单位约为 kW，编码时按 0.01 精度处理。</w:t>
            </w:r>
          </w:p>
        </w:tc>
      </w:tr>
      <w:tr w14:paraId="766F91E8">
        <w:trPr>
          <w:jc w:val="center"/>
        </w:trPr>
        <w:tc>
          <w:tcPr>
            <w:tcW w:w="1054" w:type="dxa"/>
            <w:vAlign w:val="center"/>
          </w:tcPr>
          <w:p w14:paraId="5B0CDEA7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23</w:t>
            </w:r>
          </w:p>
        </w:tc>
        <w:tc>
          <w:tcPr>
            <w:tcW w:w="1764" w:type="dxa"/>
            <w:vAlign w:val="center"/>
          </w:tcPr>
          <w:p w14:paraId="66315FD9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最大功率需量</w:t>
            </w:r>
          </w:p>
        </w:tc>
        <w:tc>
          <w:tcPr>
            <w:tcW w:w="1264" w:type="dxa"/>
            <w:vAlign w:val="center"/>
          </w:tcPr>
          <w:p w14:paraId="1BA542E4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maxPowerDemand</w:t>
            </w:r>
          </w:p>
        </w:tc>
        <w:tc>
          <w:tcPr>
            <w:tcW w:w="1611" w:type="dxa"/>
            <w:vAlign w:val="center"/>
          </w:tcPr>
          <w:p w14:paraId="430751E3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float/int</w:t>
            </w:r>
          </w:p>
        </w:tc>
        <w:tc>
          <w:tcPr>
            <w:tcW w:w="2829" w:type="dxa"/>
            <w:vAlign w:val="center"/>
          </w:tcPr>
          <w:p w14:paraId="1519C492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最大功率需量。当前代码固定填 250000。</w:t>
            </w:r>
          </w:p>
        </w:tc>
      </w:tr>
      <w:tr w14:paraId="734B3EF5">
        <w:trPr>
          <w:jc w:val="center"/>
        </w:trPr>
        <w:tc>
          <w:tcPr>
            <w:tcW w:w="1054" w:type="dxa"/>
            <w:vAlign w:val="center"/>
          </w:tcPr>
          <w:p w14:paraId="76986E14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24</w:t>
            </w:r>
          </w:p>
        </w:tc>
        <w:tc>
          <w:tcPr>
            <w:tcW w:w="1764" w:type="dxa"/>
            <w:vAlign w:val="center"/>
          </w:tcPr>
          <w:p w14:paraId="26464593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是否离线模式产生</w:t>
            </w:r>
          </w:p>
        </w:tc>
        <w:tc>
          <w:tcPr>
            <w:tcW w:w="1264" w:type="dxa"/>
            <w:vAlign w:val="center"/>
          </w:tcPr>
          <w:p w14:paraId="5C4A0749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offlineGenerated</w:t>
            </w:r>
          </w:p>
        </w:tc>
        <w:tc>
          <w:tcPr>
            <w:tcW w:w="1611" w:type="dxa"/>
            <w:vAlign w:val="center"/>
          </w:tcPr>
          <w:p w14:paraId="4EB94515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enum</w:t>
            </w:r>
          </w:p>
        </w:tc>
        <w:tc>
          <w:tcPr>
            <w:tcW w:w="2829" w:type="dxa"/>
            <w:vAlign w:val="center"/>
          </w:tcPr>
          <w:p w14:paraId="7333C57D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是否由离线模式产生。当前在线模式固定填 0x00。</w:t>
            </w:r>
          </w:p>
        </w:tc>
      </w:tr>
      <w:tr w14:paraId="04C23FA5">
        <w:trPr>
          <w:jc w:val="center"/>
        </w:trPr>
        <w:tc>
          <w:tcPr>
            <w:tcW w:w="1054" w:type="dxa"/>
            <w:vAlign w:val="center"/>
          </w:tcPr>
          <w:p w14:paraId="6825D0FE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25</w:t>
            </w:r>
          </w:p>
        </w:tc>
        <w:tc>
          <w:tcPr>
            <w:tcW w:w="1764" w:type="dxa"/>
            <w:vAlign w:val="center"/>
          </w:tcPr>
          <w:p w14:paraId="040FA597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预留字段</w:t>
            </w:r>
          </w:p>
        </w:tc>
        <w:tc>
          <w:tcPr>
            <w:tcW w:w="1264" w:type="dxa"/>
            <w:vAlign w:val="center"/>
          </w:tcPr>
          <w:p w14:paraId="022A8123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reserved</w:t>
            </w:r>
          </w:p>
        </w:tc>
        <w:tc>
          <w:tcPr>
            <w:tcW w:w="1611" w:type="dxa"/>
            <w:vAlign w:val="center"/>
          </w:tcPr>
          <w:p w14:paraId="6AD1F5AE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bytes/BCD4</w:t>
            </w:r>
          </w:p>
        </w:tc>
        <w:tc>
          <w:tcPr>
            <w:tcW w:w="2829" w:type="dxa"/>
            <w:vAlign w:val="center"/>
          </w:tcPr>
          <w:p w14:paraId="63F715D3">
            <w:pPr>
              <w:jc w:val="center"/>
              <w:rPr>
                <w:rFonts w:hint="eastAsia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eastAsia="仿宋_GB2312" w:cs="仿宋_GB2312"/>
                <w:b w:val="0"/>
                <w:bCs w:val="0"/>
                <w:sz w:val="24"/>
                <w:szCs w:val="24"/>
                <w:shd w:val="clear" w:color="auto" w:fill="FFFFFF"/>
                <w:vertAlign w:val="baseline"/>
                <w:lang w:val="en-US" w:eastAsia="zh-CN"/>
              </w:rPr>
              <w:t>预留字段，当前固定填 4 字节 0x00。</w:t>
            </w:r>
          </w:p>
        </w:tc>
      </w:tr>
    </w:tbl>
    <w:p w14:paraId="4CFAFA1A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仿宋_GB2312" w:cs="仿宋_GB2312"/>
          <w:b w:val="0"/>
          <w:bCs w:val="0"/>
          <w:sz w:val="24"/>
          <w:szCs w:val="24"/>
          <w:shd w:val="clear" w:color="auto" w:fill="FFFFFF"/>
          <w:vertAlign w:val="baseline"/>
          <w:lang w:val="en-US" w:eastAsia="zh-CN"/>
        </w:rPr>
      </w:pPr>
    </w:p>
    <w:p w14:paraId="021C5AA2">
      <w:pP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2、充电BMS信息状态：充电中15秒一次上送BMS需求信息，启动或结束时上送相应的BRM、BST等信息（BRM、BCP、BST、BCL、BSM、及充电机相关BMS通信信息）。</w:t>
      </w:r>
    </w:p>
    <w:p w14:paraId="7FFCA630">
      <w:pPr>
        <w:rPr>
          <w:rFonts w:hint="default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</w:p>
    <w:p w14:paraId="0DE211AA">
      <w:pPr>
        <w:rPr>
          <w:rFonts w:hint="default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</w:p>
    <w:p w14:paraId="1F8B8685">
      <w:pPr>
        <w:rPr>
          <w:rFonts w:hint="default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</w:p>
    <w:p w14:paraId="08E50FF8">
      <w:pPr>
        <w:widowControl w:val="0"/>
        <w:numPr>
          <w:ilvl w:val="0"/>
          <w:numId w:val="0"/>
        </w:numPr>
        <w:jc w:val="both"/>
        <w:rPr>
          <w:rFonts w:hint="default" w:ascii="宋体" w:hAnsi="宋体"/>
          <w:sz w:val="24"/>
          <w:szCs w:val="24"/>
          <w:lang w:val="en-US" w:eastAsia="zh-CN"/>
        </w:rPr>
      </w:pPr>
    </w:p>
    <w:p w14:paraId="0C2997CB">
      <w:pPr>
        <w:rPr>
          <w:rFonts w:hint="default" w:ascii="宋体" w:hAnsi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（3）事件类通信</w:t>
      </w:r>
    </w:p>
    <w:p w14:paraId="13946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充电桩系统发生相应事件后，应主动发送事件信息，云平台收到后应回复确认。</w:t>
      </w:r>
    </w:p>
    <w:p w14:paraId="74528B6F">
      <w:pPr>
        <w:numPr>
          <w:ilvl w:val="0"/>
          <w:numId w:val="3"/>
        </w:numPr>
        <w:rPr>
          <w:rFonts w:hint="default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充放电记录：每次充放电结束后，充电桩要上送充放电记录。报文方向：S2M，功能标识：chargeRecord（充电）、dischargeRecord（放电），上送周期：触发上送。</w:t>
      </w:r>
    </w:p>
    <w:p w14:paraId="42B32C5E">
      <w:pPr>
        <w:rPr>
          <w:rFonts w:hint="default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2、充放电记录确认：充电桩上送充放电记录后，平台收到记录后回复确认。报文方向：M2S，功能标识：chargeRecordConf（充电）、dischargeRecordConf（放电），上送周期：无。</w:t>
      </w:r>
    </w:p>
    <w:p w14:paraId="01530194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1386E546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605937BD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1B182B9A">
      <w:pPr>
        <w:rPr>
          <w:rFonts w:hint="default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3、充放电事件：充放电启动后，充电桩按定义上送对应事件信息。报文方向：S2M，功能标识：chargeEvent（充电）、dischargeEvent（放电），上送周期：触发上送。</w:t>
      </w:r>
    </w:p>
    <w:p w14:paraId="753029BC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020A951E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4、充放电事件确认：充电桩上送充放电记录后，平台收到事件后回复确认。报文方向：M2S，功能标识：chargeEventConf（充电）、dischargeEventConf（放电），上送周期：无。</w:t>
      </w:r>
    </w:p>
    <w:p w14:paraId="474A6973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7481252F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5890FF32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4F15E39E">
      <w:pPr>
        <w:rPr>
          <w:rFonts w:hint="default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5、故障事件：充电桩发生故障后，向平台发送故障事件。报文方向：S2M，功能标识：faultEvent ，上送周期：触发上送。</w:t>
      </w:r>
    </w:p>
    <w:p w14:paraId="042416D2">
      <w:pPr>
        <w:rPr>
          <w:rFonts w:hint="default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6、故障事件确认：充电桩发生故障后，向平台发送故障事件。报文方向：M2S，功能标识：faultEventConf ，上送周期：无。</w:t>
      </w:r>
    </w:p>
    <w:p w14:paraId="4446CC2F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7743405C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45D910C0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76F60CF4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67BE8B2E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3F74EFF6">
      <w:pPr>
        <w:rPr>
          <w:rFonts w:hint="default" w:ascii="宋体" w:hAnsi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（4）请求类通信</w:t>
      </w:r>
    </w:p>
    <w:p w14:paraId="182153AA">
      <w:pPr>
        <w:rPr>
          <w:rFonts w:hint="default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1、充放电启动请求：通过云平台发起的充放电启动请求。报文方向：M2S，功能标识： chargeStartReq（充电）、dischargeStartReq（放电），上送周期：无。</w:t>
      </w:r>
    </w:p>
    <w:p w14:paraId="20F3DB0B">
      <w:pPr>
        <w:rPr>
          <w:rFonts w:hint="default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2、充放电启动回复：充电桩收到启动请求，向平台发送回复信息。报文方向：S2M，功能标识：faultEventConf ，上送周期：触发上送。</w:t>
      </w:r>
    </w:p>
    <w:p w14:paraId="7C22179D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740B114C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5456CB4C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6B93C11D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19D14BBD">
      <w:pPr>
        <w:rPr>
          <w:rFonts w:hint="default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3、充放电停止请求：通过云平台发起的充放电停止请求。报文方向：M2S，：功能标识： chargeStartReq（充电）、dischargeStartReq（放电），上送周期：无。</w:t>
      </w:r>
    </w:p>
    <w:p w14:paraId="4CCDB480">
      <w:pPr>
        <w:rPr>
          <w:rFonts w:hint="default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4、充放电停止回复：充电桩收到停止请求，向平台发送回复信息。报文方向：S2M，功能标识：faultEventConf ，上送周期：触发上送。</w:t>
      </w:r>
    </w:p>
    <w:p w14:paraId="2C8E1909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7856BFD1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50078F18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51F74B1E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7D02E729">
      <w:pPr>
        <w:rPr>
          <w:rFonts w:hint="default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5、计费模型设置：通过云平台发起的计费模型下发设置请求。报文方向：M2S，功能标识： rateModeSetReq（充电）、dischgRateModeSetReq（放电），上送周期：无。</w:t>
      </w:r>
    </w:p>
    <w:p w14:paraId="40D345C7">
      <w:pPr>
        <w:rPr>
          <w:rFonts w:hint="default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6、计费模型设置回复：充电桩收到计费模型设置请求，向平台发送回复信息。报文方向：S2M，功能标识：faultEventConf ，上送周期：触发上送。</w:t>
      </w:r>
    </w:p>
    <w:p w14:paraId="60F483FA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3D11C457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119FEFA4">
      <w:pPr>
        <w:rPr>
          <w:rFonts w:hint="default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7、OTA升级请求：通过云平台发起的OTA升级请求。报文方向：M2S，功能标识：otaReq，上送周期：无。</w:t>
      </w:r>
    </w:p>
    <w:p w14:paraId="2138789C">
      <w:pPr>
        <w:rPr>
          <w:rFonts w:hint="default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8、OTA升级回复：充电桩收到OTA升级请求，向平台发送回复信息。报文方向：S2M，功能标识：otaRes ，上送周期：触发上送。</w:t>
      </w:r>
    </w:p>
    <w:p w14:paraId="40B384A0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433981B4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1355A018">
      <w:pP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9、充放电鉴权请求：充电桩发起的充放电鉴权请求。报文方向：S2M，功能标识：功能标识： chargeAuthReq（充电）、dischargeAuthReq（放</w:t>
      </w:r>
    </w:p>
    <w:p w14:paraId="1C705BC7">
      <w:pPr>
        <w:rPr>
          <w:rFonts w:hint="default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电），上送周期：触发上送。</w:t>
      </w:r>
    </w:p>
    <w:p w14:paraId="5BC6D55F">
      <w:pPr>
        <w:rPr>
          <w:rFonts w:hint="default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10、充放电鉴权回复：平台收到命令后，根据充放电启动条件是否满足，给充电桩回复。报文方向：M2S，功能标识： chargeAuthRes（充电）、dischargeAuthRes（放电） ，上送周期：无。</w:t>
      </w:r>
    </w:p>
    <w:p w14:paraId="6022071A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4DC9080E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sz w:val="24"/>
          <w:szCs w:val="24"/>
          <w:lang w:val="en-US" w:eastAsia="zh-CN"/>
        </w:rPr>
      </w:pPr>
    </w:p>
    <w:p w14:paraId="2D90C538">
      <w:pP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11、功率调节设置请求：通过平台发起的充电桩功率调节设置请求。报文方向：M2S，功能标识：功能标识： powerAdjustSetReq （充电）、</w:t>
      </w:r>
    </w:p>
    <w:p w14:paraId="7C8188B9">
      <w:pPr>
        <w:rPr>
          <w:rFonts w:hint="default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powerAdjustSetDischargeReq（放电），上送周期：无。</w:t>
      </w:r>
    </w:p>
    <w:p w14:paraId="0DA0CF1D">
      <w:pP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12、功率调节设置回复：充电桩收到命令后，根据条件是否满足，给平台回复。报文方向：S2M，功能标识：powerAdjustSetRes （充电）、</w:t>
      </w:r>
    </w:p>
    <w:p w14:paraId="52C3AC9D">
      <w:pPr>
        <w:rPr>
          <w:rFonts w:hint="default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powerAdjustSetDischargeRes（放电） ，上送周期：触发上送。</w:t>
      </w:r>
    </w:p>
    <w:p w14:paraId="51AAAE87">
      <w:pPr>
        <w:rPr>
          <w:rFonts w:hint="eastAsia" w:ascii="宋体" w:hAnsi="宋体"/>
          <w:sz w:val="24"/>
          <w:szCs w:val="24"/>
          <w:lang w:val="en-US" w:eastAsia="zh-CN"/>
        </w:rPr>
      </w:pPr>
    </w:p>
    <w:p w14:paraId="020FC1AA">
      <w:pPr>
        <w:rPr>
          <w:rFonts w:hint="eastAsia" w:ascii="宋体" w:hAnsi="宋体"/>
          <w:sz w:val="24"/>
          <w:szCs w:val="24"/>
          <w:lang w:val="en-US" w:eastAsia="zh-CN"/>
        </w:rPr>
      </w:pPr>
    </w:p>
    <w:p w14:paraId="7E184690">
      <w:pPr>
        <w:rPr>
          <w:rFonts w:hint="eastAsia" w:ascii="宋体" w:hAnsi="宋体"/>
          <w:sz w:val="24"/>
          <w:szCs w:val="24"/>
          <w:lang w:val="en-US" w:eastAsia="zh-CN"/>
        </w:rPr>
      </w:pPr>
    </w:p>
    <w:p w14:paraId="7ED0847F">
      <w:pPr>
        <w:rPr>
          <w:rFonts w:hint="default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13、VIN充放电启动请求：通过本地 VIN 启动充放电请求。报文方向：S2M，功能标识：vinChargeStartReq（充电）、vinDischargeStartReq（放电），上送周期：触发上送。</w:t>
      </w:r>
    </w:p>
    <w:p w14:paraId="402C5BC8">
      <w:pPr>
        <w:rPr>
          <w:rFonts w:hint="default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</w:pPr>
      <w:r>
        <w:rPr>
          <w:rFonts w:hint="eastAsia" w:eastAsia="仿宋_GB2312" w:cs="仿宋_GB2312"/>
          <w:b w:val="0"/>
          <w:bCs w:val="0"/>
          <w:sz w:val="28"/>
          <w:szCs w:val="28"/>
          <w:shd w:val="clear" w:color="auto" w:fill="FFFFFF"/>
          <w:vertAlign w:val="baseline"/>
          <w:lang w:val="en-US" w:eastAsia="zh-CN"/>
        </w:rPr>
        <w:t>14、VIN充放电启动回复：平台收到命令后，根据条件判断是否可以启动充放电，给充电桩回复。充放电类型和充放电参数可能存在和请求不一致，充电桩以平台回复执行。报文方向：M2S，功能标识：vinChargeStartRes（充电）、vinDischargeStartRes（放电） ，上送周期：无。</w:t>
      </w:r>
    </w:p>
    <w:p w14:paraId="3FE6B967">
      <w:pPr>
        <w:rPr>
          <w:rFonts w:hint="eastAsia" w:ascii="宋体" w:hAnsi="宋体"/>
          <w:sz w:val="24"/>
          <w:szCs w:val="24"/>
          <w:lang w:val="en-US" w:eastAsia="zh-CN"/>
        </w:rPr>
      </w:pPr>
    </w:p>
    <w:p w14:paraId="217F7E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0" w:leftChars="0" w:hanging="420" w:firstLineChars="0"/>
        <w:jc w:val="left"/>
        <w:textAlignment w:val="auto"/>
        <w:outlineLvl w:val="9"/>
        <w:rPr>
          <w:rFonts w:hint="default" w:ascii="宋体" w:hAnsi="宋体" w:cs="宋体"/>
          <w:b/>
          <w:bCs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shd w:val="clear" w:color="auto" w:fill="FFFFFF"/>
          <w:lang w:val="en-US" w:eastAsia="zh-CN"/>
        </w:rPr>
        <w:t>配置文件清单</w:t>
      </w:r>
    </w:p>
    <w:p w14:paraId="6CC1B335">
      <w:pPr>
        <w:rPr>
          <w:rFonts w:hint="eastAsia" w:ascii="宋体" w:hAnsi="宋体"/>
          <w:sz w:val="24"/>
          <w:szCs w:val="24"/>
          <w:lang w:val="en-US" w:eastAsia="zh-CN"/>
        </w:rPr>
      </w:pPr>
    </w:p>
    <w:p w14:paraId="7297EF0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4D1354"/>
    <w:multiLevelType w:val="singleLevel"/>
    <w:tmpl w:val="DB4D135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68F3DEA"/>
    <w:multiLevelType w:val="singleLevel"/>
    <w:tmpl w:val="F68F3DEA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710DA985"/>
    <w:multiLevelType w:val="singleLevel"/>
    <w:tmpl w:val="710DA98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6E92E8F"/>
    <w:rsid w:val="7B779145"/>
    <w:rsid w:val="E6E9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Table Text"/>
    <w:basedOn w:val="1"/>
    <w:qFormat/>
    <w:uiPriority w:val="0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Arial" w:hAnsi="Arial"/>
      <w:kern w:val="0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2026-05-09T09:14:00Z</dcterms:created>
  <dc:creator>阵雨中的车站</dc:creator>
  <cp:lastModifiedBy>阵雨中的车站</cp:lastModifiedBy>
  <dcterms:modified xsi:type="dcterms:W3CDTF">2026-05-09T09:53:54Z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5AE5891663D9FDC66C8AFE69DC2EEBED_41</vt:lpwstr>
  </property>
</Properties>
</file>