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200" w:lineRule="auto" w:line="264"/>
        <w:jc w:val="center"/>
      </w:pPr>
      <w:r>
        <w:rPr>
          <w:rFonts w:ascii="Calibri" w:hAnsi="Calibri" w:eastAsia="微软雅黑"/>
          <w:b/>
          <w:sz w:val="40"/>
        </w:rPr>
        <w:t>TCU充电计费单元概要设计</w:t>
      </w:r>
    </w:p>
    <w:p>
      <w:pPr>
        <w:spacing w:before="320" w:after="160" w:lineRule="auto" w:line="264"/>
      </w:pPr>
      <w:r>
        <w:rPr>
          <w:rFonts w:ascii="Calibri" w:hAnsi="Calibri" w:eastAsia="微软雅黑"/>
          <w:b/>
          <w:color w:val="2E74B5"/>
          <w:sz w:val="32"/>
        </w:rPr>
        <w:t>1. 文档说明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1.1 编写目的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本文档用于说明 TCU 充电计费单元重构项目的总体软件设计、模块职责、输入输出关系、关键数据流与配置部署方式，作为后续详细设计、联调测试和现场交付的依据。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1.2 设计依据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当前仓库源码结构与已实现模块。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README.md、docs/SOFTWARE_OVERVIEW_DESIGN.md、docs/ARCHITECTURE_DESIGN.md 等现有设计文档。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core/tcu_logic/doc/、core/meter/doc/、core/pile_controller/CAN2CCU/doc/、core/comm/*/doc/ 内的模块文档。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1.3 项目范围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本次概要设计覆盖以下核心进程和基础设施：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守护进程 daemon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日志进程 logger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主控通信进程 pile_controller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充电逻辑进程 tcu_logic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5. 计量计费进程 meter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6. 平台通信进程 comm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7. 共享内存库 libv2gshm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8. 配置、消息队列、MQTT、日志发送等基础组件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1.4 当前版本说明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本文档基于仓库在 2026-05-09 的实际代码与文档状态整理。文档中“已实现”“进行中”“待扩展”的描述，均以当前仓库内容为准。</w:t>
      </w:r>
    </w:p>
    <w:p>
      <w:pPr>
        <w:spacing w:before="320" w:after="160" w:lineRule="auto" w:line="264"/>
      </w:pPr>
      <w:r>
        <w:rPr>
          <w:rFonts w:ascii="Calibri" w:hAnsi="Calibri" w:eastAsia="微软雅黑"/>
          <w:b/>
          <w:color w:val="2E74B5"/>
          <w:sz w:val="32"/>
        </w:rPr>
        <w:t>2. 系统概述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2.1 系统定位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TCU 充电计费单元软件部署在充电桩控制器侧，负责完成主控板交互、充电状态控制、电表数据采集、计费计算、平台协议适配、日志记录与进程守护等功能，是设备侧充电业务的核心中枢。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2.2 建设目标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原有系统将多现场逻辑集中在单一进程内，通过配置文件兼容不同现场，存在模块耦合高、维护成本高、扩展困难等问题。本次重构目标如下：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按职责拆分为多进程架构，降低模块耦合。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将平台适配、主控适配和电表适配独立出来，便于新增现场。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保留共享内存与消息机制，实现实时数据共享与可靠命令传递。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形成统一的配置、日志和部署规范，支持后续长期演进。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2.3 总体架构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系统采用“多进程 + 共享内存 + 消息队列 + MQTT 路由”的混合架构：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daemon 负责进程拉起、监控和运行管理。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pile_controller 负责与主控板通信，采集主控状态并执行启停控制。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tcu_logic 负责状态机、计费和业务调度，是核心业务真源。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meter 负责读取电表数据并上送计量结果。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5. comm 负责对接不同运营平台协议。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6. logger 负责日志和交易记录落库。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7. libv2gshm 负责实时共享状态、设备信息、计费模型和交易相关数据。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2.4 目录对应关系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core/base/：基础设施层，包含配置、日志、MQTT、通信基类、进程基类等。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core/daemon/：守护进程。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core/logger/：日志进程。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core/pile_controller/：主控通信实现，当前包含 CAN2CCU、SHM2CCU 等形态。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5. core/tcu_logic/：充电逻辑进程。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6. core/meter/：电表读取与计量进程。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7. core/comm/：平台适配目录，当前已存在多个平台目录。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8. libv2gshm/：共享内存库。</w:t>
      </w:r>
    </w:p>
    <w:p>
      <w:pPr>
        <w:spacing w:before="320" w:after="160" w:lineRule="auto" w:line="264"/>
      </w:pPr>
      <w:r>
        <w:rPr>
          <w:rFonts w:ascii="Calibri" w:hAnsi="Calibri" w:eastAsia="微软雅黑"/>
          <w:b/>
          <w:color w:val="2E74B5"/>
          <w:sz w:val="32"/>
        </w:rPr>
        <w:t>3. 输入输出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3.1 硬件输入输出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系统涉及的主要硬件与设备输入输出如下：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主控通信接口：CAN、RS485、共享内存映射或网络接口，视现场主控实现而定。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电表接口：RS485，当前计量模块使用 DLT645 规约读取电表。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平台通信接口：4G 或以太网网络链路，对外使用 TCP、MQTT 或现场私有协议。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本地运行环境：嵌入式 Linux，部署目录默认位于 /usr/app，监控程序位于 /usr/app/mon。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3.2 外部通信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与运营平台通信：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comm 进程负责与不同运营平台进行 TCP/MQTT/私有规约交互。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当前仓库已存在常州溧阳智慧城市、中石化 2.0、广西 DKY、NYC、GuangFuSimulator 等平台目录。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平台侧主要功能包括登录、心跳、状态上报、远程启停、费率下发、交易记录确认等。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与主控板通信：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pile_controller 进程负责与 CCU 或主控设备交互。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当前重点实现为 CAN2CCU，并保留 SHM2CCU 方案。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与电表通信：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meter 进程负责通过串口轮询读取电能、电压、电流等数据。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与本地维护终端或显示界面通信：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通过共享内存、消息或 MQTT 主题交互。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当前 HMI 相关模块仍以历史代码和预留接口为主。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3.3 内部通信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共享内存：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用于保存充电状态、设备信息、计费模型、交易记录等高实时性数据。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依赖 libv2gshm，为项目现有生产验证组件。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消息队列：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用于命令、事件、日志和系统控制消息传递。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现有设计中区分命令队列、日志队列、事件队列和系统控制队列。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MQTT 主题路由：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用于 pile_controller、tcu_logic、meter、comm 等业务模块的松耦合交互。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当前主要主题包括 tcu/pile/{gun}/...、tcu/logic/{gun}/...、tcu/meter/{gun}/...、tcu/plat/{gun}/...。</w:t>
      </w:r>
    </w:p>
    <w:p>
      <w:pPr>
        <w:spacing w:before="320" w:after="160" w:lineRule="auto" w:line="264"/>
      </w:pPr>
      <w:r>
        <w:rPr>
          <w:rFonts w:ascii="Calibri" w:hAnsi="Calibri" w:eastAsia="微软雅黑"/>
          <w:b/>
          <w:color w:val="2E74B5"/>
          <w:sz w:val="32"/>
        </w:rPr>
        <w:t>4. 通信接口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4.1 进程内部接口设计原则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仅在“同一进程内存在多种实现方式”的场景引入接口。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接口放在进程内部目录，不做无意义的全局抽象。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全局仅保留所有进程都需要的 IProcess 基类接口。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4.2 当前接口划分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core/interfaces/iprocess.h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统一进程生命周期与基本管理接口。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core/pile_controller/*/ipile_controller.h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面向不同主控通信方式的业务接口。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core/meter/imeter.h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面向不同电表规约或不同计量设备的接口。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平台通信目录内部实现按平台隔离，避免核心业务受平台字段变化影响。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4.3 主要 MQTT 主题接口</w:t>
      </w:r>
    </w:p>
    <w:tbl>
      <w:tblPr>
        <w:tblStyle w:val="3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序号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主题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方向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QoS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生产者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消费者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tcu/pile/{gun}/cmd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下行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tcu_logic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pile_controller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下发启动、停止等控制命令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tcu/pile/{gun}/event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上行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pile_controller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tcu_logic、comm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主控应答、流程事件、故障事件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tcu/pile/{gun}/data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上行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0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pile_controller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tcu_logic、comm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遥信、遥测、运行状态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tcu/meter/{gun}/data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上行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0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meter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tcu_logic、comm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总电量、电压、电流等计量数据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tcu/meter/{gun}/event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上行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1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meter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tcu_logic、logger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电表在线、离线、异常事件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tcu/logic/{gun}/cmd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下行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1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HMI/本地模块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tcu_logic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本地启动、停止等业务命令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tcu/logic/{gun}/event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上行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1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tcu_logic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comm、HMI、logger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状态变化、故障、订单摘要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8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tcu/logic/{gun}/feeData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上行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1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tcu_logic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comm、HMI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计费过程数据、分段统计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tcu/plat/{gun}/cmd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下行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1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comm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tcu_logic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平台下发启停、鉴权、记录确认等命令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tcu/plat/{gun}/event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上行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1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comm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tcu_logic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平台侧配置、事件类通知</w:t>
            </w:r>
          </w:p>
        </w:tc>
      </w:tr>
    </w:tbl>
    <w:p/>
    <w:p>
      <w:pPr>
        <w:spacing w:before="320" w:after="160" w:lineRule="auto" w:line="264"/>
      </w:pPr>
      <w:r>
        <w:rPr>
          <w:rFonts w:ascii="Calibri" w:hAnsi="Calibri" w:eastAsia="微软雅黑"/>
          <w:b/>
          <w:color w:val="2E74B5"/>
          <w:sz w:val="32"/>
        </w:rPr>
        <w:t>5. 软件功能清单</w:t>
      </w:r>
    </w:p>
    <w:tbl>
      <w:tblPr>
        <w:tblStyle w:val="3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序号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模块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核心功能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主要输入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主要输出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当前状态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1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daemon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进程拉起、监控、异常重启、运行管理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配置文件、系统控制消息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进程控制动作、状态监测信息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已有实现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2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logger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统一日志接收、交易记录与费率模型落库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日志队列、业务记录、费率模型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SQLite 数据、日志文件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已有实现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pile_controller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主控板通信、启停控制、设备状态采集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逻辑命令、主控来包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主控事件、遥信遥测、执行结果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已有主实现，持续扩展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4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tcu_logic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充电状态机、业务调度、计费、订单闭环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平台/HMI命令、主控事件、电表数据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状态事件、计费数据、充电记录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已有实现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5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meter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电表轮询、数据解析、在线状态监测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串口数据、轮询配置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电量、电压、电流、在线离线事件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已有实现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6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comm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平台登录、协议解析、平台命令映射、记录上送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平台报文、内部业务主题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平台控制命令、平台上送报文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多平台实现并存，完成度不一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7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libv2gshm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实时共享数据存储与访问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各进程读写请求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共享状态与结构体数据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现网验证组件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base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配置、日志发送、MQTT、通信基类、进程基类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配置项、底层资源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共用基础能力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已完成基础框架</w:t>
            </w:r>
          </w:p>
        </w:tc>
      </w:tr>
    </w:tbl>
    <w:p/>
    <w:p>
      <w:pPr>
        <w:spacing w:before="320" w:after="160" w:lineRule="auto" w:line="264"/>
      </w:pPr>
      <w:r>
        <w:rPr>
          <w:rFonts w:ascii="Calibri" w:hAnsi="Calibri" w:eastAsia="微软雅黑"/>
          <w:b/>
          <w:color w:val="2E74B5"/>
          <w:sz w:val="32"/>
        </w:rPr>
        <w:t>6. 软件功能设计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6.1 守护与运行管理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daemon 作为系统启动入口，负责初始化运行环境并按照既定顺序拉起各业务进程。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启动顺序建议为：守护进程 -&gt; 共享资源初始化 -&gt; 日志进程 -&gt; 计量进程 -&gt; 充电逻辑进程 -&gt; 平台通信进程 -&gt; 主控通信进程。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守护进程负责检测进程退出、异常重启、系统控制命令分发，为整机可靠运行提供基础保障。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6.2 主控通信功能设计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pile_controller 采用三层结构：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通信基类层：CAN、串口、网络等底层收发。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规约层：实现 CAN2CCU、共享内存映射等协议编解码。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应用层：封装主控业务语义，向外提供启停、状态读取等能力。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当前仓库中主路径为 core/pile_controller/CAN2CCU/：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can2ccu_protocol.* 负责 CAN 规约。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can_pile_controller.* 负责主控业务接口。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pile_controller_process.* 负责进程调度与对外通信。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模块需完成如下业务：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接收逻辑侧的启动、停止等命令。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将命令编码后发送到主控。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接收主控返回的应答、完成事件和实时状态。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将设备异常和流程事件上送逻辑模块与平台模块。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6.3 充电逻辑功能设计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tcu_logic 是核心业务真源，负责统一状态机和计费控制。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当前状态机主要包括：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IDLE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PREPARE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STARTING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CHARGING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5. STOPPING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6. STOPPED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7. ERROR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核心流程如下：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接收平台或本地启动命令后，进入 PREPARE 并等待鉴权结果。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鉴权通过后下发启动命令，进入 STARTING。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收到主控启动完成事件后转入 CHARGING。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充电中持续接收主控状态和电表数据，进行计费与状态更新。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5. 正常停机、故障停机或金额停机后进入 STOPPING。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6. 在结算窗口内完成末端计量收敛，生成交易记录并进入 STOPPED。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逻辑模块对外统一发布：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状态变化事件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故障事件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订单或充电记录摘要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计费展示与分段费用数据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6.4 计量计费功能设计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meter 进程通过 RS485 读取直流电表数据。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当前实现使用 dlt645_meter.* 解析 DLT645 规约。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主要采集量包括：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累计电量 totalEnergy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电压 voltage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电流 current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轮询策略包括：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周期轮询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超时重试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在线/离线状态切换检测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5. 计费职责由 tcu_logic 统一完成：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根据电表增量、电价模型和时间段信息计算费用。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输出 feeData，并在订单结束时生成最终记录。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6.5 平台通信功能设计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comm 模块按平台目录隔离，每个平台实现独立进程和独立协议细节。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当前仓库中已存在多个平台目录，可作为多个现场的适配基础。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平台模块的统一职责如下：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维护平台连接、登录、重连和心跳。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解析平台下发的启动、停止、配置和确认命令。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将平台命令映射为统一内部主题消息。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订阅逻辑、主控和计量数据，封装为平台规约报文上送。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现有实现已覆盖的典型功能包括：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远程启动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远程停止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交易记录确认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费率模型解析与本地保存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5. 平台差异应被封闭在 core/comm/&lt;PlatformName&gt;/ 内，不应侵入 tcu_logic 核心状态机。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6.6 日志与数据持久化设计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logger 进程统一接收日志、故障、交易记录和费率模型等信息。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当前模块包含：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database_manager.*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logger_process.*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主要落库内容包括：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日志记录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交易记录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费率模型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故障信息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日志发送由 core/base/logger/log_sender.* 封装，供其他模块复用。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6.7 共享内存与消息队列设计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共享内存用于承载高实时共享数据，包括设备信息、充电状态、交易状态和计费模型等。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消息队列用于承载可靠命令、事件广播、日志上传和守护控制。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MQTT 用于模块间业务解耦，适合跨模块的主题式通信与联调抓包。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三种机制分工如下：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高频实时共享数据走共享内存。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可靠命令和系统控制走消息队列。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业务路由和模块解耦走 MQTT。</w:t>
      </w:r>
    </w:p>
    <w:p>
      <w:pPr>
        <w:spacing w:before="320" w:after="160" w:lineRule="auto" w:line="264"/>
      </w:pPr>
      <w:r>
        <w:rPr>
          <w:rFonts w:ascii="Calibri" w:hAnsi="Calibri" w:eastAsia="微软雅黑"/>
          <w:b/>
          <w:color w:val="2E74B5"/>
          <w:sz w:val="32"/>
        </w:rPr>
        <w:t>7. 关键流程设计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7.1 启动充电流程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平台或本地模块向 tcu_logic 发布启动命令。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tcu_logic 校验枪状态、故障状态和鉴权条件。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条件满足后向 pile_controller 下发启动命令。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pile_controller 与主控板交互，并上送 start_response、start_complete 等事件。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5. tcu_logic 进入充电状态，启动计费与状态上送。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7.2 停机与结算流程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停机触发源可以是平台命令、本地命令、金额到达、故障或主控异常。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tcu_logic 转入 STOPPING，必要时重复下发停机命令。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在结算窗口内持续接收电表数据，避免末端电量遗漏。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电量收敛后生成交易记录，上送平台并写入本地日志数据库。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5. 收到平台确认后完成订单闭环。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7.3 平台命令映射流程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平台协议报文到达 comm。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comm 解析平台字段并转换为统一内部语义。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命令通过 tcu/plat/{gun}/cmd 或 tcu/plat/{gun}/event 发布。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tcu_logic 消费消息并驱动状态机。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7.4 数据上报流程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pile_controller 上送主控状态和事件。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meter 上送实时计量数据。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tcu_logic 聚合数据并形成业务状态与计费结果。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comm 订阅内部主题，封装平台上送报文。</w:t>
      </w:r>
    </w:p>
    <w:p>
      <w:pPr>
        <w:spacing w:before="320" w:after="160" w:lineRule="auto" w:line="264"/>
      </w:pPr>
      <w:r>
        <w:rPr>
          <w:rFonts w:ascii="Calibri" w:hAnsi="Calibri" w:eastAsia="微软雅黑"/>
          <w:b/>
          <w:color w:val="2E74B5"/>
          <w:sz w:val="32"/>
        </w:rPr>
        <w:t>8. 关键数据结构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8.1 共享数据分类</w:t>
      </w:r>
    </w:p>
    <w:tbl>
      <w:tblPr>
        <w:tblStyle w:val="3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序号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数据类别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典型内容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主要读写模块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设备信息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设备编号、硬件版本、软件版本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daemon、comm、pile_controller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登录、状态上报、资产标识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2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枪口状态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插枪、故障、运行状态、连接状态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pile_controller、tcu_logic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状态机输入、界面显示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3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遥测数据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电压、电流、功率、电量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pile_controller、meter、tcu_logic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实时监控、计费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4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计费模型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时段、充电费、服务费、模型编号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comm、logger、tcu_logic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分时计费与订单结算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5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交易记录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订单号、开始结束时间、电量、费用、停机原因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tcu_logic、logger、comm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对账、上送平台、追溯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鉴权与控制参数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鉴权结果、功率调节、远程命令参数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comm、tcu_logic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启停控制和策略执行</w:t>
            </w:r>
          </w:p>
        </w:tc>
      </w:tr>
    </w:tbl>
    <w:p/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8.2 逻辑输出数据</w:t>
      </w:r>
    </w:p>
    <w:tbl>
      <w:tblPr>
        <w:tblStyle w:val="3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6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序号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数据名称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主要字段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状态事件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event、state、gun、ts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业务状态变化或故障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计费数据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totalEnergy、chargeFee、serviceFee、timeSeg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充电过程中的实时计费输出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3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交易记录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orderNo、startTime、stopTime、energy、amount、stopReason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订单闭环与平台对账依据</w:t>
            </w:r>
          </w:p>
        </w:tc>
      </w:tr>
    </w:tbl>
    <w:p/>
    <w:p>
      <w:pPr>
        <w:spacing w:before="320" w:after="160" w:lineRule="auto" w:line="264"/>
      </w:pPr>
      <w:r>
        <w:rPr>
          <w:rFonts w:ascii="Calibri" w:hAnsi="Calibri" w:eastAsia="微软雅黑"/>
          <w:b/>
          <w:color w:val="2E74B5"/>
          <w:sz w:val="32"/>
        </w:rPr>
        <w:t>9. 配置文件清单</w:t>
      </w:r>
    </w:p>
    <w:tbl>
      <w:tblPr>
        <w:tblStyle w:val="3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6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序号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配置文件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作用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主要配置项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config/project_a/config.ini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项目级示例总配置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运行目录、共享配置、公共参数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/usr/app/config/tcu_logic.ini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逻辑进程配置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MQTT、枪数、主控配置引用、业务参数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3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/usr/app/config/tcu_meter.ini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计量进程配置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枪数、电表地址、串口参数、轮询参数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/usr/app/config/tcu_comm.ini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平台通信配置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平台地址、登录参数、MQTT 参数、重连参数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5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/usr/app/config/pile_controller.ini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主控通信配置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通信方式、协议类型、设备路径、重试参数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left"/>
            </w:pPr>
            <w:r>
              <w:rPr>
                <w:rFonts w:ascii="Calibri" w:hAnsi="Calibri" w:eastAsia="宋体"/>
                <w:sz w:val="21"/>
              </w:rPr>
              <w:t>/usr/app/mon 下部署文件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守护与运行文件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  <w:jc w:val="center"/>
            </w:pPr>
            <w:r>
              <w:rPr>
                <w:rFonts w:ascii="Calibri" w:hAnsi="Calibri" w:eastAsia="宋体"/>
                <w:sz w:val="21"/>
              </w:rPr>
              <w:t>进程启动项、运行二进制</w:t>
            </w:r>
          </w:p>
        </w:tc>
      </w:tr>
    </w:tbl>
    <w:p/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9.1 典型配置约束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配置读取方式统一采用 Qt4 的 QSettings。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C/C++ 源文件编码为 GBK，保持与现有工程一致。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主控和计量进程支持按枪独立配置，便于适配多枪和多现场。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运行环境默认目录为 /usr/app，监控目录为 /usr/app/mon。</w:t>
      </w:r>
    </w:p>
    <w:p>
      <w:pPr>
        <w:spacing w:before="320" w:after="160" w:lineRule="auto" w:line="264"/>
      </w:pPr>
      <w:r>
        <w:rPr>
          <w:rFonts w:ascii="Calibri" w:hAnsi="Calibri" w:eastAsia="微软雅黑"/>
          <w:b/>
          <w:color w:val="2E74B5"/>
          <w:sz w:val="32"/>
        </w:rPr>
        <w:t>10. 部署与运行设计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10.1 编译环境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Qt 版本为 4.8.6。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目标环境以嵌入式 Linux 为主，当前已明确 imx6ul，后续也可能扩展到 nuc980、jzq 等平台。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仓库支持 qmake cui.pro 生成工程，同时各子模块保留独立构建文件。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远端构建优先使用 build &lt;目标设备类型&gt; &lt;构建文件&gt;。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10.2 部署方式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将目标二进制、配置文件和依赖库部署到 /usr/app。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守护程序位于 /usr/app/mon，负责拉起业务进程。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共享内存库、数据库文件和业务数据文件随系统一并部署。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10.3 运行依赖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需要主控硬件接口、串口电表接口和网络连接正常。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平台联调时，需要按现场协议提供账号、地址、费率和资产信息。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若使用共享内存联调，需要同步共享内存结构体版本。</w:t>
      </w:r>
    </w:p>
    <w:p>
      <w:pPr>
        <w:spacing w:before="320" w:after="160" w:lineRule="auto" w:line="264"/>
      </w:pPr>
      <w:r>
        <w:rPr>
          <w:rFonts w:ascii="Calibri" w:hAnsi="Calibri" w:eastAsia="微软雅黑"/>
          <w:b/>
          <w:color w:val="2E74B5"/>
          <w:sz w:val="32"/>
        </w:rPr>
        <w:t>11. 当前实现情况与后续建议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11.1 当前实现情况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基础设施层已形成统一框架，包括配置、消息队列、日志发送、进程基类和 MQTT 客户端封装。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daemon、logger、tcu_logic、meter、pile_controller、多个 comm 平台目录均已有源码实现。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CAN2CCU 子项目具备独立测试目录和独立构建方式。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平台适配目录已覆盖多个现场，说明总体架构已经具备横向扩展基础。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11.2 当前边界与风险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不同平台目录的完成度不一致，部分平台仍处于骨架或最小可运行状态。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历史文档中“待开发”描述与当前仓库实际实现并不完全一致，后续应以本次概要设计为统一基线。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部分现场差异项仍体现在代码常量或平台特化实现中，需要后续继续配置化。</w:t>
      </w:r>
    </w:p>
    <w:p>
      <w:pPr>
        <w:spacing w:before="240" w:after="120" w:lineRule="auto" w:line="264"/>
      </w:pPr>
      <w:r>
        <w:rPr>
          <w:rFonts w:ascii="Calibri" w:hAnsi="Calibri" w:eastAsia="微软雅黑"/>
          <w:b/>
          <w:color w:val="2E74B5"/>
          <w:sz w:val="26"/>
        </w:rPr>
        <w:t>11.3 后续建议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1. 进一步统一各平台目录的内部 Topic 契约和命名规范。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2. 将电表 DI、主控协议差异和平台差异中可抽象部分继续配置化。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3. 完善端到端测试、异常场景压测和平台联调验收清单。</w:t>
      </w:r>
    </w:p>
    <w:p>
      <w:pPr>
        <w:spacing w:before="0" w:after="120" w:lineRule="auto" w:line="264"/>
      </w:pPr>
      <w:r>
        <w:rPr>
          <w:rFonts w:ascii="Calibri" w:hAnsi="Calibri" w:eastAsia="宋体"/>
          <w:sz w:val="22"/>
        </w:rPr>
        <w:t>4. 在本概要设计基础上继续补充各模块详细设计和时序图。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4D1354"/>
    <w:multiLevelType w:val="singleLevel"/>
    <w:tmpl w:val="DB4D135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68F3DEA"/>
    <w:multiLevelType w:val="singleLevel"/>
    <w:tmpl w:val="F68F3DE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10DA985"/>
    <w:multiLevelType w:val="singleLevel"/>
    <w:tmpl w:val="710DA98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E92E8F"/>
    <w:rsid w:val="E6E9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Table Text"/>
    <w:basedOn w:val="1"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2026-05-09T09:14:00Z</dcterms:created>
  <dc:creator>阵雨中的车站</dc:creator>
  <cp:lastModifiedBy>阵雨中的车站</cp:lastModifiedBy>
  <dcterms:modified xsi:type="dcterms:W3CDTF">2026-05-09T09:14:47Z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5AE5891663D9FDC66C8AFE69DC2EEBED_41</vt:lpwstr>
  </property>
</Properties>
</file>