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9EA729">
      <w:pPr>
        <w:jc w:val="center"/>
        <w:rPr>
          <w:rFonts w:hint="eastAsia" w:ascii="黑体" w:hAnsi="黑体" w:eastAsia="黑体" w:cs="宋体"/>
          <w:sz w:val="32"/>
          <w:szCs w:val="32"/>
          <w14:ligatures w14:val="standardContextual"/>
        </w:rPr>
      </w:pPr>
      <w:r>
        <w:rPr>
          <w:rFonts w:hint="eastAsia" w:ascii="黑体" w:hAnsi="黑体" w:eastAsia="黑体" w:cs="宋体"/>
          <w:sz w:val="32"/>
          <w:szCs w:val="32"/>
          <w14:ligatures w14:val="standardContextual"/>
        </w:rPr>
        <w:t>版本发布说明</w:t>
      </w:r>
    </w:p>
    <w:p w14:paraId="47FFC6C5">
      <w:pPr>
        <w:jc w:val="center"/>
        <w:rPr>
          <w:rFonts w:hint="default" w:ascii="黑体" w:hAnsi="黑体" w:eastAsia="黑体" w:cs="宋体"/>
          <w:sz w:val="32"/>
          <w:szCs w:val="32"/>
          <w:lang w:val="en-US" w:eastAsia="zh-CN"/>
          <w14:ligatures w14:val="standardContextual"/>
        </w:rPr>
      </w:pPr>
      <w:r>
        <w:rPr>
          <w:rFonts w:hint="eastAsia" w:ascii="黑体" w:hAnsi="黑体" w:eastAsia="黑体" w:cs="宋体"/>
          <w:sz w:val="32"/>
          <w:szCs w:val="32"/>
          <w:lang w:val="en-US" w:eastAsia="zh-CN"/>
          <w14:ligatures w14:val="standardContextual"/>
        </w:rPr>
        <w:t>TCU</w:t>
      </w:r>
      <w:r>
        <w:rPr>
          <w:rFonts w:ascii="黑体" w:hAnsi="黑体" w:eastAsia="黑体" w:cs="宋体"/>
          <w:sz w:val="32"/>
          <w:szCs w:val="32"/>
          <w14:ligatures w14:val="standardContextual"/>
        </w:rPr>
        <w:t>-</w:t>
      </w:r>
      <w:r>
        <w:rPr>
          <w:rFonts w:hint="eastAsia" w:ascii="黑体" w:hAnsi="黑体" w:eastAsia="黑体" w:cs="宋体"/>
          <w:sz w:val="32"/>
          <w:szCs w:val="32"/>
          <w:lang w:val="en-US" w:eastAsia="zh-CN"/>
          <w14:ligatures w14:val="standardContextual"/>
        </w:rPr>
        <w:t>ZSH2</w:t>
      </w:r>
      <w:r>
        <w:rPr>
          <w:rFonts w:ascii="黑体" w:hAnsi="黑体" w:eastAsia="黑体" w:cs="宋体"/>
          <w:sz w:val="32"/>
          <w:szCs w:val="32"/>
          <w14:ligatures w14:val="standardContextual"/>
        </w:rPr>
        <w:t>-V</w:t>
      </w:r>
      <w:r>
        <w:rPr>
          <w:rFonts w:hint="eastAsia" w:ascii="黑体" w:hAnsi="黑体" w:eastAsia="黑体" w:cs="宋体"/>
          <w:sz w:val="32"/>
          <w:szCs w:val="32"/>
          <w:lang w:val="en-US" w:eastAsia="zh-CN"/>
          <w14:ligatures w14:val="standardContextual"/>
        </w:rPr>
        <w:t>1</w:t>
      </w:r>
      <w:r>
        <w:rPr>
          <w:rFonts w:ascii="黑体" w:hAnsi="黑体" w:eastAsia="黑体" w:cs="宋体"/>
          <w:sz w:val="32"/>
          <w:szCs w:val="32"/>
          <w14:ligatures w14:val="standardContextual"/>
        </w:rPr>
        <w:t>.0.0</w:t>
      </w:r>
      <w:r>
        <w:rPr>
          <w:rFonts w:hint="default" w:ascii="黑体" w:hAnsi="黑体" w:eastAsia="黑体" w:cs="宋体"/>
          <w:sz w:val="32"/>
          <w:szCs w:val="32"/>
          <w:lang w:val="en-US"/>
          <w14:ligatures w14:val="standardContextual"/>
        </w:rPr>
        <w:t>_rc1</w:t>
      </w:r>
    </w:p>
    <w:p w14:paraId="5139568A">
      <w:pPr>
        <w:jc w:val="center"/>
        <w:rPr>
          <w:rFonts w:hint="eastAsia" w:ascii="黑体" w:hAnsi="黑体" w:eastAsia="黑体" w:cs="宋体"/>
          <w:sz w:val="32"/>
          <w:szCs w:val="32"/>
          <w14:ligatures w14:val="standardContextual"/>
        </w:rPr>
      </w:pPr>
    </w:p>
    <w:p w14:paraId="450F4F57">
      <w:pPr>
        <w:widowControl/>
        <w:numPr>
          <w:ilvl w:val="0"/>
          <w:numId w:val="1"/>
        </w:numPr>
        <w:spacing w:line="360" w:lineRule="auto"/>
        <w:rPr>
          <w:rFonts w:hint="eastAsia" w:ascii="黑体" w:hAnsi="黑体" w:eastAsia="黑体" w:cs="宋体"/>
          <w:sz w:val="28"/>
          <w:szCs w:val="28"/>
        </w:rPr>
      </w:pPr>
      <w:r>
        <w:rPr>
          <w:rFonts w:hint="eastAsia" w:ascii="黑体" w:hAnsi="黑体" w:eastAsia="黑体" w:cs="宋体"/>
          <w:sz w:val="28"/>
          <w:szCs w:val="28"/>
        </w:rPr>
        <w:t>版本发布内容概要</w:t>
      </w:r>
    </w:p>
    <w:p w14:paraId="5A4D35DB">
      <w:pPr>
        <w:widowControl/>
        <w:tabs>
          <w:tab w:val="left" w:pos="420"/>
        </w:tabs>
        <w:spacing w:line="360" w:lineRule="auto"/>
        <w:ind w:firstLine="480" w:firstLineChars="200"/>
        <w:rPr>
          <w:rFonts w:hint="eastAsia" w:ascii="宋体" w:hAnsi="宋体" w:eastAsia="宋体" w:cs="仿宋_GB2312"/>
          <w:sz w:val="24"/>
        </w:rPr>
      </w:pPr>
      <w:r>
        <w:rPr>
          <w:rFonts w:hint="eastAsia" w:ascii="宋体" w:hAnsi="宋体" w:eastAsia="宋体" w:cs="仿宋_GB2312"/>
          <w:sz w:val="24"/>
        </w:rPr>
        <w:t>1.1软件信息</w:t>
      </w:r>
    </w:p>
    <w:p w14:paraId="16B3A3DB">
      <w:pPr>
        <w:widowControl/>
        <w:tabs>
          <w:tab w:val="left" w:pos="420"/>
        </w:tabs>
        <w:spacing w:line="360" w:lineRule="auto"/>
        <w:ind w:firstLine="480" w:firstLineChars="200"/>
        <w:rPr>
          <w:rFonts w:hint="eastAsia" w:ascii="宋体" w:hAnsi="宋体" w:eastAsia="宋体" w:cs="仿宋_GB2312"/>
          <w:sz w:val="24"/>
        </w:rPr>
      </w:pPr>
      <w:r>
        <w:rPr>
          <w:rFonts w:hint="eastAsia" w:ascii="宋体" w:hAnsi="宋体" w:eastAsia="宋体" w:cs="仿宋_GB2312"/>
          <w:sz w:val="24"/>
        </w:rPr>
        <w:t>本次发布1个程序版本，</w:t>
      </w:r>
      <w:r>
        <w:rPr>
          <w:rFonts w:hint="eastAsia" w:ascii="宋体" w:hAnsi="宋体" w:eastAsia="宋体" w:cs="仿宋_GB2312"/>
          <w:sz w:val="24"/>
          <w:lang w:val="en-US" w:eastAsia="zh-CN"/>
        </w:rPr>
        <w:t>国产A/B</w:t>
      </w:r>
      <w:r>
        <w:rPr>
          <w:rFonts w:hint="eastAsia" w:ascii="宋体" w:hAnsi="宋体" w:eastAsia="宋体" w:cs="仿宋_GB2312"/>
          <w:sz w:val="24"/>
        </w:rPr>
        <w:t>控的标准版软件，版本名称</w:t>
      </w:r>
      <w:r>
        <w:rPr>
          <w:rFonts w:hint="eastAsia" w:ascii="宋体" w:hAnsi="宋体" w:eastAsia="宋体" w:cs="仿宋_GB2312"/>
          <w:sz w:val="24"/>
          <w:lang w:val="en-US" w:eastAsia="zh-CN"/>
        </w:rPr>
        <w:t>TCU</w:t>
      </w:r>
      <w:r>
        <w:rPr>
          <w:rFonts w:hint="eastAsia" w:ascii="宋体" w:hAnsi="宋体" w:eastAsia="宋体" w:cs="仿宋_GB2312"/>
          <w:sz w:val="24"/>
        </w:rPr>
        <w:t>-</w:t>
      </w:r>
      <w:r>
        <w:rPr>
          <w:rFonts w:hint="eastAsia" w:ascii="宋体" w:hAnsi="宋体" w:eastAsia="宋体" w:cs="仿宋_GB2312"/>
          <w:sz w:val="24"/>
          <w:lang w:val="en-US" w:eastAsia="zh-CN"/>
        </w:rPr>
        <w:t>ZSH2</w:t>
      </w:r>
      <w:r>
        <w:rPr>
          <w:rFonts w:hint="eastAsia" w:ascii="宋体" w:hAnsi="宋体" w:eastAsia="宋体" w:cs="仿宋_GB2312"/>
          <w:sz w:val="24"/>
        </w:rPr>
        <w:t>-V</w:t>
      </w:r>
      <w:r>
        <w:rPr>
          <w:rFonts w:hint="eastAsia" w:ascii="宋体" w:hAnsi="宋体" w:eastAsia="宋体" w:cs="仿宋_GB2312"/>
          <w:sz w:val="24"/>
          <w:lang w:val="en-US" w:eastAsia="zh-CN"/>
        </w:rPr>
        <w:t>1</w:t>
      </w:r>
      <w:r>
        <w:rPr>
          <w:rFonts w:hint="eastAsia" w:ascii="宋体" w:hAnsi="宋体" w:eastAsia="宋体" w:cs="仿宋_GB2312"/>
          <w:sz w:val="24"/>
        </w:rPr>
        <w:t>.0.0</w:t>
      </w:r>
      <w:r>
        <w:rPr>
          <w:rFonts w:hint="default" w:ascii="宋体" w:hAnsi="宋体" w:eastAsia="宋体" w:cs="仿宋_GB2312"/>
          <w:sz w:val="24"/>
          <w:lang w:val="en-US"/>
        </w:rPr>
        <w:t>_rc1</w:t>
      </w:r>
      <w:r>
        <w:rPr>
          <w:rFonts w:hint="eastAsia" w:ascii="宋体" w:hAnsi="宋体" w:eastAsia="宋体" w:cs="仿宋_GB2312"/>
          <w:sz w:val="24"/>
          <w:lang w:eastAsia="zh-CN"/>
        </w:rPr>
        <w:t>（</w:t>
      </w:r>
      <w:r>
        <w:rPr>
          <w:rFonts w:hint="eastAsia" w:ascii="宋体" w:hAnsi="宋体" w:eastAsia="宋体" w:cs="仿宋_GB2312"/>
          <w:sz w:val="24"/>
          <w:lang w:val="en-US" w:eastAsia="zh-CN"/>
        </w:rPr>
        <w:t>20260512</w:t>
      </w:r>
      <w:r>
        <w:rPr>
          <w:rFonts w:hint="eastAsia" w:ascii="宋体" w:hAnsi="宋体" w:eastAsia="宋体" w:cs="仿宋_GB2312"/>
          <w:sz w:val="24"/>
          <w:lang w:eastAsia="zh-CN"/>
        </w:rPr>
        <w:t>）</w:t>
      </w:r>
      <w:r>
        <w:rPr>
          <w:rFonts w:hint="eastAsia" w:ascii="宋体" w:hAnsi="宋体" w:eastAsia="宋体" w:cs="仿宋_GB2312"/>
          <w:sz w:val="24"/>
        </w:rPr>
        <w:t>。</w:t>
      </w:r>
    </w:p>
    <w:p w14:paraId="0076477C">
      <w:pPr>
        <w:widowControl/>
        <w:tabs>
          <w:tab w:val="left" w:pos="420"/>
        </w:tabs>
        <w:spacing w:line="360" w:lineRule="auto"/>
        <w:ind w:firstLine="480" w:firstLineChars="200"/>
        <w:rPr>
          <w:rFonts w:hint="eastAsia" w:ascii="宋体" w:hAnsi="宋体" w:eastAsia="宋体" w:cs="仿宋_GB2312"/>
          <w:sz w:val="24"/>
        </w:rPr>
      </w:pPr>
      <w:r>
        <w:rPr>
          <w:rFonts w:hint="eastAsia" w:ascii="宋体" w:hAnsi="宋体" w:eastAsia="宋体" w:cs="仿宋_GB2312"/>
          <w:sz w:val="24"/>
        </w:rPr>
        <w:t>1.2软件功能</w:t>
      </w:r>
    </w:p>
    <w:p w14:paraId="4DC48FA0">
      <w:pPr>
        <w:widowControl/>
        <w:numPr>
          <w:ilvl w:val="0"/>
          <w:numId w:val="2"/>
        </w:numPr>
        <w:tabs>
          <w:tab w:val="left" w:pos="420"/>
        </w:tabs>
        <w:spacing w:line="360" w:lineRule="auto"/>
        <w:ind w:left="420" w:leftChars="0" w:hanging="420" w:firstLineChars="0"/>
        <w:rPr>
          <w:rFonts w:hint="eastAsia" w:ascii="宋体" w:hAnsi="宋体" w:eastAsia="宋体" w:cs="仿宋_GB2312"/>
          <w:sz w:val="24"/>
        </w:rPr>
      </w:pPr>
      <w:r>
        <w:rPr>
          <w:rFonts w:hint="eastAsia" w:ascii="宋体" w:hAnsi="宋体" w:eastAsia="宋体" w:cs="仿宋_GB2312"/>
          <w:sz w:val="24"/>
          <w:lang w:val="en-US" w:eastAsia="zh-CN"/>
        </w:rPr>
        <w:t>适配中石化升级2</w:t>
      </w:r>
      <w:r>
        <w:rPr>
          <w:rFonts w:hint="default" w:ascii="宋体" w:hAnsi="宋体" w:eastAsia="宋体" w:cs="仿宋_GB2312"/>
          <w:sz w:val="24"/>
          <w:lang w:val="en-US" w:eastAsia="zh-CN"/>
        </w:rPr>
        <w:t>.0</w:t>
      </w:r>
      <w:r>
        <w:rPr>
          <w:rFonts w:hint="eastAsia" w:ascii="宋体" w:hAnsi="宋体" w:eastAsia="宋体" w:cs="仿宋_GB2312"/>
          <w:sz w:val="24"/>
          <w:lang w:val="en-US" w:eastAsia="zh-CN"/>
        </w:rPr>
        <w:t>平台协议的要求，开发加密登录流程、充电业务流程，优化屏幕显示、运维升级配置便利性，增加充电中暂存计费模型和充电记录根据计费模型id检索功能。</w:t>
      </w:r>
    </w:p>
    <w:p w14:paraId="5970872E">
      <w:pPr>
        <w:widowControl/>
        <w:numPr>
          <w:ilvl w:val="0"/>
          <w:numId w:val="1"/>
        </w:numPr>
        <w:spacing w:line="360" w:lineRule="auto"/>
        <w:rPr>
          <w:rFonts w:hint="eastAsia" w:ascii="黑体" w:hAnsi="黑体" w:eastAsia="黑体" w:cs="宋体"/>
          <w:sz w:val="28"/>
          <w:szCs w:val="28"/>
        </w:rPr>
      </w:pPr>
      <w:r>
        <w:rPr>
          <w:rFonts w:hint="eastAsia" w:ascii="黑体" w:hAnsi="黑体" w:eastAsia="黑体" w:cs="宋体"/>
          <w:sz w:val="28"/>
          <w:szCs w:val="28"/>
        </w:rPr>
        <w:t>参考标准</w:t>
      </w:r>
    </w:p>
    <w:p w14:paraId="6F7B72CE">
      <w:pPr>
        <w:widowControl/>
        <w:spacing w:line="360" w:lineRule="auto"/>
        <w:ind w:firstLine="640"/>
        <w:rPr>
          <w:rFonts w:hint="default" w:ascii="宋体" w:hAnsi="宋体" w:eastAsia="宋体" w:cs="仿宋_GB2312"/>
          <w:sz w:val="24"/>
          <w:szCs w:val="22"/>
          <w:lang w:val="en-US" w:eastAsia="zh-CN"/>
        </w:rPr>
      </w:pPr>
      <w:r>
        <w:rPr>
          <w:rFonts w:hint="eastAsia" w:ascii="宋体" w:hAnsi="宋体" w:eastAsia="宋体" w:cs="仿宋_GB2312"/>
          <w:sz w:val="24"/>
          <w:szCs w:val="22"/>
          <w:lang w:val="en-US" w:eastAsia="zh-CN"/>
        </w:rPr>
        <w:t>中石化充电通信协议V2.0 TCP</w:t>
      </w:r>
    </w:p>
    <w:p w14:paraId="2D605B69">
      <w:pPr>
        <w:widowControl/>
        <w:spacing w:line="360" w:lineRule="auto"/>
        <w:ind w:firstLine="640"/>
        <w:rPr>
          <w:rFonts w:hint="eastAsia" w:ascii="宋体" w:hAnsi="宋体" w:eastAsia="宋体" w:cs="仿宋_GB2312"/>
          <w:sz w:val="24"/>
          <w:szCs w:val="22"/>
        </w:rPr>
      </w:pPr>
      <w:r>
        <w:rPr>
          <w:rFonts w:hint="eastAsia" w:ascii="宋体" w:hAnsi="宋体" w:eastAsia="宋体" w:cs="仿宋_GB2312"/>
          <w:sz w:val="24"/>
          <w:szCs w:val="22"/>
        </w:rPr>
        <w:t>电动汽车非车载充电机技术规范</w:t>
      </w:r>
      <w:r>
        <w:rPr>
          <w:rFonts w:hint="eastAsia" w:ascii="宋体" w:hAnsi="宋体" w:eastAsia="宋体" w:cs="仿宋_GB2312"/>
          <w:sz w:val="24"/>
          <w:szCs w:val="22"/>
          <w:lang w:val="en-US" w:eastAsia="zh-CN"/>
        </w:rPr>
        <w:t xml:space="preserve"> </w:t>
      </w:r>
      <w:r>
        <w:rPr>
          <w:rFonts w:hint="eastAsia" w:ascii="宋体" w:hAnsi="宋体" w:eastAsia="宋体" w:cs="仿宋_GB2312"/>
          <w:sz w:val="24"/>
          <w:szCs w:val="22"/>
        </w:rPr>
        <w:t>第16部分：计费控制单元与充电控制模块通信协议</w:t>
      </w:r>
    </w:p>
    <w:p w14:paraId="39352D41">
      <w:pPr>
        <w:widowControl/>
        <w:numPr>
          <w:ilvl w:val="0"/>
          <w:numId w:val="1"/>
        </w:numPr>
        <w:spacing w:line="360" w:lineRule="auto"/>
        <w:rPr>
          <w:rFonts w:hint="eastAsia" w:ascii="黑体" w:hAnsi="黑体" w:eastAsia="黑体" w:cs="宋体"/>
          <w:sz w:val="28"/>
          <w:szCs w:val="28"/>
        </w:rPr>
      </w:pPr>
      <w:r>
        <w:rPr>
          <w:rFonts w:hint="eastAsia" w:ascii="黑体" w:hAnsi="黑体" w:eastAsia="黑体" w:cs="宋体"/>
          <w:sz w:val="28"/>
          <w:szCs w:val="28"/>
        </w:rPr>
        <w:t>适用范围</w:t>
      </w:r>
    </w:p>
    <w:p w14:paraId="6EBB079B">
      <w:pPr>
        <w:widowControl/>
        <w:spacing w:line="360" w:lineRule="auto"/>
        <w:ind w:firstLine="640"/>
        <w:rPr>
          <w:rFonts w:hint="eastAsia" w:ascii="宋体" w:hAnsi="宋体" w:eastAsia="宋体" w:cs="仿宋_GB2312"/>
          <w:sz w:val="24"/>
          <w:szCs w:val="22"/>
          <w:lang w:val="en-US" w:eastAsia="zh-CN"/>
        </w:rPr>
      </w:pPr>
      <w:r>
        <w:rPr>
          <w:rFonts w:hint="eastAsia" w:ascii="宋体" w:hAnsi="宋体" w:eastAsia="宋体" w:cs="仿宋_GB2312"/>
          <w:sz w:val="24"/>
          <w:szCs w:val="22"/>
          <w:lang w:val="en-US" w:eastAsia="zh-CN"/>
        </w:rPr>
        <w:t>应用于国产A/B</w:t>
      </w:r>
      <w:r>
        <w:rPr>
          <w:rFonts w:hint="eastAsia" w:ascii="宋体" w:hAnsi="宋体" w:eastAsia="宋体" w:cs="仿宋_GB2312"/>
          <w:sz w:val="24"/>
          <w:szCs w:val="22"/>
        </w:rPr>
        <w:t>控的</w:t>
      </w:r>
      <w:r>
        <w:rPr>
          <w:rFonts w:hint="eastAsia" w:ascii="宋体" w:hAnsi="宋体" w:eastAsia="宋体" w:cs="仿宋_GB2312"/>
          <w:sz w:val="24"/>
          <w:szCs w:val="22"/>
          <w:lang w:val="en-US" w:eastAsia="zh-CN"/>
        </w:rPr>
        <w:t>中石化</w:t>
      </w:r>
      <w:r>
        <w:rPr>
          <w:rFonts w:hint="eastAsia" w:ascii="宋体" w:hAnsi="宋体" w:eastAsia="宋体" w:cs="仿宋_GB2312"/>
          <w:sz w:val="24"/>
          <w:szCs w:val="22"/>
        </w:rPr>
        <w:t>配套机型</w:t>
      </w:r>
      <w:r>
        <w:rPr>
          <w:rFonts w:hint="eastAsia" w:ascii="宋体" w:hAnsi="宋体" w:eastAsia="宋体" w:cs="仿宋_GB2312"/>
          <w:sz w:val="24"/>
          <w:szCs w:val="22"/>
          <w:lang w:eastAsia="zh-CN"/>
        </w:rPr>
        <w:t>，</w:t>
      </w:r>
      <w:r>
        <w:rPr>
          <w:rFonts w:hint="eastAsia" w:ascii="宋体" w:hAnsi="宋体" w:eastAsia="宋体" w:cs="仿宋_GB2312"/>
          <w:sz w:val="24"/>
          <w:szCs w:val="22"/>
          <w:lang w:val="en-US" w:eastAsia="zh-CN"/>
        </w:rPr>
        <w:t>适用于</w:t>
      </w:r>
      <w:r>
        <w:rPr>
          <w:rFonts w:hint="eastAsia" w:ascii="宋体" w:hAnsi="宋体" w:eastAsia="宋体" w:cs="仿宋_GB2312"/>
          <w:b/>
          <w:bCs/>
          <w:sz w:val="24"/>
          <w:szCs w:val="22"/>
          <w:lang w:val="en-US" w:eastAsia="zh-CN"/>
        </w:rPr>
        <w:t>非合并充</w:t>
      </w:r>
      <w:r>
        <w:rPr>
          <w:rFonts w:hint="eastAsia" w:ascii="宋体" w:hAnsi="宋体" w:eastAsia="宋体" w:cs="仿宋_GB2312"/>
          <w:sz w:val="24"/>
          <w:szCs w:val="22"/>
          <w:lang w:val="en-US" w:eastAsia="zh-CN"/>
        </w:rPr>
        <w:t>场站的石化2.0平台接入需求。</w:t>
      </w:r>
    </w:p>
    <w:p w14:paraId="20D7C45A">
      <w:pPr>
        <w:widowControl/>
        <w:spacing w:line="360" w:lineRule="auto"/>
        <w:ind w:firstLine="640"/>
        <w:rPr>
          <w:rFonts w:hint="default" w:ascii="宋体" w:hAnsi="宋体" w:eastAsia="宋体" w:cs="仿宋_GB2312"/>
          <w:sz w:val="24"/>
          <w:szCs w:val="22"/>
          <w:lang w:val="en-US" w:eastAsia="zh-CN"/>
        </w:rPr>
      </w:pPr>
      <w:r>
        <w:rPr>
          <w:rFonts w:hint="eastAsia" w:ascii="宋体" w:hAnsi="宋体" w:eastAsia="宋体" w:cs="仿宋_GB2312"/>
          <w:sz w:val="24"/>
          <w:szCs w:val="22"/>
          <w:lang w:val="en-US" w:eastAsia="zh-CN"/>
        </w:rPr>
        <w:t>发布软件包中分为增量包和全量包，增量包适用于已经升级过2.0的部分试运行场站升级使用，无需重新配置步骤，全量包则用于石化1.8版本升级到2.0版本的充电桩程序，需按包内操作说明执行升级，并完成相应配置。</w:t>
      </w:r>
      <w:bookmarkStart w:id="0" w:name="_GoBack"/>
      <w:bookmarkEnd w:id="0"/>
    </w:p>
    <w:p w14:paraId="72E186E8">
      <w:pPr>
        <w:widowControl/>
        <w:numPr>
          <w:ilvl w:val="0"/>
          <w:numId w:val="1"/>
        </w:numPr>
        <w:spacing w:line="360" w:lineRule="auto"/>
        <w:rPr>
          <w:rFonts w:hint="eastAsia" w:ascii="黑体" w:hAnsi="黑体" w:eastAsia="黑体" w:cs="宋体"/>
          <w:sz w:val="28"/>
          <w:szCs w:val="28"/>
        </w:rPr>
      </w:pPr>
      <w:r>
        <w:rPr>
          <w:rFonts w:hint="eastAsia" w:ascii="黑体" w:hAnsi="黑体" w:eastAsia="黑体" w:cs="宋体"/>
          <w:sz w:val="28"/>
          <w:szCs w:val="28"/>
        </w:rPr>
        <w:t>重点注意事项</w:t>
      </w:r>
    </w:p>
    <w:p w14:paraId="37C8E27B">
      <w:pPr>
        <w:widowControl/>
        <w:tabs>
          <w:tab w:val="left" w:pos="420"/>
        </w:tabs>
        <w:spacing w:line="360" w:lineRule="auto"/>
        <w:ind w:firstLine="480" w:firstLineChars="200"/>
        <w:rPr>
          <w:rFonts w:hint="eastAsia" w:ascii="宋体" w:hAnsi="宋体" w:eastAsia="宋体" w:cs="仿宋_GB2312"/>
          <w:sz w:val="24"/>
        </w:rPr>
      </w:pPr>
      <w:r>
        <w:rPr>
          <w:rFonts w:hint="eastAsia" w:ascii="宋体" w:hAnsi="宋体" w:eastAsia="宋体" w:cs="仿宋_GB2312"/>
          <w:sz w:val="24"/>
        </w:rPr>
        <w:t>4.1 该版本为</w:t>
      </w:r>
      <w:r>
        <w:rPr>
          <w:rFonts w:hint="eastAsia" w:ascii="宋体" w:hAnsi="宋体" w:eastAsia="宋体" w:cs="仿宋_GB2312"/>
          <w:sz w:val="24"/>
          <w:lang w:val="en-US" w:eastAsia="zh-CN"/>
        </w:rPr>
        <w:t>国产A/B</w:t>
      </w:r>
      <w:r>
        <w:rPr>
          <w:rFonts w:hint="eastAsia" w:ascii="宋体" w:hAnsi="宋体" w:eastAsia="宋体" w:cs="仿宋_GB2312"/>
          <w:sz w:val="24"/>
        </w:rPr>
        <w:t>控工程软件的</w:t>
      </w:r>
      <w:r>
        <w:rPr>
          <w:rFonts w:hint="eastAsia" w:ascii="宋体" w:hAnsi="宋体" w:eastAsia="宋体" w:cs="仿宋_GB2312"/>
          <w:sz w:val="24"/>
          <w:lang w:val="en-US" w:eastAsia="zh-CN"/>
        </w:rPr>
        <w:t>迭代版本</w:t>
      </w:r>
      <w:r>
        <w:rPr>
          <w:rFonts w:hint="eastAsia" w:ascii="宋体" w:hAnsi="宋体" w:eastAsia="宋体" w:cs="仿宋_GB2312"/>
          <w:sz w:val="24"/>
        </w:rPr>
        <w:t>发布。</w:t>
      </w:r>
    </w:p>
    <w:p w14:paraId="068AA151">
      <w:pPr>
        <w:widowControl/>
        <w:tabs>
          <w:tab w:val="left" w:pos="420"/>
        </w:tabs>
        <w:spacing w:line="360" w:lineRule="auto"/>
        <w:ind w:firstLine="480" w:firstLineChars="200"/>
        <w:rPr>
          <w:rFonts w:hint="eastAsia" w:ascii="宋体" w:hAnsi="宋体" w:eastAsia="宋体" w:cs="仿宋_GB2312"/>
          <w:sz w:val="24"/>
        </w:rPr>
      </w:pPr>
      <w:r>
        <w:rPr>
          <w:rFonts w:hint="eastAsia" w:ascii="宋体" w:hAnsi="宋体" w:eastAsia="宋体" w:cs="仿宋_GB2312"/>
          <w:sz w:val="24"/>
        </w:rPr>
        <w:t>4.2 后续</w:t>
      </w:r>
      <w:r>
        <w:rPr>
          <w:rFonts w:hint="eastAsia" w:ascii="宋体" w:hAnsi="宋体" w:eastAsia="宋体" w:cs="仿宋_GB2312"/>
          <w:sz w:val="24"/>
          <w:lang w:val="en-US" w:eastAsia="zh-CN"/>
        </w:rPr>
        <w:t>中石化2.</w:t>
      </w:r>
      <w:r>
        <w:rPr>
          <w:rFonts w:hint="default" w:ascii="宋体" w:hAnsi="宋体" w:eastAsia="宋体" w:cs="仿宋_GB2312"/>
          <w:sz w:val="24"/>
          <w:lang w:val="en-US" w:eastAsia="zh-CN"/>
        </w:rPr>
        <w:t>0</w:t>
      </w:r>
      <w:r>
        <w:rPr>
          <w:rFonts w:hint="eastAsia" w:ascii="宋体" w:hAnsi="宋体" w:eastAsia="宋体" w:cs="仿宋_GB2312"/>
          <w:sz w:val="24"/>
          <w:lang w:val="en-US" w:eastAsia="zh-CN"/>
        </w:rPr>
        <w:t>平台接入的</w:t>
      </w:r>
      <w:r>
        <w:rPr>
          <w:rFonts w:hint="eastAsia" w:ascii="宋体" w:hAnsi="宋体" w:eastAsia="宋体" w:cs="仿宋_GB2312"/>
          <w:sz w:val="24"/>
        </w:rPr>
        <w:t>软件版本需以此版本为基础修改。</w:t>
      </w:r>
    </w:p>
    <w:p w14:paraId="4715A838">
      <w:pPr>
        <w:widowControl/>
        <w:tabs>
          <w:tab w:val="left" w:pos="420"/>
        </w:tabs>
        <w:spacing w:line="360" w:lineRule="auto"/>
        <w:ind w:firstLine="480" w:firstLineChars="200"/>
        <w:rPr>
          <w:rFonts w:hint="default" w:ascii="宋体" w:hAnsi="宋体" w:eastAsia="宋体" w:cs="仿宋_GB2312"/>
          <w:sz w:val="24"/>
          <w:lang w:val="en-US" w:eastAsia="zh-CN"/>
        </w:rPr>
      </w:pPr>
      <w:r>
        <w:rPr>
          <w:rFonts w:hint="eastAsia" w:ascii="宋体" w:hAnsi="宋体" w:eastAsia="宋体" w:cs="仿宋_GB2312"/>
          <w:sz w:val="24"/>
          <w:lang w:val="en-US" w:eastAsia="zh-CN"/>
        </w:rPr>
        <w:t>4.3现场更新时需提前联系运营平台获取充电桩资产号对应的登陆密钥。</w:t>
      </w:r>
    </w:p>
    <w:p w14:paraId="6B088DF8">
      <w:pPr>
        <w:rPr>
          <w:rFonts w:hint="eastAsia" w:asciiTheme="minorEastAsia" w:hAnsiTheme="minorEastAsia" w:cstheme="minorEastAsia"/>
          <w:sz w:val="18"/>
          <w:szCs w:val="18"/>
        </w:rPr>
      </w:pPr>
    </w:p>
    <w:p w14:paraId="67B45DD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1C11CB"/>
    <w:multiLevelType w:val="singleLevel"/>
    <w:tmpl w:val="951C11C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EFFE294C"/>
    <w:multiLevelType w:val="singleLevel"/>
    <w:tmpl w:val="EFFE294C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QyNzBlNTI1YmYxNjQ5OTAwNDMwY2RhZmVlYWRkOWIifQ=="/>
  </w:docVars>
  <w:rsids>
    <w:rsidRoot w:val="00AD6A3F"/>
    <w:rsid w:val="001079AE"/>
    <w:rsid w:val="00145B3E"/>
    <w:rsid w:val="001565BE"/>
    <w:rsid w:val="00232BD9"/>
    <w:rsid w:val="00265387"/>
    <w:rsid w:val="002F13C8"/>
    <w:rsid w:val="00374A0E"/>
    <w:rsid w:val="003F7EF8"/>
    <w:rsid w:val="00436006"/>
    <w:rsid w:val="004A7A49"/>
    <w:rsid w:val="005A54AD"/>
    <w:rsid w:val="005D7C06"/>
    <w:rsid w:val="005E139F"/>
    <w:rsid w:val="006246C9"/>
    <w:rsid w:val="006360EB"/>
    <w:rsid w:val="006F0415"/>
    <w:rsid w:val="00705882"/>
    <w:rsid w:val="00726D01"/>
    <w:rsid w:val="0074170E"/>
    <w:rsid w:val="007711E5"/>
    <w:rsid w:val="007863CA"/>
    <w:rsid w:val="0079050B"/>
    <w:rsid w:val="007C5A0F"/>
    <w:rsid w:val="007C714F"/>
    <w:rsid w:val="00895549"/>
    <w:rsid w:val="008E5C16"/>
    <w:rsid w:val="00AD6A3F"/>
    <w:rsid w:val="00BB1DFE"/>
    <w:rsid w:val="00C228CF"/>
    <w:rsid w:val="00E37B4E"/>
    <w:rsid w:val="00E513C2"/>
    <w:rsid w:val="00EF30B0"/>
    <w:rsid w:val="00F3354B"/>
    <w:rsid w:val="00F74E49"/>
    <w:rsid w:val="0DC037BD"/>
    <w:rsid w:val="0E191903"/>
    <w:rsid w:val="15A771F9"/>
    <w:rsid w:val="165F72BF"/>
    <w:rsid w:val="1CCD7E1C"/>
    <w:rsid w:val="29F130EF"/>
    <w:rsid w:val="2E0C7D1E"/>
    <w:rsid w:val="32FE7045"/>
    <w:rsid w:val="33E945F2"/>
    <w:rsid w:val="48744E3F"/>
    <w:rsid w:val="4D1300BC"/>
    <w:rsid w:val="520D7AAD"/>
    <w:rsid w:val="57853398"/>
    <w:rsid w:val="57F324F9"/>
    <w:rsid w:val="5E3F052F"/>
    <w:rsid w:val="6F733AB1"/>
    <w:rsid w:val="70357BF9"/>
    <w:rsid w:val="715E58DA"/>
    <w:rsid w:val="742D33F4"/>
    <w:rsid w:val="74915C4E"/>
    <w:rsid w:val="957F8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宋体" w:cs="宋体" w:eastAsiaTheme="minorEastAsia"/>
      <w:color w:val="000000"/>
      <w:sz w:val="24"/>
      <w:szCs w:val="24"/>
      <w:lang w:val="en-US" w:eastAsia="zh-CN" w:bidi="ar-SA"/>
    </w:rPr>
  </w:style>
  <w:style w:type="paragraph" w:styleId="7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8">
    <w:name w:val="页眉 字符"/>
    <w:basedOn w:val="5"/>
    <w:link w:val="3"/>
    <w:qFormat/>
    <w:uiPriority w:val="0"/>
    <w:rPr>
      <w:kern w:val="2"/>
      <w:sz w:val="18"/>
      <w:szCs w:val="18"/>
    </w:rPr>
  </w:style>
  <w:style w:type="character" w:customStyle="1" w:styleId="9">
    <w:name w:val="页脚 字符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Hewlett-Packard Company</Company>
  <Pages>1</Pages>
  <Words>432</Words>
  <Characters>608</Characters>
  <Lines>20</Lines>
  <Paragraphs>24</Paragraphs>
  <TotalTime>5</TotalTime>
  <ScaleCrop>false</ScaleCrop>
  <LinksUpToDate>false</LinksUpToDate>
  <CharactersWithSpaces>626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2024-06-06T19:10:00Z</dcterms:created>
  <dc:creator>EDY</dc:creator>
  <cp:lastModifiedBy>阵雨中的车站</cp:lastModifiedBy>
  <dcterms:modified xsi:type="dcterms:W3CDTF">2026-05-14T10:35:59Z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EBE39210FB15311D0F35056A47F3FD44_43</vt:lpwstr>
  </property>
  <property fmtid="{D5CDD505-2E9C-101B-9397-08002B2CF9AE}" pid="4" name="KSOTemplateDocerSaveRecord">
    <vt:lpwstr>eyJoZGlkIjoiYjFhMTEzOGUyMDg1YjNhN2JiNjJjNDQzOTk5NTU2NTkiLCJ1c2VySWQiOiIxMTcxMzAxMTI0In0=</vt:lpwstr>
  </property>
</Properties>
</file>