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DRMIS data partnership — NDMO → Ministry of Climate Change</w:t>
      </w:r>
    </w:p>
    <w:p>
      <w:r>
        <w:t>Audience: Director NDMO presenting to Director General, MoCCA. Purpose: align DRMIS with MoCCA priorities and ENV 3–4 policy themes; close data gaps (e.g. rainfall rasters). M&amp;E boundary: official NSDP indicators and baseline/target/current are on the national NSDP platform only; DRMIS does not inform or substitute for that platform. H, I, J in the table are copied from the Environment Pillar factsheet for contextual read-across only.</w:t>
      </w:r>
    </w:p>
    <w:p>
      <w:pPr>
        <w:pStyle w:val="Heading1"/>
      </w:pPr>
      <w:r>
        <w:t>1. Executive summary</w:t>
      </w:r>
    </w:p>
    <w:p>
      <w:pPr>
        <w:pStyle w:val="ListBullet"/>
      </w:pPr>
      <w:r>
        <w:t>DRMIS: operational published hazard, exposure, damage, climate-context map/tabular layers; province/AC; APIs—not NSDP M&amp;E.</w:t>
      </w:r>
    </w:p>
    <w:p>
      <w:pPr>
        <w:pStyle w:val="ListBullet"/>
      </w:pPr>
      <w:r>
        <w:t>NSDP Environment themes explain why shared national layers matter for DRM; authoritative M&amp;E figures stay on the NSDP platform.</w:t>
      </w:r>
    </w:p>
    <w:p>
      <w:pPr>
        <w:pStyle w:val="ListBullet"/>
      </w:pPr>
      <w:r>
        <w:t>MoCCA: natural provider for gridded climate rasters — largely missing from DRMIS today.</w:t>
      </w:r>
    </w:p>
    <w:p>
      <w:pPr>
        <w:pStyle w:val="Heading1"/>
      </w:pPr>
      <w:r>
        <w:t>2. DRMIS modalities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</w:tcPr>
          <w:p>
            <w:r>
              <w:t>Modality</w:t>
            </w:r>
          </w:p>
        </w:tc>
        <w:tc>
          <w:tcPr>
            <w:tcW w:type="dxa" w:w="7272"/>
          </w:tcPr>
          <w:p>
            <w:r>
              <w:t>Role</w:t>
            </w:r>
          </w:p>
        </w:tc>
      </w:tr>
      <w:tr>
        <w:tc>
          <w:tcPr>
            <w:tcW w:type="dxa" w:w="7272"/>
          </w:tcPr>
          <w:p>
            <w:r>
              <w:t>Raster</w:t>
            </w:r>
          </w:p>
        </w:tc>
        <w:tc>
          <w:tcPr>
            <w:tcW w:type="dxa" w:w="7272"/>
          </w:tcPr>
          <w:p>
            <w:r>
              <w:t>GeoTIFF/VRT/COG; TiTiler or precomputed tiles; Climate mode.</w:t>
            </w:r>
          </w:p>
        </w:tc>
      </w:tr>
      <w:tr>
        <w:tc>
          <w:tcPr>
            <w:tcW w:type="dxa" w:w="7272"/>
          </w:tcPr>
          <w:p>
            <w:r>
              <w:t>Vector</w:t>
            </w:r>
          </w:p>
        </w:tc>
        <w:tc>
          <w:tcPr>
            <w:tcW w:type="dxa" w:w="7272"/>
          </w:tcPr>
          <w:p>
            <w:r>
              <w:t>GeoJSON; hazards, exposure, admin boundaries.</w:t>
            </w:r>
          </w:p>
        </w:tc>
      </w:tr>
      <w:tr>
        <w:tc>
          <w:tcPr>
            <w:tcW w:type="dxa" w:w="7272"/>
          </w:tcPr>
          <w:p>
            <w:r>
              <w:t>Tabular</w:t>
            </w:r>
          </w:p>
        </w:tc>
        <w:tc>
          <w:tcPr>
            <w:tcW w:type="dxa" w:w="7272"/>
          </w:tcPr>
          <w:p>
            <w:r>
              <w:t>Province/AC stats; damage, needs, financial types.</w:t>
            </w:r>
          </w:p>
        </w:tc>
      </w:tr>
      <w:tr>
        <w:tc>
          <w:tcPr>
            <w:tcW w:type="dxa" w:w="7272"/>
          </w:tcPr>
          <w:p>
            <w:r>
              <w:t>PMTiles</w:t>
            </w:r>
          </w:p>
        </w:tc>
        <w:tc>
          <w:tcPr>
            <w:tcW w:type="dxa" w:w="7272"/>
          </w:tcPr>
          <w:p>
            <w:r>
              <w:t>Basemap-style hazard layers from URL.</w:t>
            </w:r>
          </w:p>
        </w:tc>
      </w:tr>
    </w:tbl>
    <w:p>
      <w:pPr>
        <w:pStyle w:val="Heading1"/>
      </w:pPr>
      <w:r>
        <w:t>3. Priority data gaps (with Baseline H / Target I / Current J)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616"/>
          </w:tcPr>
          <w:p>
            <w:r>
              <w:rPr>
                <w:b/>
                <w:sz w:val="14"/>
              </w:rPr>
              <w:t>#</w:t>
            </w:r>
          </w:p>
        </w:tc>
        <w:tc>
          <w:tcPr>
            <w:tcW w:type="dxa" w:w="1616"/>
          </w:tcPr>
          <w:p>
            <w:r>
              <w:rPr>
                <w:b/>
                <w:sz w:val="14"/>
              </w:rPr>
              <w:t>Data product</w:t>
            </w:r>
          </w:p>
        </w:tc>
        <w:tc>
          <w:tcPr>
            <w:tcW w:type="dxa" w:w="1616"/>
          </w:tcPr>
          <w:p>
            <w:r>
              <w:rPr>
                <w:b/>
                <w:sz w:val="14"/>
              </w:rPr>
              <w:t>Type</w:t>
            </w:r>
          </w:p>
        </w:tc>
        <w:tc>
          <w:tcPr>
            <w:tcW w:type="dxa" w:w="1616"/>
          </w:tcPr>
          <w:p>
            <w:r>
              <w:rPr>
                <w:b/>
                <w:sz w:val="14"/>
              </w:rPr>
              <w:t>Why / NSDP</w:t>
            </w:r>
          </w:p>
        </w:tc>
        <w:tc>
          <w:tcPr>
            <w:tcW w:type="dxa" w:w="1616"/>
          </w:tcPr>
          <w:p>
            <w:r>
              <w:rPr>
                <w:b/>
                <w:sz w:val="14"/>
              </w:rPr>
              <w:t>Who provides</w:t>
            </w:r>
          </w:p>
        </w:tc>
        <w:tc>
          <w:tcPr>
            <w:tcW w:type="dxa" w:w="1616"/>
          </w:tcPr>
          <w:p>
            <w:r>
              <w:rPr>
                <w:b/>
                <w:sz w:val="14"/>
              </w:rPr>
              <w:t>What is needed</w:t>
            </w:r>
          </w:p>
        </w:tc>
        <w:tc>
          <w:tcPr>
            <w:tcW w:type="dxa" w:w="1616"/>
          </w:tcPr>
          <w:p>
            <w:r>
              <w:rPr>
                <w:b/>
                <w:sz w:val="14"/>
              </w:rPr>
              <w:t>Baseline (H)</w:t>
            </w:r>
          </w:p>
        </w:tc>
        <w:tc>
          <w:tcPr>
            <w:tcW w:type="dxa" w:w="1616"/>
          </w:tcPr>
          <w:p>
            <w:r>
              <w:rPr>
                <w:b/>
                <w:sz w:val="14"/>
              </w:rPr>
              <w:t>Target (I)</w:t>
            </w:r>
          </w:p>
        </w:tc>
        <w:tc>
          <w:tcPr>
            <w:tcW w:type="dxa" w:w="1616"/>
          </w:tcPr>
          <w:p>
            <w:r>
              <w:rPr>
                <w:b/>
                <w:sz w:val="14"/>
              </w:rPr>
              <w:t>Current (J)</w:t>
            </w:r>
          </w:p>
        </w:tc>
      </w:tr>
      <w:tr>
        <w:tc>
          <w:tcPr>
            <w:tcW w:type="dxa" w:w="16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Gridded rainfall (monthly/seasonal/annual climatology; anomalies)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Raster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DRR; ENV 3. H/I/J → ENV 3.2.3 (atmospheric/earth sciences).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MoCCA / Dept Climate Change; VMGD if held there.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COG/GeoTIFF; CRS; metadata; cadence; licence; filename_id; focal officer.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TBD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Increase in publications or research proposals in atmospheric and earth sciences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-</w:t>
            </w:r>
          </w:p>
        </w:tc>
      </w:tr>
      <w:tr>
        <w:tc>
          <w:tcPr>
            <w:tcW w:type="dxa" w:w="1616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Temperature (mean/min/max surfaces, anomalies)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Raster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Heat/health; ENV 3. H/I/J → ENV 3.2.3 (same proxy as row 1).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MoCCA / VMGD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As row 1; observation vs reanalysis documented.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TBD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Increase in publications or research proposals in atmospheric and earth sciences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-</w:t>
            </w:r>
          </w:p>
        </w:tc>
      </w:tr>
      <w:tr>
        <w:tc>
          <w:tcPr>
            <w:tcW w:type="dxa" w:w="1616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Standardised drought index (SPI, SPEI)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Raster or tabular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Early action; ENV 1.5/3. H/I/J → ENV 1.5.1 (Agro-Met training).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MoCCA (+ MALFFB / DoW validation)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Methodology; monthly refresh; province aggregates if needed.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TBD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Ag Census infor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-</w:t>
            </w:r>
          </w:p>
        </w:tc>
      </w:tr>
      <w:tr>
        <w:tc>
          <w:tcPr>
            <w:tcW w:type="dxa" w:w="1616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Seasonal climate outlook (maps or province categories)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Raster or tabular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Preparedness; H/I/J → ENV 3.2.1 (multi-hazard warning systems).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VMGD / MoCCA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Official layers only; version date; link to advisory.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TBD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100% of provinces with multi-hazard warning systems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-</w:t>
            </w:r>
          </w:p>
        </w:tc>
      </w:tr>
      <w:tr>
        <w:tc>
          <w:tcPr>
            <w:tcW w:type="dxa" w:w="1616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Climate projections (rainfall/temp scenarios)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Raster (multi-layer)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Adaptation; H/I/J → ENV 3.4.2 (awareness programs).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MoCCA (+ partners)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Scenario labels; IPCC/study ref; public vs restricted.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TBD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60% of islands covered by awareness programs targeting climate change adaptation and resilience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-</w:t>
            </w:r>
          </w:p>
        </w:tc>
      </w:tr>
      <w:tr>
        <w:tc>
          <w:tcPr>
            <w:tcW w:type="dxa" w:w="1616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Tropical cyclone / severe weather footprints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Vector / PMTiles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PDNA; H/I/J → ENV 3.2.2 (access to early-warning technologies).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VMGD / NDMO (events)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Event ID, time, authoritative geometry.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TBD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0.8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0.6</w:t>
            </w:r>
          </w:p>
        </w:tc>
      </w:tr>
      <w:tr>
        <w:tc>
          <w:tcPr>
            <w:tcW w:type="dxa" w:w="1616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Flood / tsunami / landslide national reference layers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Vector / Raster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ENV 3.3.3 multi-hazard maps. H/I/J → ENV 3.3.3.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MoCCA, NDMO, Public Works / GeoHazards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Ownership; post-event updates.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TBD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1 national multi-hazard and risk map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50</w:t>
            </w:r>
          </w:p>
        </w:tc>
      </w:tr>
      <w:tr>
        <w:tc>
          <w:tcPr>
            <w:tcW w:type="dxa" w:w="1616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Sea-level rise / coastal inundation scenarios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Raster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ENV 4 coastal. H/I/J → ENV 4.5.3 (proxy; no dedicated SLR indicator).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MoCCA / coastal unit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Datum; scenario years; Fisheries ICM.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TBD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100%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-</w:t>
            </w:r>
          </w:p>
        </w:tc>
      </w:tr>
      <w:tr>
        <w:tc>
          <w:tcPr>
            <w:tcW w:type="dxa" w:w="1616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Land cover / land use change (national mosaic)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Raster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ENV 4.2.2. H/I/J → ENV 4.2.2.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MoCCA / Forestry / Lands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Single authoritative mosaic/year; legend.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Creating precise GIS forest maps integrated with Land Use Capability data.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By 2030 100% of forest areas of significance mapped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-</w:t>
            </w:r>
          </w:p>
        </w:tc>
      </w:tr>
      <w:tr>
        <w:tc>
          <w:tcPr>
            <w:tcW w:type="dxa" w:w="1616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Post-event damage (verified counts by area)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Tabular / vector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PDNA; H/I/J → ENV 3.3.2 (durable solutions).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NDMO (+ sectors)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Survey rules; draft vs published.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TBD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60% of climate change and disaster affected communities with durable solutions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-</w:t>
            </w:r>
          </w:p>
        </w:tc>
      </w:tr>
      <w:tr>
        <w:tc>
          <w:tcPr>
            <w:tcW w:type="dxa" w:w="1616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Evacuation centres / safe sites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Vector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Operations; H/I/J → ENV 3.3.1 (support plans).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NDMO / Provincial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Verified coords; seasonal refresh.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TBD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80% of communities have access to support plans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-</w:t>
            </w:r>
          </w:p>
        </w:tc>
      </w:tr>
      <w:tr>
        <w:tc>
          <w:tcPr>
            <w:tcW w:type="dxa" w:w="1616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Water stress / hydrological drought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Tabular / raster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DoW + NDMO. H/I/J → ENV 4.2.1 (Water Protection Zones).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DoW / MoCCA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Align with rainfall/SPI.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TBD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6 Water Protection Zones declared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-</w:t>
            </w:r>
          </w:p>
        </w:tc>
      </w:tr>
      <w:tr>
        <w:tc>
          <w:tcPr>
            <w:tcW w:type="dxa" w:w="1616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Food security / agricultural stress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Tabular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ENV 1. H/I/J → ENV 1.1.3 (household food poverty).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MALFFB (+ VNSO official)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Attributes; province map.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5.7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5.6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-</w:t>
            </w:r>
          </w:p>
        </w:tc>
      </w:tr>
      <w:tr>
        <w:tc>
          <w:tcPr>
            <w:tcW w:type="dxa" w:w="1616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Integrated coastal management boundaries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Vector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ENV 4.4.2. H/I/J → ENV 4.4.2.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Fisheries / MoCCA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Legal status; MOU updates.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TBD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40 integrated coastal management plans developed and operational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-</w:t>
            </w:r>
          </w:p>
        </w:tc>
      </w:tr>
      <w:tr>
        <w:tc>
          <w:tcPr>
            <w:tcW w:type="dxa" w:w="1616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Physical planning area boundaries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Vector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ENV 4.1.1. H/I/J → ENV 4.1.1.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Lands / municipalities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Official GIS export; sync schedule.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TBD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100% of all physical planning areas declared in or before 2016 have a physical plan in place</w:t>
            </w:r>
          </w:p>
        </w:tc>
        <w:tc>
          <w:tcPr>
            <w:tcW w:type="dxa" w:w="1616"/>
          </w:tcPr>
          <w:p>
            <w:r>
              <w:rPr>
                <w:sz w:val="14"/>
              </w:rPr>
              <w:t>-</w:t>
            </w:r>
          </w:p>
        </w:tc>
      </w:tr>
    </w:tbl>
    <w:p>
      <w:pPr>
        <w:pStyle w:val="Heading1"/>
      </w:pPr>
      <w:r>
        <w:t>4. Governance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</w:tcPr>
          <w:p>
            <w:r>
              <w:t>Topic</w:t>
            </w:r>
          </w:p>
        </w:tc>
        <w:tc>
          <w:tcPr>
            <w:tcW w:type="dxa" w:w="7272"/>
          </w:tcPr>
          <w:p>
            <w:r>
              <w:t>Action</w:t>
            </w:r>
          </w:p>
        </w:tc>
      </w:tr>
      <w:tr>
        <w:tc>
          <w:tcPr>
            <w:tcW w:type="dxa" w:w="7272"/>
          </w:tcPr>
          <w:p>
            <w:r>
              <w:t>Data-sharing</w:t>
            </w:r>
          </w:p>
        </w:tc>
        <w:tc>
          <w:tcPr>
            <w:tcW w:type="dxa" w:w="7272"/>
          </w:tcPr>
          <w:p>
            <w:r>
              <w:t>MOU: official layers, who publishes, embargo.</w:t>
            </w:r>
          </w:p>
        </w:tc>
      </w:tr>
      <w:tr>
        <w:tc>
          <w:tcPr>
            <w:tcW w:type="dxa" w:w="7272"/>
          </w:tcPr>
          <w:p>
            <w:r>
              <w:t>Focal points</w:t>
            </w:r>
          </w:p>
        </w:tc>
        <w:tc>
          <w:tcPr>
            <w:tcW w:type="dxa" w:w="7272"/>
          </w:tcPr>
          <w:p>
            <w:r>
              <w:t>Named MoCCA + NDMO data officers; quarterly list.</w:t>
            </w:r>
          </w:p>
        </w:tc>
      </w:tr>
      <w:tr>
        <w:tc>
          <w:tcPr>
            <w:tcW w:type="dxa" w:w="7272"/>
          </w:tcPr>
          <w:p>
            <w:r>
              <w:t>Publication standard</w:t>
            </w:r>
          </w:p>
        </w:tc>
        <w:tc>
          <w:tcPr>
            <w:tcW w:type="dxa" w:w="7272"/>
          </w:tcPr>
          <w:p>
            <w:r>
              <w:t>CRS, title, provider, date, licence in metadata (internal tags only—not NSDP reporting).</w:t>
            </w:r>
          </w:p>
        </w:tc>
      </w:tr>
      <w:tr>
        <w:tc>
          <w:tcPr>
            <w:tcW w:type="dxa" w:w="7272"/>
          </w:tcPr>
          <w:p>
            <w:r>
              <w:t>Security</w:t>
            </w:r>
          </w:p>
        </w:tc>
        <w:tc>
          <w:tcPr>
            <w:tcW w:type="dxa" w:w="7272"/>
          </w:tcPr>
          <w:p>
            <w:r>
              <w:t>Draft / published / archived in DRMIS.</w:t>
            </w:r>
          </w:p>
        </w:tc>
      </w:tr>
      <w:tr>
        <w:tc>
          <w:tcPr>
            <w:tcW w:type="dxa" w:w="7272"/>
          </w:tcPr>
          <w:p>
            <w:r>
              <w:t>M&amp;E / NSDP</w:t>
            </w:r>
          </w:p>
        </w:tc>
        <w:tc>
          <w:tcPr>
            <w:tcW w:type="dxa" w:w="7272"/>
          </w:tcPr>
          <w:p>
            <w:r>
              <w:t>National NSDP platform only for indicators and verification; DRMIS not M&amp;E.</w:t>
            </w:r>
          </w:p>
        </w:tc>
      </w:tr>
    </w:tbl>
    <w:p>
      <w:pPr>
        <w:pStyle w:val="Heading1"/>
      </w:pPr>
      <w:r>
        <w:t>5. Ask to MoCCA (DG)</w:t>
      </w:r>
    </w:p>
    <w:p>
      <w:pPr>
        <w:pStyle w:val="ListBullet"/>
      </w:pPr>
      <w:r>
        <w:t>Designate provider of record for national climate rasters (or VMGD split in writing).</w:t>
      </w:r>
    </w:p>
    <w:p>
      <w:pPr>
        <w:pStyle w:val="ListBullet"/>
      </w:pPr>
      <w:r>
        <w:t>Approve pilot: one rainfall or SPI stack in DRMIS Climate admin with metadata.</w:t>
      </w:r>
    </w:p>
    <w:p>
      <w:pPr>
        <w:pStyle w:val="ListBullet"/>
      </w:pPr>
      <w:r>
        <w:t>Assign focal officer + update calendar.</w:t>
      </w:r>
    </w:p>
    <w:p>
      <w:pPr>
        <w:pStyle w:val="ListBullet"/>
      </w:pPr>
      <w:r>
        <w:t>Support operational multi-hazard mapping where MoCCA underpins layers (M&amp;E remains on NSDP platform).</w:t>
      </w:r>
    </w:p>
    <w:p>
      <w:r>
        <w:rPr>
          <w:i/>
          <w:sz w:val="16"/>
        </w:rPr>
        <w:t>Regenerate: python docs/build_NDMO_MOCCA_briefing_docx.py (pip install python-docx).</w:t>
      </w:r>
    </w:p>
    <w:sectPr w:rsidR="00FC693F" w:rsidRPr="0006063C" w:rsidSect="00034616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