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/>
          <w:sz w:val="28"/>
        </w:rPr>
        <w:t xml:space="preserve">Annex: NSDP Environment pillar — thematic crosswalk (DRMIS not M&amp;E)</w:t>
      </w:r>
      <w:r/>
    </w:p>
    <w:p>
      <w:pPr>
        <w:pBdr/>
        <w:spacing/>
        <w:ind/>
        <w:rPr/>
      </w:pPr>
      <w:r>
        <w:t xml:space="preserve">Purpose: Optional planning map b</w:t>
      </w:r>
      <w:r>
        <w:t xml:space="preserve">etween Environment pillar indicator codes and DRMIS capabilities. Official NSDP monitoring and evaluation—indicators, baseline/target/current, verification—is on the national NSDP platform only. DRMIS does not inform, feed, or substitute for that platform.</w:t>
      </w:r>
      <w:r/>
    </w:p>
    <w:p>
      <w:pPr>
        <w:pBdr/>
        <w:spacing/>
        <w:ind/>
        <w:rPr/>
      </w:pPr>
      <w:r>
        <w:t xml:space="preserve">Legend — D</w:t>
      </w:r>
      <w:r>
        <w:t xml:space="preserve">RMIS role: </w:t>
      </w:r>
      <w:r/>
    </w:p>
    <w:p w14:paraId="1CECDDE8">
      <w:pPr>
        <w:pStyle w:val="713"/>
        <w:numPr>
          <w:ilvl w:val="0"/>
          <w:numId w:val="10"/>
        </w:numPr>
        <w:pBdr/>
        <w:spacing/>
        <w:ind/>
        <w:rPr/>
      </w:pPr>
      <w:r>
        <w:t xml:space="preserve">P = primary/strong; </w:t>
      </w:r>
      <w:r/>
    </w:p>
    <w:p w14:paraId="32B9E285">
      <w:pPr>
        <w:pStyle w:val="713"/>
        <w:numPr>
          <w:ilvl w:val="0"/>
          <w:numId w:val="10"/>
        </w:numPr>
        <w:pBdr/>
        <w:spacing/>
        <w:ind/>
        <w:rPr/>
      </w:pPr>
      <w:r>
        <w:t xml:space="preserve">S = secondary/contributory; </w:t>
      </w:r>
      <w:r/>
    </w:p>
    <w:p w14:paraId="48ECB02D">
      <w:pPr>
        <w:pStyle w:val="713"/>
        <w:numPr>
          <w:ilvl w:val="0"/>
          <w:numId w:val="10"/>
        </w:numPr>
        <w:pBdr/>
        <w:spacing/>
        <w:ind/>
        <w:rPr/>
      </w:pPr>
      <w:r>
        <w:t xml:space="preserve">W = weak/conditional; </w:t>
      </w:r>
      <w:r/>
    </w:p>
    <w:p w14:paraId="596C6F46">
      <w:pPr>
        <w:pStyle w:val="713"/>
        <w:numPr>
          <w:ilvl w:val="0"/>
          <w:numId w:val="10"/>
        </w:numPr>
        <w:pBdr/>
        <w:spacing/>
        <w:ind/>
        <w:rPr/>
      </w:pPr>
      <w:r>
        <w:t xml:space="preserve">— = out of scope unless datasets are explicitly added. </w:t>
      </w:r>
      <w:r/>
    </w:p>
    <w:p w14:paraId="78092942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t xml:space="preserve">The fifth column gives step-by-step operational detail for every P and S row; other rows show an em dash in that column.</w:t>
      </w:r>
      <w:r/>
      <w:r/>
      <w:r/>
    </w:p>
    <w:p>
      <w:pPr>
        <w:pBdr/>
        <w:spacing/>
        <w:ind/>
        <w:rPr/>
      </w:pPr>
      <w:r>
        <w:t xml:space="preserve">Sources: (1) NSDP M&amp;E Framework (July 2017), DSPPAC — Environment pillar tables. (2) Environment Pillar: Full NSDP Indicator Progress Factsheet (Environment Pillar All objectives.pdf) — 63 indicators, portal status, critical observations on data gaps.</w:t>
      </w:r>
      <w:r/>
    </w:p>
    <w:p>
      <w:pPr>
        <w:pBdr/>
        <w:spacing/>
        <w:ind/>
        <w:rPr/>
      </w:pPr>
      <w:r>
        <w:t xml:space="preserve">Indicator IDs follow the factsheet-style numbering (e.g. ENV 3.3.3). Resolve any goal-title mismatches between PDFs using the live NSDP tracking portal.</w:t>
      </w:r>
      <w:r/>
    </w:p>
    <w:p>
      <w:pPr>
        <w:pStyle w:val="694"/>
        <w:pBdr/>
        <w:spacing/>
        <w:ind/>
        <w:jc w:val="left"/>
        <w:rPr/>
      </w:pPr>
      <w:r>
        <w:t xml:space="preserve">RAP Vanuatu tabulation outputs (not NSDP reporting via DRMIS)</w:t>
      </w:r>
      <w:r/>
    </w:p>
    <w:p>
      <w:pPr>
        <w:pBdr/>
        <w:spacing/>
        <w:ind/>
        <w:rPr/>
      </w:pPr>
      <w:r>
        <w:t xml:space="preserve">Sibling repository RAP/vanuatu (Quarto) produces cyclone baseline, damage, resource, and financial tabulations from council-level baselines and hazard intensity. Use toward Environment pillar indicators only through line ministries and the NSDP platform.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>
        <w:trPr/>
        <w:tc>
          <w:tcPr>
            <w:tcBorders/>
            <w:tcW w:w="4848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Path / pattern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Description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20"/>
              </w:rPr>
              <w:t xml:space="preserve">Thematic ENV link (illustrative)</w:t>
            </w:r>
            <w:r/>
          </w:p>
        </w:tc>
      </w:tr>
      <w:tr>
        <w:trPr/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data/1c_input_baseline.csv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Pre-disaster indicators by sector, Area Council, year (feeds modelled outputs).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ENV 1 food/ag; ENV 3.3.x exposure — ministries own official stats.</w:t>
            </w:r>
            <w:r/>
          </w:p>
        </w:tc>
      </w:tr>
      <w:tr>
        <w:trPr/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data/Ex_hazard_areas.csv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Cyclone intensity 2–5 per council (from VMGD track).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ENV 3.2.x / 3.3.3 hazard context.</w:t>
            </w:r>
            <w:r/>
          </w:p>
        </w:tc>
      </w:tr>
      <w:tr>
        <w:trPr/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data/Ex_hazard_areas_MIS_import.csv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Hazard export for MIS tabular import (scripts/export_hazard_for_mis.R).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Operational DRMIS load — not an NSDP indicator return.</w:t>
            </w:r>
            <w:r/>
          </w:p>
        </w:tc>
      </w:tr>
      <w:tr>
        <w:trPr/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output/*_01*_baseline*.csv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Aggregated baselines: Education, FoodSecurity, Health, Shelter, WASH, Logistics, Energy, Telecom, Gender+Protection, Business.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ENV 1.4/1.5 ag; ENV 3.4 schools; sector context for dialogue.</w:t>
            </w:r>
            <w:r/>
          </w:p>
        </w:tc>
      </w:tr>
      <w:tr>
        <w:trPr/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output/*_02* damage, *_03* resources, *_04* financial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Modelled damage, immediate response resources, unit-cost financial damage.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ENV 3.3.x PDNA-style evidence class only; not portal figures.</w:t>
            </w:r>
            <w:r/>
          </w:p>
        </w:tc>
      </w:tr>
      <w:tr>
        <w:trPr/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output/QC_baseline_coverage.csv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Row counts per sector × Area Council (QA).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Coverage tracking for modellers.</w:t>
            </w:r>
            <w:r/>
          </w:p>
        </w:tc>
      </w:tr>
      <w:tr>
        <w:trPr/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output/area_councils_intensity.geojson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AC polygons with intensity for GIS / DRMIS map layers.</w:t>
            </w:r>
            <w:r/>
          </w:p>
        </w:tc>
        <w:tc>
          <w:tcPr>
            <w:tcBorders/>
            <w:tcW w:w="4848" w:type="dxa"/>
          </w:tcPr>
          <w:p>
            <w:pPr>
              <w:pBdr/>
              <w:spacing w:after="60"/>
              <w:ind/>
              <w:rPr/>
            </w:pPr>
            <w:r>
              <w:rPr>
                <w:sz w:val="18"/>
              </w:rPr>
              <w:t xml:space="preserve">ENV 3.3.3 operational map input if published to DRMIS.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Environment 1 — Food security &amp; sustainable production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>
        <w:trPr/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Code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Indicator (summary)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DRMIS role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What is needed (summary)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How to accomplish — detail for P &amp; S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1.1.1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Households producing own food (own consumption)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Agriculture census / household survey (VNSO, MALFFB); NSDP portal update cycle; baseline refresh.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1.1.2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Up-to-date primary production data (ag, livestock, forestry, fisheries)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Sector administrative data pipelines to VNSO; annual + 6-monthly reporting per framework; data standards across MALFFB, Fisheries, Forestry, Biosecurity.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1.1.3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Average incidence of household food poverty (Food Poverty Line)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Household Income and Expenditure Survey / poverty analytics (VNSO); agreed methodology; regular publication.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1.2.1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National food guidelines (aelan kaikai) operational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Health + agriculture policy; guidelines completion; monitoring via surveys (proportion consuming island food).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1.3.1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Volume of targeted food imports substitutable domestically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Customs/trade statistics + DARD product list; consistent classification; annual compilation.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1.3.2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Domestic food price level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VNSO CPI / food price series; NSDP baseline survey linkage.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1.3.3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Food price inflation / food price index vs national CPI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VNSO price statistics; methodology documented; portal verification links working.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1.4.1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FADs per 1,000 population by province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MALFFB FAD registry; population denominators (VNSO); provincial breakdown.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1.4.2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People trained in food storage / preservation (annual)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Training management information system across MALFFB/NGOs; % preservation training reporting rule.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1.4.3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Land use capability mapping systems (100% provinces)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W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National land-use / agriculture mapping program; MoCCA or Lands + MALFFB; **optional:** host capability layers in DRMIS if adopted as operational GIS.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1.5.1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Producers with Agro-Met training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W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Agriculture census / training registers; **optional:** agro-climate tabular layers in DRMIS for planning.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1.5.2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Crop diversity index by province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W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Survey design (VNSO assistance per framework); agricultural census modules; provincial aggregation.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1.5.3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Farmers in integrated farming practices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W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Census/ag survey question set; reporting to portal.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Environment 2 — Natural resource / green growth &amp; compliance (2017 + factsheet themes)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>
        <w:trPr/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Code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Indicator (summary)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DRMIS role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What is needed (summary)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How to accomplish — detail for P &amp; S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2.1.1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Green / blue-green growth in national policies &amp; new projects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DSPPAC development projects database; Aid Coordination; definition of “green infrastructure”; annual project tagging.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2.2.1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Development projects complying with EIA requirements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DEPC EIA register; numerator/denominator agreed; portal sync.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2.2.2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Environmental guidelines in place (under Acts)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DEPC policy roll-out; count vs target (6 by 2030).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2.3.1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Imported lighting &amp; refrigeration meeting efficiency standards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Customs / standards compliance data; market surveillance (Energy/Customs).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2.3.2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Households using renewable energy as main lighting source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Household survey (VNSO) or energy census; periodic update.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2.4.1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Controlled waste disposal facilities (by province)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Provincial infrastructure inventory (municipalities/DEPC); operational status.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2.4.2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Vehicles complying with emission standards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Transport / municipal roadworthy data linked to emission rules.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2.4.3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Implementation of National Waste Management Strategy &amp; Action Plan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DEPC monitoring framework; % activities completed.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2.5.1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Targets met in National Environment Policy &amp; Implementation Plan 2016–2030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DEPC corporate planning; annual self-assessment vs plan.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2.5.2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Environmental obligations in treaties met (corporate plans &amp; reports)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Cross-government treaty implementation tracking; legal/policy focal points.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2.6.1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DEPC funding approved / gov environmental expenditure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MoF budget coding; NPP alignment; baseline 2016 VT amount tracked.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2.6.2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Environmental Trust Fund operational &amp; deposits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Trust fund legal setup; treasury reporting.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Environment 3 — Climate change &amp; disaster risk reduction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>
        <w:trPr/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Code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Indicator (summary)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DRMIS role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What is needed (summary)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How to accomplish — detail for P &amp; S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3.1.1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Ministries with CC &amp; DRM policies, budgets, legislation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Whole-of-government survey; legal/policy inventory; MoF budget tagging; **DRMIS:** does not replace policy audit—supports evidence-based DRM dialogue.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>
                <w:highlight w:val="yellow"/>
              </w:rPr>
            </w:pPr>
            <w:r>
              <w:rPr>
                <w:sz w:val="14"/>
              </w:rPr>
              <w:t xml:space="preserve">(1) NAB/OPM runs an an</w:t>
            </w:r>
            <w:r>
              <w:rPr>
                <w:sz w:val="14"/>
              </w:rPr>
              <w:t xml:space="preserve">nual structured questionnaire to each ministry: existence of CC/DRM policy, approved budget line, and cited legislation. (2) State Law Office or legal units maintain a master index of Acts and amendments. (3) MoF supplies evidence of budget tagging against</w:t>
            </w:r>
            <w:r>
              <w:rPr>
                <w:sz w:val="14"/>
              </w:rPr>
              <w:t xml:space="preserve"> DRM/CC codes. (4) Collate results in a single spreadsheet for NSDP portal entry (official %).</w:t>
            </w:r>
            <w:r>
              <w:rPr>
                <w:sz w:val="14"/>
                <w:highlight w:val="yellow"/>
              </w:rPr>
              <w:t xml:space="preserve"> (5) DRMIS (optional): upload read-only metadata or links to public documents; publish a non-authoritative tabular summary (ministry × yes/no) for workshops only.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3.1.2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DoCC / NAB secretariat staff financed by government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Payroll / establishment data (PMO, MoF); **DRMIS:** unrelated except as national DRM IT asset.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>
                <w:highlight w:val="yellow"/>
              </w:rPr>
            </w:pPr>
            <w:r>
              <w:rPr>
                <w:sz w:val="14"/>
              </w:rPr>
              <w:t xml:space="preserve">(1) Identify establishment positions for DoCC and NAB secretaria</w:t>
            </w:r>
            <w:r>
              <w:rPr>
                <w:sz w:val="14"/>
              </w:rPr>
              <w:t xml:space="preserve">t in official HR/payroll systems. (2) MoF confirms salaries charged to government vote vs donor. (3) Report numerator/denominator per NSDP methodology. </w:t>
            </w:r>
            <w:r>
              <w:rPr>
                <w:sz w:val="14"/>
                <w:highlight w:val="yellow"/>
              </w:rPr>
              <w:t xml:space="preserve">DRMIS: no payroll data; optionally note hosting of DRM systems as project context in documentation only.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3.1.3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Sector stakeholders aligned with CC &amp; DRM policies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Formal arrangement registers; awareness surveys; **DRMIS:** operational risk/damage catalogue for DRM users only—not NSDP reporting.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>
                <w:highlight w:val="yellow"/>
              </w:rPr>
            </w:pPr>
            <w:r>
              <w:rPr>
                <w:sz w:val="14"/>
              </w:rPr>
              <w:t xml:space="preserve">(1) NAB maintains a register of MOUs, TORs, and sector coordination meetings with dates and outcomes. (2) Run periodic percept</w:t>
            </w:r>
            <w:r>
              <w:rPr>
                <w:sz w:val="14"/>
              </w:rPr>
              <w:t xml:space="preserve">ion or awareness surveys using agreed instruments. (3) Enter official results on the NSDP platform. </w:t>
            </w:r>
            <w:r>
              <w:rPr>
                <w:sz w:val="14"/>
                <w:highlight w:val="yellow"/>
              </w:rPr>
              <w:t xml:space="preserve">(4) DRMIS: keep published hazard/damage/needs datasets current so stakeholders use one operational catalogue in meetings—does not replace survey statistics.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3.2.1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Multi-hazard warning systems with maintenance plans (provinces)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VMGD/NDMO asset register; maintenance plans filed; **DRMIS:** situational view only—not warning system of record.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>
                <w:highlight w:val="yellow"/>
              </w:rPr>
            </w:pPr>
            <w:r>
              <w:rPr>
                <w:sz w:val="14"/>
              </w:rPr>
              <w:t xml:space="preserve">(1) VMGD/NDMO maintain an asset register (sirens, radio, equipment) with location, serial, and responsible officer per province. (2) Eac</w:t>
            </w:r>
            <w:r>
              <w:rPr>
                <w:sz w:val="14"/>
              </w:rPr>
              <w:t xml:space="preserve">h asset has a linked maintenance plan document ID and next service date. (3) Count provinces meeting “system + plan” rule for the portal. </w:t>
            </w:r>
            <w:r>
              <w:rPr>
                <w:sz w:val="14"/>
                <w:highlight w:val="yellow"/>
              </w:rPr>
              <w:t xml:space="preserve">(4) DRMIS: optional map layer of assets if coordinates are cleared for release; read-only; operational awareness only.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3.2.2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Population with access to technologies conveying early warnings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Survey on access (phones, radio, etc.); telecom/media partnership; **DRMIS:** optional public dashboards.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(1) Define “access” (e.g. mobile ownership, radio reach) with VNSO/telecom. (2) Add module to household or dedicated ICT survey; use o</w:t>
            </w:r>
            <w:r>
              <w:rPr>
                <w:sz w:val="14"/>
              </w:rPr>
              <w:t xml:space="preserve">fficial population denominators. (3) Report disaggregated estimates to the NSDP platform. </w:t>
            </w:r>
            <w:r>
              <w:rPr>
                <w:sz w:val="14"/>
                <w:highlight w:val="yellow"/>
              </w:rPr>
              <w:t xml:space="preserve">(4) DRMIS: optional choropleth by province if ministry publishes approved tabular extracts and MOU allows display—dashboard is illustrative, not the survey of record.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3.2.3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Knowledge / publications in atmospheric &amp; earth sciences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Bibliometric count; VMGD, USP, research partners; bibliographic database.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>
                <w:highlight w:val="yellow"/>
              </w:rPr>
            </w:pPr>
            <w:r>
              <w:rPr>
                <w:sz w:val="14"/>
              </w:rPr>
              <w:t xml:space="preserve">(1) Agree counting rules (peer-reviewed, grey literature, national authors). (2) VMG</w:t>
            </w:r>
            <w:r>
              <w:rPr>
                <w:sz w:val="14"/>
              </w:rPr>
              <w:t xml:space="preserve">D/USP assign focal points to tag publications annually. (3) Maintain a simple bibliographic database or spreadsheet for verification. </w:t>
            </w:r>
            <w:r>
              <w:rPr>
                <w:sz w:val="14"/>
                <w:highlight w:val="yellow"/>
              </w:rPr>
              <w:t xml:space="preserve">(4) DRMIS: optional link list or tabular index of titles/URLs if ministries want public visibility—not the official count.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3.3.1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Community support plans (coordination, PDRR)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NDMO/provincial planning registers; % communities with approved plans; **DRMIS:** host or link to plan metadata if digitised.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(1) NDMO and provincial offices adopt a single register schema: community ID, island, plan status (draft/approved), approval date, event link. (2) Update after each event or annual cycle</w:t>
            </w:r>
            <w:r>
              <w:rPr>
                <w:sz w:val="14"/>
              </w:rPr>
              <w:t xml:space="preserve">. (3) Official numerator/denominator for NSDP entered on the national platform.</w:t>
            </w:r>
            <w:r>
              <w:rPr>
                <w:sz w:val="14"/>
                <w:highlight w:val="yellow"/>
              </w:rPr>
              <w:t xml:space="preserve"> (4) DRMIS: create TabularDataset or vector boundaries with fields plan_id, status, date; use draft/published workflow; API for partners; RAP/community imports only as approved</w:t>
            </w:r>
            <w:r>
              <w:rPr>
                <w:sz w:val="14"/>
              </w:rPr>
              <w:t xml:space="preserve">.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3.3.2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Disaster/CC-affected communities with durable solutions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Post-event tracking; durable solution criteria (HLP, shelter, livelihoods); **DRMIS:** operational damage/needs layers; **official indicator values: NSDP platform.**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>
                <w:highlight w:val="yellow"/>
              </w:rPr>
            </w:pPr>
            <w:r>
              <w:rPr>
                <w:sz w:val="14"/>
              </w:rPr>
              <w:t xml:space="preserve">(1) With shelter/HL</w:t>
            </w:r>
            <w:r>
              <w:rPr>
                <w:sz w:val="14"/>
              </w:rPr>
              <w:t xml:space="preserve">P cluster, define “durable solution” criteria (e.g. permanent housing, land tenure, livelihood restored). (2) Run post-event survey rounds by community with unique IDs aligned to Area Council boundaries. (3) Track transitions from temporary to durable stat</w:t>
            </w:r>
            <w:r>
              <w:rPr>
                <w:sz w:val="14"/>
              </w:rPr>
              <w:t xml:space="preserve">us over time. (4) Enter verified percentages on the NSDP platform.</w:t>
            </w:r>
            <w:r>
              <w:rPr>
                <w:sz w:val="14"/>
                <w:highlight w:val="yellow"/>
              </w:rPr>
              <w:t xml:space="preserve"> (5) DRMIS: ingest tabular datasets (damage, needs, financial types) and RAP batches by event; province/AC filters; publication_status and audit; GIS join optional—operational evidence only.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3.3.3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National multi-hazard &amp; risk maps for PDNA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**Designate official map products;** MoCCA/NDMO workflow; optional publish layers in DRMIS for operations; metadata &amp; version control; **NSDP M&amp;E and verification: NSDP platform only.**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(1) M</w:t>
            </w:r>
            <w:r>
              <w:rPr>
                <w:sz w:val="14"/>
              </w:rPr>
              <w:t xml:space="preserve">oCCA and NDMO designate one official “national multi-hazard / risk” map product (or suite) for PDNA use: owner, version, CRS, legend, and update cycle in writing. (2) Prepare layers (vector/raster/PMTiles) to agreed specs; clear sensitive areas. (3) </w:t>
            </w:r>
            <w:r>
              <w:rPr>
                <w:sz w:val="14"/>
                <w:highlight w:val="yellow"/>
              </w:rPr>
              <w:t xml:space="preserve">Publis</w:t>
            </w:r>
            <w:r>
              <w:rPr>
                <w:sz w:val="14"/>
                <w:highlight w:val="yellow"/>
              </w:rPr>
              <w:t xml:space="preserve">h to DRMIS with full metadata, titiler params if raster, and publication_status=published</w:t>
            </w:r>
            <w:r>
              <w:rPr>
                <w:sz w:val="14"/>
              </w:rPr>
              <w:t xml:space="preserve"> when cleared. (4) If hosted externally, store WMS/WMTS URL + licence in DRMIS catalogue. (5) NSDP portal progress and verification remain separate from DRMIS hosting.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3.4.1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Public schools using CC &amp; DRR curriculum modules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W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MoET EMIS; school inspection data; curriculum rollout tracking.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3.4.2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Islands covered by CC adaptation / resilience awareness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W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Programme logs (NDMO, NGOs); island-level coverage denominator.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3.5.1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CCA/DRM spend via donor budget support through government systems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W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NAB project finance tracking; MoF on-budget reporting.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3.5.2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Accreditation to climate &amp; disaster finance funds (e.g. AF, GCF)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NAB/DMFU accreditation milestones; external fund requirements.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3.5.3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Volume of external climate/disaster finance for community programmes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Project disbursement tracking; FX and programme classification.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Environment 4 — Environmental protection, land, water, coastal, forests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>
        <w:trPr/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Code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Indicator (summary)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DRMIS role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What is needed (summary)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How to accomplish — detail for P &amp; S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4.1.1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Declared physical planning areas with an approved physical plan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Lands / municipal planning registers; **DRMIS:** optional spatial overlay of declared areas vs plans.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>
                <w:highlight w:val="yellow"/>
              </w:rPr>
            </w:pPr>
            <w:r>
              <w:rPr>
                <w:sz w:val="14"/>
              </w:rPr>
              <w:t xml:space="preserve">(1) Lands and municipal governments maintain authoritative registers of declared planning areas and approved physical plans with unique IDs. (2) Capture or digitise plan boundaries as GIS poly</w:t>
            </w:r>
            <w:r>
              <w:rPr>
                <w:sz w:val="14"/>
              </w:rPr>
              <w:t xml:space="preserve">gons aligned to national CRS. (3) Gap analysis: declared without plan vs plan in place. (4) Official statistics to NSDP platform. </w:t>
            </w:r>
            <w:r>
              <w:rPr>
                <w:sz w:val="14"/>
                <w:highlight w:val="yellow"/>
              </w:rPr>
              <w:t xml:space="preserve">(5) DRMIS: optional VectorDataset layers (province/AC attributes); draft vs published; no replacement for legal land registry.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4.1.2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Directives of national land use planning policy implemented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Policy implementation checklist by agency; periodic assessment.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>
                <w:highlight w:val="yellow"/>
              </w:rPr>
            </w:pPr>
            <w:r>
              <w:rPr>
                <w:sz w:val="14"/>
              </w:rPr>
              <w:t xml:space="preserve">(1) DEPC/Lands agree a checklist of NUPP directives with lead agency per directive. (2) Annu</w:t>
            </w:r>
            <w:r>
              <w:rPr>
                <w:sz w:val="14"/>
              </w:rPr>
              <w:t xml:space="preserve">al self-assessment: status (not started / in progress / complete) and evidence URL or file reference. (3) Aggregate % implemented for portal reporting. </w:t>
            </w:r>
            <w:r>
              <w:rPr>
                <w:sz w:val="14"/>
                <w:highlight w:val="yellow"/>
              </w:rPr>
              <w:t xml:space="preserve">(4) DRMIS: optional attachment of spatial layers cited as evidence where ministries approve publication.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4.2.1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Declared Water Protection Zones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DoW / DEPC register; legal gazettal; **DRMIS:** optional boundary layers.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>
                <w:highlight w:val="yellow"/>
              </w:rPr>
            </w:pPr>
            <w:r>
              <w:rPr>
                <w:sz w:val="14"/>
              </w:rPr>
              <w:t xml:space="preserve">(1) DoW maintains the legal list of Water Protection Zones with g</w:t>
            </w:r>
            <w:r>
              <w:rPr>
                <w:sz w:val="14"/>
              </w:rPr>
              <w:t xml:space="preserve">azettal references and dates. (2) Digitise boundaries from legal descriptions into GIS where possible. (3) Target count (e.g. 6 zones) tracked on NSDP platform. </w:t>
            </w:r>
            <w:r>
              <w:rPr>
                <w:sz w:val="14"/>
                <w:highlight w:val="yellow"/>
              </w:rPr>
              <w:t xml:space="preserve">(4) DRMIS: VectorDataset with attributes gazettal_date, status; security review before publish.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4.2.2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GIS mapping for forest management (significant forest areas)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Forestry / Planning &amp; Mapping Unit; integration with land capability; **DRMIS:** host forest significance layers if national GIS strategy assigns.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>
                <w:highlight w:val="yellow"/>
              </w:rPr>
            </w:pPr>
            <w:r>
              <w:rPr>
                <w:sz w:val="14"/>
              </w:rPr>
              <w:t xml:space="preserve">(1) Forestry and Planning &amp; Mapping Unit produce a national mosaic of “significant forest” consistent with national forest policy. (2) Al</w:t>
            </w:r>
            <w:r>
              <w:rPr>
                <w:sz w:val="14"/>
              </w:rPr>
              <w:t xml:space="preserve">ign with land use capability classes where the framework requires. (3) Update on agreed cycle with change log. </w:t>
            </w:r>
            <w:r>
              <w:rPr>
                <w:sz w:val="14"/>
                <w:highlight w:val="yellow"/>
              </w:rPr>
              <w:t xml:space="preserve">(4) DRMIS: ingest as RasterDataset (Climate) with legend, year, and is_land_cover rules; TiTiler/rescale as needed; assign ownership in metadata.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4.3.1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Mineral extraction complying with EIA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DEPC + mining regulator compliance statistics.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4.4.1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National fishing fleet compliance with RFMOs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Fisheries business plan metrics; licensing and observer data.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4.4.2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Integrated coastal management plans developed &amp; operational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**DRMIS:** coastal datasets and PMTiles support spatial planning; Fisheries + provincial coordination.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>
                <w:highlight w:val="yellow"/>
              </w:rPr>
            </w:pPr>
            <w:r>
              <w:rPr>
                <w:sz w:val="14"/>
              </w:rPr>
              <w:t xml:space="preserve">(1) Fisheries leads the 40-plan (or current target) programme with provincial partners; each plan has adoption date and legal status.</w:t>
            </w:r>
            <w:r>
              <w:rPr>
                <w:sz w:val="14"/>
              </w:rPr>
              <w:t xml:space="preserve"> (2) Operationalise plans with assigned budgets and focal points. </w:t>
            </w:r>
            <w:r>
              <w:rPr>
                <w:sz w:val="14"/>
                <w:highlight w:val="yellow"/>
              </w:rPr>
              <w:t xml:space="preserve">(3) DRMIS: ingest coastal PMTiles/vector for ICM zones where boundaries are cleared; cyclone_name and metadata for events; coordinate with community profile coastal modules if policy allows.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4.5.1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Approved Fisheries Management Plans for designated fisheries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Fisheries department plan register.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4.5.2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Commercial coastal sand mining (ban in 6 sites by 2025)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MoIA / foreshore permits; enforcement reporting.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4.5.3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Places with detailed geo-scientific data collected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Geological survey / coastal studies inventory; **DRMIS:** optional publication of non-sensitive spatial products.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>
                <w:highlight w:val="yellow"/>
              </w:rPr>
            </w:pPr>
            <w:r>
              <w:rPr>
                <w:sz w:val="14"/>
              </w:rPr>
              <w:t xml:space="preserve">(1) Build a national inventory of geo-scientific s</w:t>
            </w:r>
            <w:r>
              <w:rPr>
                <w:sz w:val="14"/>
              </w:rPr>
              <w:t xml:space="preserve">tudies (points or polygons) with study name, year, lead agency, and abstract. (2) Define “100%” target per NSDP methodology. </w:t>
            </w:r>
            <w:r>
              <w:rPr>
                <w:sz w:val="14"/>
                <w:highlight w:val="yellow"/>
              </w:rPr>
              <w:t xml:space="preserve">(3) DRMIS: publish only non-sensitive layers; classify sensitive studies as draft or omit; use publication_status and audit fields.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4.6.1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Annual area of reforestation / rehabilitation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W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Planning &amp; Mapping Unit database; field verification; annual reports.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4.6.2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Forestry licensees within quota / monitoring coverage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W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Forestry compliance system; REDD+ readiness linkage per national plan.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4.7.1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DEPC outreach &amp; provincial offices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W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DEPC annual report activity counts; establishment of 6 provincial offices by 2030.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Environment 5 — Biodiversity, biosecurity, education, data sharing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>
        <w:trPr/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Code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Indicator (summary)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DRMIS role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What is needed (summary)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How to accomplish — detail for P &amp; S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5.1.1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NISSAP / NBSAP targets implementation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DEPC implementation tracking; % activities complete.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5.1.2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Environmental guidelines in place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DEPC guideline register vs target count.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5.2.1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Registered Community Conservation Areas (CCAs)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DEPC / conservation registry.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5.2.2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CCA committees implementing management plans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Site-level reporting; plan adoption tracking.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5.3.1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Population knowledge of local flora &amp; fauna (traditional knowledge baseline)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Survey instrument; cultural knowledge protocols; baseline by 2020 (framework).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5.3.2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Threatened species legally protected (IUCN alignment)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Legislation updates; legal protection list vs IUCN Red List.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5.4.1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Planes &amp; sea vessels cleared through Biosecurity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Biosecurity operational stats; total arrivals denominator.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5.5.1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Model schools implementing environmental programmes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—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MoET programme designation; per-province model school count.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—</w:t>
            </w:r>
            <w:r/>
          </w:p>
        </w:tc>
      </w:tr>
      <w:tr>
        <w:trPr/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ENV 5.6.1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Central information sharing system for environment data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S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6"/>
              </w:rPr>
              <w:t xml:space="preserve">**National architecture decision** (UNDP/GEF and partners); APIs; metadata catalogue; **DRMIS** as hazard/disaster node or federated publisher.</w:t>
            </w:r>
            <w:r/>
          </w:p>
        </w:tc>
        <w:tc>
          <w:tcPr>
            <w:tcBorders/>
            <w:tcW w:w="2909" w:type="dxa"/>
          </w:tcPr>
          <w:p>
            <w:pPr>
              <w:pBdr/>
              <w:spacing w:after="40"/>
              <w:ind/>
              <w:rPr/>
            </w:pPr>
            <w:r>
              <w:rPr>
                <w:sz w:val="14"/>
              </w:rPr>
              <w:t xml:space="preserve">(1) Government adopts a nati</w:t>
            </w:r>
            <w:r>
              <w:rPr>
                <w:sz w:val="14"/>
              </w:rPr>
              <w:t xml:space="preserve">onal architecture for environment data (catalogue service, metadata standard, access policy)—often led by DEPC with UNDP/GEF support. (2) Register authoritative datasets with persistent IDs and licences. (3) Expose APIs or CSW for discovery; avoid duplicat</w:t>
            </w:r>
            <w:r>
              <w:rPr>
                <w:sz w:val="14"/>
              </w:rPr>
              <w:t xml:space="preserve">e master databases. </w:t>
            </w:r>
            <w:r>
              <w:rPr>
                <w:sz w:val="14"/>
                <w:highlight w:val="yellow"/>
              </w:rPr>
              <w:t xml:space="preserve">(4) DRMIS: operate as a **node** publishing hazard/disaster/climate-context datasets with API keys; participate in federated search rather than merging all environment data into one stack. (5) NDMO/MoCCA data governance for DRMIS scope.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DRMIS capabilities (operational reference only)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7272"/>
        <w:gridCol w:w="7272"/>
      </w:tblGrid>
      <w:tr>
        <w:trPr/>
        <w:tc>
          <w:tcPr>
            <w:tcBorders/>
            <w:tcW w:w="7272" w:type="dxa"/>
          </w:tcPr>
          <w:p>
            <w:pPr>
              <w:pBdr/>
              <w:spacing/>
              <w:ind/>
              <w:rPr/>
            </w:pPr>
            <w:r>
              <w:t xml:space="preserve">Clusters + disaster overlay tags</w:t>
            </w:r>
            <w:r/>
          </w:p>
        </w:tc>
        <w:tc>
          <w:tcPr>
            <w:tcBorders/>
            <w:tcW w:w="7272" w:type="dxa"/>
          </w:tcPr>
          <w:p>
            <w:pPr>
              <w:pBdr/>
              <w:spacing/>
              <w:ind/>
              <w:rPr/>
            </w:pPr>
            <w:r>
              <w:t xml:space="preserve">Operational hazard/exposure groupings</w:t>
            </w:r>
            <w:r/>
          </w:p>
        </w:tc>
      </w:tr>
      <w:tr>
        <w:trPr/>
        <w:tc>
          <w:tcPr>
            <w:tcBorders/>
            <w:tcW w:w="7272" w:type="dxa"/>
          </w:tcPr>
          <w:p>
            <w:pPr>
              <w:pBdr/>
              <w:spacing/>
              <w:ind/>
              <w:rPr/>
            </w:pPr>
            <w:r>
              <w:t xml:space="preserve">Province &amp; area council data</w:t>
            </w:r>
            <w:r/>
          </w:p>
        </w:tc>
        <w:tc>
          <w:tcPr>
            <w:tcBorders/>
            <w:tcW w:w="7272" w:type="dxa"/>
          </w:tcPr>
          <w:p>
            <w:pPr>
              <w:pBdr/>
              <w:spacing/>
              <w:ind/>
              <w:rPr/>
            </w:pPr>
            <w:r>
              <w:t xml:space="preserve">Subnational views inside DRMIS</w:t>
            </w:r>
            <w:r/>
          </w:p>
        </w:tc>
      </w:tr>
      <w:tr>
        <w:trPr/>
        <w:tc>
          <w:tcPr>
            <w:tcBorders/>
            <w:tcW w:w="7272" w:type="dxa"/>
          </w:tcPr>
          <w:p>
            <w:pPr>
              <w:pBdr/>
              <w:spacing/>
              <w:ind/>
              <w:rPr/>
            </w:pPr>
            <w:r>
              <w:t xml:space="preserve">Dataset types: baseline, damage, needs, financial</w:t>
            </w:r>
            <w:r/>
          </w:p>
        </w:tc>
        <w:tc>
          <w:tcPr>
            <w:tcBorders/>
            <w:tcW w:w="7272" w:type="dxa"/>
          </w:tcPr>
          <w:p>
            <w:pPr>
              <w:pBdr/>
              <w:spacing/>
              <w:ind/>
              <w:rPr/>
            </w:pPr>
            <w:r>
              <w:t xml:space="preserve">PDNA-style ops data; not NSDP returns</w:t>
            </w:r>
            <w:r/>
          </w:p>
        </w:tc>
      </w:tr>
      <w:tr>
        <w:trPr/>
        <w:tc>
          <w:tcPr>
            <w:tcBorders/>
            <w:tcW w:w="7272" w:type="dxa"/>
          </w:tcPr>
          <w:p>
            <w:pPr>
              <w:pBdr/>
              <w:spacing/>
              <w:ind/>
              <w:rPr/>
            </w:pPr>
            <w:r>
              <w:t xml:space="preserve">Raster / PMTiles / vector</w:t>
            </w:r>
            <w:r/>
          </w:p>
        </w:tc>
        <w:tc>
          <w:tcPr>
            <w:tcBorders/>
            <w:tcW w:w="7272" w:type="dxa"/>
          </w:tcPr>
          <w:p>
            <w:pPr>
              <w:pBdr/>
              <w:spacing/>
              <w:ind/>
              <w:rPr/>
            </w:pPr>
            <w:r>
              <w:t xml:space="preserve">Spatial products; policy parallel to ENV 3/4 only</w:t>
            </w:r>
            <w:r/>
          </w:p>
        </w:tc>
      </w:tr>
      <w:tr>
        <w:trPr/>
        <w:tc>
          <w:tcPr>
            <w:tcBorders/>
            <w:tcW w:w="7272" w:type="dxa"/>
          </w:tcPr>
          <w:p>
            <w:pPr>
              <w:pBdr/>
              <w:spacing/>
              <w:ind/>
              <w:rPr/>
            </w:pPr>
            <w:r>
              <w:t xml:space="preserve">API + integration keys</w:t>
            </w:r>
            <w:r/>
          </w:p>
        </w:tc>
        <w:tc>
          <w:tcPr>
            <w:tcBorders/>
            <w:tcW w:w="7272" w:type="dxa"/>
          </w:tcPr>
          <w:p>
            <w:pPr>
              <w:pBdr/>
              <w:spacing/>
              <w:ind/>
              <w:rPr/>
            </w:pPr>
            <w:r>
              <w:t xml:space="preserve">Partner access to published DRMIS data</w:t>
            </w:r>
            <w:r/>
          </w:p>
        </w:tc>
      </w:tr>
      <w:tr>
        <w:trPr/>
        <w:tc>
          <w:tcPr>
            <w:tcBorders/>
            <w:tcW w:w="7272" w:type="dxa"/>
          </w:tcPr>
          <w:p>
            <w:pPr>
              <w:pBdr/>
              <w:spacing/>
              <w:ind/>
              <w:rPr/>
            </w:pPr>
            <w:r>
              <w:t xml:space="preserve">Publication + audit</w:t>
            </w:r>
            <w:r/>
          </w:p>
        </w:tc>
        <w:tc>
          <w:tcPr>
            <w:tcBorders/>
            <w:tcW w:w="7272" w:type="dxa"/>
          </w:tcPr>
          <w:p>
            <w:pPr>
              <w:pBdr/>
              <w:spacing/>
              <w:ind/>
              <w:rPr/>
            </w:pPr>
            <w:r>
              <w:t xml:space="preserve">DRMIS-internal traceability — not NSDP verification</w:t>
            </w:r>
            <w:r/>
          </w:p>
        </w:tc>
      </w:tr>
    </w:tbl>
    <w:p w14:paraId="0AE219E5">
      <w:pPr>
        <w:pBdr/>
        <w:spacing/>
        <w:ind/>
        <w:rPr/>
      </w:pPr>
      <w:r/>
    </w:p>
    <w:sectPr>
      <w:footnotePr/>
      <w:endnotePr/>
      <w:type w:val="nextPage"/>
      <w:pgSz w:h="12240" w:orient="landscape" w:w="15840"/>
      <w:pgMar w:top="720" w:right="648" w:bottom="720" w:left="64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6C9F02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2026-03-25T03:42:05Z</dcterms:modified>
  <cp:category/>
</cp:coreProperties>
</file>