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/>
      </w:pPr>
      <w:r>
        <w:rPr/>
      </w:r>
    </w:p>
    <w:p>
      <w:pPr>
        <w:pStyle w:val="1"/>
        <w:spacing w:before="240" w:after="0"/>
        <w:rPr/>
      </w:pPr>
      <w:r>
        <w:rPr/>
      </w:r>
    </w:p>
    <w:p>
      <w:pPr>
        <w:pStyle w:val="1"/>
        <w:spacing w:before="240" w:after="0"/>
        <w:rPr/>
      </w:pPr>
      <w:r>
        <w:rPr/>
      </w:r>
    </w:p>
    <w:p>
      <w:pPr>
        <w:pStyle w:val="1"/>
        <w:spacing w:before="240" w:after="0"/>
        <w:rPr/>
      </w:pPr>
      <w:r>
        <w:rPr/>
      </w:r>
    </w:p>
    <w:p>
      <w:pPr>
        <w:pStyle w:val="1"/>
        <w:spacing w:before="240" w:after="0"/>
        <w:rPr/>
      </w:pPr>
      <w:r>
        <w:rPr/>
      </w:r>
    </w:p>
    <w:p>
      <w:pPr>
        <w:pStyle w:val="1"/>
        <w:spacing w:before="240" w:after="0"/>
        <w:rPr/>
      </w:pPr>
      <w:bookmarkStart w:id="0" w:name="_Toc128175170"/>
      <w:r>
        <w:rPr/>
        <w:t>Тенденции на рынке труда</w:t>
      </w:r>
      <w:bookmarkEnd w:id="0"/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>Sadafasafgilwdgallllllllllllllllldalasfavfliawygfwigeiayfy gvalfvafdhavfivyal af a;if gawlb rfaa;fhga;fp;fhigvh/bgabbasf ha./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4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128175170" w:tgtFrame="#_Toc128175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_Toc128175170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Тенденции на рынке труда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128175171" w:tgtFrame="#_Toc128175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_Toc128175171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Экономическая активность населения.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128175172" w:tgtFrame="#_Toc128175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_Toc128175172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Безработица среди мужчин и женщин.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right" w:pos="9345" w:leader="dot"/>
            </w:tabs>
            <w:rPr/>
          </w:pPr>
          <w:hyperlink w:anchor="_Toc128175173" w:tgtFrame="#_Toc128175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_Toc128175173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Занятость, безработица и уровень образования населения.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footerReference w:type="default" r:id="rId2"/>
              <w:type w:val="nextPage"/>
              <w:pgSz w:w="11906" w:h="16838"/>
              <w:pgMar w:left="1701" w:right="850" w:gutter="0" w:header="0" w:top="1134" w:footer="708" w:bottom="1134"/>
              <w:pgNumType w:fmt="decimal"/>
              <w:formProt w:val="false"/>
              <w:titlePg/>
              <w:textDirection w:val="lrTb"/>
              <w:docGrid w:type="default" w:linePitch="360" w:charSpace="0"/>
            </w:sectPr>
          </w:pPr>
        </w:p>
      </w:sdtContent>
    </w:sdt>
    <w:p>
      <w:pPr>
        <w:pStyle w:val="13"/>
        <w:rPr/>
      </w:pPr>
      <w:bookmarkStart w:id="1" w:name="_Toc128175171"/>
      <w:r>
        <w:rPr/>
        <w:t>Экономическая активность населения.</w:t>
      </w:r>
      <w:bookmarkEnd w:id="1"/>
    </w:p>
    <w:p>
      <w:pPr>
        <w:pStyle w:val="Normal"/>
        <w:jc w:val="both"/>
        <w:rPr/>
      </w:pPr>
      <w:r>
        <w:rPr/>
        <w:t> </w:t>
      </w:r>
      <w:r>
        <w:rPr/>
        <w:t>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>
      <w:pPr>
        <w:pStyle w:val="Normal"/>
        <w:jc w:val="both"/>
        <w:rPr/>
      </w:pPr>
      <w:r>
        <w:rPr/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>
      <w:pPr>
        <w:pStyle w:val="13"/>
        <w:rPr/>
      </w:pPr>
      <w:bookmarkStart w:id="2" w:name="_Toc128175172"/>
      <w:r>
        <w:rPr/>
        <w:t>Безработица среди мужчин и женщин.</w:t>
      </w:r>
      <w:bookmarkEnd w:id="2"/>
    </w:p>
    <w:p>
      <w:pPr>
        <w:pStyle w:val="Normal"/>
        <w:jc w:val="both"/>
        <w:rPr/>
      </w:pPr>
      <w:r>
        <w:rPr/>
        <w:t> </w:t>
      </w:r>
      <w:r>
        <w:rPr/>
        <w:t>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>
      <w:pPr>
        <w:pStyle w:val="Normal"/>
        <w:jc w:val="both"/>
        <w:rPr/>
      </w:pPr>
      <w:r>
        <w:rPr/>
        <w:t>В январе 2012г. уровень безработицы среди мужчин составил 6,9% и был на 0,7 процентного пункта выше уровня безработицы среди женщин (6,2%)</w:t>
      </w:r>
      <w:r>
        <w:rPr>
          <w:rStyle w:val="Style13"/>
        </w:rPr>
        <w:footnoteReference w:id="2"/>
      </w:r>
      <w:r>
        <w:rPr/>
        <w:t>.</w:t>
        <w:b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>
      <w:pPr>
        <w:pStyle w:val="Normal"/>
        <w:jc w:val="both"/>
        <w:rPr/>
      </w:pPr>
      <w:r>
        <w:rPr/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>
      <w:pPr>
        <w:pStyle w:val="13"/>
        <w:rPr/>
      </w:pPr>
      <w:bookmarkStart w:id="3" w:name="_Toc128175173"/>
      <w:r>
        <w:rPr/>
        <w:t>Занятость, безработица и уровень образования населения.</w:t>
      </w:r>
      <w:bookmarkEnd w:id="3"/>
    </w:p>
    <w:p>
      <w:pPr>
        <w:pStyle w:val="Normal"/>
        <w:jc w:val="both"/>
        <w:rPr/>
      </w:pPr>
      <w:r>
        <w:rPr/>
        <w:t> </w:t>
      </w:r>
      <w:r>
        <w:rPr/>
        <w:t>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>
      <w:pPr>
        <w:pStyle w:val="Normal"/>
        <w:jc w:val="both"/>
        <w:rPr/>
      </w:pPr>
      <w:r>
        <w:rPr/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>
      <w:pPr>
        <w:pStyle w:val="Normal"/>
        <w:jc w:val="both"/>
        <w:rPr/>
      </w:pPr>
      <w:r>
        <w:rPr/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 составил 81,5%, уровень безработицы</w:t>
      </w:r>
      <w:r>
        <w:rPr>
          <w:rStyle w:val="Style13"/>
        </w:rPr>
        <w:footnoteReference w:id="3"/>
      </w:r>
      <w:r>
        <w:rPr/>
        <w:t> - 3,6%, со средним профессиональным образованием соответственно 73,7% и 5,1%, начальным профессиональным образованием - 73,2% и 6,7%.</w:t>
      </w:r>
      <w:r>
        <w:rPr>
          <w:rStyle w:val="Style13"/>
        </w:rPr>
        <w:footnoteReference w:id="4"/>
      </w:r>
    </w:p>
    <w:p>
      <w:pPr>
        <w:pStyle w:val="Normal"/>
        <w:jc w:val="both"/>
        <w:rPr/>
      </w:pPr>
      <w:r>
        <w:rPr/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7"/>
          <w:footnotePr>
            <w:numFmt w:val="decimal"/>
          </w:footnotePr>
          <w:type w:val="nextPage"/>
          <w:pgSz w:w="11906" w:h="16838"/>
          <w:pgMar w:left="1701" w:right="850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jc w:val="both"/>
        <w:rPr/>
      </w:pPr>
      <w:r>
        <w:rPr/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  <w:r>
        <w:br w:type="page"/>
      </w:r>
    </w:p>
    <w:p>
      <w:pPr>
        <w:pStyle w:val="Normal"/>
        <w:spacing w:lineRule="auto" w:line="240" w:before="0" w:after="0"/>
        <w:ind w:hanging="0"/>
        <w:rPr/>
      </w:pPr>
      <w:r>
        <w:rPr/>
      </w:r>
    </w:p>
    <w:p>
      <w:pPr>
        <w:pStyle w:val="Normal"/>
        <w:jc w:val="both"/>
        <w:rPr/>
      </w:pPr>
      <w:r>
        <w:rPr/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tbl>
      <w:tblPr>
        <w:tblStyle w:val="710"/>
        <w:tblW w:w="11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2196"/>
        <w:gridCol w:w="1477"/>
        <w:gridCol w:w="1913"/>
        <w:gridCol w:w="1584"/>
        <w:gridCol w:w="1584"/>
      </w:tblGrid>
      <w:tr>
        <w:trPr/>
        <w:tc>
          <w:tcPr>
            <w:tcW w:w="2410" w:type="dxa"/>
            <w:vMerge w:val="restart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 </w:t>
            </w:r>
          </w:p>
        </w:tc>
        <w:tc>
          <w:tcPr>
            <w:tcW w:w="2196" w:type="dxa"/>
            <w:vMerge w:val="restart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Экономически активное население, тыс.человек</w:t>
            </w:r>
          </w:p>
        </w:tc>
        <w:tc>
          <w:tcPr>
            <w:tcW w:w="3390" w:type="dxa"/>
            <w:gridSpan w:val="2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В том числе</w:t>
            </w:r>
          </w:p>
        </w:tc>
        <w:tc>
          <w:tcPr>
            <w:tcW w:w="1584" w:type="dxa"/>
            <w:vMerge w:val="restart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Уровень занятости, </w:t>
              <w:br/>
              <w:t>%</w:t>
            </w:r>
          </w:p>
        </w:tc>
        <w:tc>
          <w:tcPr>
            <w:tcW w:w="1584" w:type="dxa"/>
            <w:vMerge w:val="restart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Уровень безработицы,</w:t>
              <w:br/>
              <w:t>%</w:t>
            </w:r>
          </w:p>
        </w:tc>
      </w:tr>
      <w:tr>
        <w:trPr>
          <w:trHeight w:val="315" w:hRule="atLeast"/>
        </w:trPr>
        <w:tc>
          <w:tcPr>
            <w:tcW w:w="2410" w:type="dxa"/>
            <w:vMerge w:val="continue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</w:r>
          </w:p>
        </w:tc>
        <w:tc>
          <w:tcPr>
            <w:tcW w:w="2196" w:type="dxa"/>
            <w:vMerge w:val="continue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занятые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112"/>
              <w:widowControl w:val="false"/>
              <w:spacing w:before="0" w:after="0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безработные</w:t>
            </w:r>
          </w:p>
        </w:tc>
        <w:tc>
          <w:tcPr>
            <w:tcW w:w="1584" w:type="dxa"/>
            <w:vMerge w:val="continue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  <w:tc>
          <w:tcPr>
            <w:tcW w:w="1584" w:type="dxa"/>
            <w:vMerge w:val="continue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Всего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75752,0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70731,8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5020,2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63,8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6,6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   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в том числе по уровню образования:</w:t>
              <w:br/>
              <w:t>высшее и послевузовское </w:t>
              <w:br/>
              <w:t>профессиональное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21671,9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20887,6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784,3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81,5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3,6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      </w:t>
            </w: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из них по группам специальностей: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 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экономика и управление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5513,6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5267,4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246,2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82,9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4,5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образование и педогогика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3769,0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3643,3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125,8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78,5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3,3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гуманитарные науки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2514,1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2401,8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112,3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83,5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4,5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здравоохранение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1388,2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1371,7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16,5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84,0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1,2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строительство и архитектура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1148,2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1112,3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36,0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81,5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энергетика, энергетическое </w:t>
              <w:br/>
              <w:t>машиностроение и </w:t>
              <w:br/>
              <w:t>электротехника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865,3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842,7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22,6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83,6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2,6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сельское и рыбное хозяйство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746,5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711,4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35,0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77,0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4,7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металлургия, машиностроение и</w:t>
              <w:br/>
              <w:t>материалообработка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705,7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684,8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20,9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79,2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3,0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информатика и вычислительная</w:t>
              <w:br/>
              <w:t>техника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588,3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575,1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13,2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92,2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2,2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транспортные средства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578,8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560,8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18,0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84,4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физико-математические </w:t>
              <w:br/>
              <w:t>специальности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447,6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437,6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10,0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84,5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2,2</w:t>
            </w:r>
          </w:p>
        </w:tc>
      </w:tr>
      <w:tr>
        <w:trPr/>
        <w:tc>
          <w:tcPr>
            <w:tcW w:w="2410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электронная техника, </w:t>
              <w:br/>
              <w:t>радиотехника и связь</w:t>
            </w:r>
          </w:p>
        </w:tc>
        <w:tc>
          <w:tcPr>
            <w:tcW w:w="2196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464,3</w:t>
            </w:r>
          </w:p>
        </w:tc>
        <w:tc>
          <w:tcPr>
            <w:tcW w:w="1477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450,1</w:t>
            </w:r>
          </w:p>
        </w:tc>
        <w:tc>
          <w:tcPr>
            <w:tcW w:w="1913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14,2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80,9</w:t>
            </w:r>
          </w:p>
        </w:tc>
        <w:tc>
          <w:tcPr>
            <w:tcW w:w="1584" w:type="dxa"/>
            <w:tcBorders/>
            <w:shd w:color="DBEBD0" w:fill="DBEBD0" w:themeFill="accent6" w:themeFillTint="3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3,1</w:t>
            </w:r>
          </w:p>
        </w:tc>
      </w:tr>
      <w:tr>
        <w:trPr/>
        <w:tc>
          <w:tcPr>
            <w:tcW w:w="2410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b/>
                <w:b/>
                <w:bCs/>
                <w:kern w:val="0"/>
                <w:lang w:val="ru-RU" w:bidi="ar-SA"/>
              </w:rPr>
            </w:pPr>
            <w:r>
              <w:rPr>
                <w:rFonts w:eastAsia="Calibri" w:cs="Times New Roman"/>
                <w:b/>
                <w:bCs/>
                <w:kern w:val="0"/>
                <w:lang w:val="ru-RU" w:bidi="ar-SA"/>
              </w:rPr>
              <w:t>культура и искусство</w:t>
            </w:r>
          </w:p>
        </w:tc>
        <w:tc>
          <w:tcPr>
            <w:tcW w:w="2196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423,1</w:t>
            </w:r>
          </w:p>
        </w:tc>
        <w:tc>
          <w:tcPr>
            <w:tcW w:w="1477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410,3</w:t>
            </w:r>
          </w:p>
        </w:tc>
        <w:tc>
          <w:tcPr>
            <w:tcW w:w="1913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12,7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80,3</w:t>
            </w:r>
          </w:p>
        </w:tc>
        <w:tc>
          <w:tcPr>
            <w:tcW w:w="1584" w:type="dxa"/>
            <w:tcBorders/>
            <w:shd w:color="B7D8A0" w:fill="B7D8A0" w:themeFill="accent6" w:themeFillTint="7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eastAsia="Calibri" w:cs="Times New Roman"/>
                <w:kern w:val="0"/>
                <w:lang w:val="ru-RU" w:bidi="ar-SA"/>
              </w:rPr>
            </w:pPr>
            <w:r>
              <w:rPr>
                <w:rFonts w:eastAsia="Calibri" w:cs="Times New Roman"/>
                <w:kern w:val="0"/>
                <w:lang w:val="ru-RU" w:bidi="ar-SA"/>
              </w:rPr>
              <w:t>3,0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8"/>
      <w:footnotePr>
        <w:numFmt w:val="decimal"/>
      </w:footnotePr>
      <w:type w:val="nextPage"/>
      <w:pgSz w:orient="landscape" w:w="16838" w:h="11906"/>
      <w:pgMar w:left="1134" w:right="1134" w:gutter="0" w:header="0" w:top="850" w:footer="708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 Black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Style25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5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8"/>
        <w:rPr/>
      </w:pPr>
      <w:r>
        <w:rPr>
          <w:rStyle w:val="Style12"/>
        </w:rPr>
        <w:footnoteRef/>
      </w:r>
      <w:r>
        <w:rPr/>
        <w:t xml:space="preserve"> </w:t>
      </w:r>
      <w:r>
        <w:rPr/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  <w:footnote w:id="3">
    <w:p>
      <w:pPr>
        <w:pStyle w:val="Style28"/>
        <w:rPr/>
      </w:pPr>
      <w:r>
        <w:rPr>
          <w:rStyle w:val="Style12"/>
        </w:rPr>
        <w:footnoteRef/>
      </w:r>
      <w:r>
        <w:rPr/>
        <w:t xml:space="preserve"> </w:t>
      </w:r>
      <w:r>
        <w:rPr/>
        <w:t>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4">
    <w:p>
      <w:pPr>
        <w:pStyle w:val="Style28"/>
        <w:rPr/>
      </w:pPr>
      <w:r>
        <w:rPr>
          <w:rStyle w:val="Style12"/>
        </w:rPr>
        <w:footnoteRef/>
      </w:r>
      <w:r>
        <w:rPr/>
        <w:t xml:space="preserve"> </w:t>
      </w:r>
      <w:r>
        <w:rPr/>
        <w:t>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firstLine="737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240" w:after="0"/>
      <w:outlineLvl w:val="0"/>
    </w:pPr>
    <w:rPr>
      <w:rFonts w:ascii="Arial Black" w:hAnsi="Arial Black" w:eastAsia="Calibri Light" w:cs="Calibri Light"/>
      <w:i/>
      <w:color w:val="70AD47" w:themeColor="accent6"/>
      <w:sz w:val="40"/>
      <w:szCs w:val="32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" w:hAnsi="Calibri" w:eastAsia="Calibri Light" w:cs="Calibri Light"/>
      <w:b/>
      <w:i/>
      <w:color w:val="4472C4" w:themeColor="accent1"/>
      <w:sz w:val="32"/>
      <w:szCs w:val="26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5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6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Pr/>
  </w:style>
  <w:style w:type="character" w:styleId="Style7">
    <w:name w:val="Hyperlink"/>
    <w:basedOn w:val="DefaultParagraphFont"/>
    <w:uiPriority w:val="99"/>
    <w:unhideWhenUsed/>
    <w:rPr>
      <w:color w:val="0000FF"/>
      <w:u w:val="single"/>
    </w:rPr>
  </w:style>
  <w:style w:type="character" w:styleId="Style8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Pr>
      <w:rFonts w:ascii="Arial Black" w:hAnsi="Arial Black" w:eastAsia="Calibri Light" w:cs="Calibri Light"/>
      <w:i/>
      <w:color w:val="70AD47" w:themeColor="accent6"/>
      <w:sz w:val="40"/>
      <w:szCs w:val="32"/>
      <w:lang w:eastAsia="en-US"/>
    </w:rPr>
  </w:style>
  <w:style w:type="character" w:styleId="21" w:customStyle="1">
    <w:name w:val="Заголовок 2 Знак"/>
    <w:basedOn w:val="DefaultParagraphFont"/>
    <w:uiPriority w:val="9"/>
    <w:qFormat/>
    <w:rPr>
      <w:rFonts w:ascii="Calibri" w:hAnsi="Calibri" w:eastAsia="Calibri Light" w:cs="Calibri Light"/>
      <w:b/>
      <w:i/>
      <w:color w:val="4472C4" w:themeColor="accent1"/>
      <w:sz w:val="32"/>
      <w:szCs w:val="26"/>
      <w:lang w:eastAsia="en-US"/>
    </w:rPr>
  </w:style>
  <w:style w:type="character" w:styleId="12" w:customStyle="1">
    <w:name w:val="Таблица1 Знак"/>
    <w:basedOn w:val="21"/>
    <w:qFormat/>
    <w:rPr>
      <w:rFonts w:ascii="Calibri" w:hAnsi="Calibri" w:eastAsia="Calibri Light" w:cs="Calibri Light"/>
      <w:b/>
      <w:i/>
      <w:color w:val="4472C4" w:themeColor="accent1"/>
      <w:sz w:val="32"/>
      <w:szCs w:val="26"/>
      <w:lang w:eastAsia="en-US"/>
    </w:rPr>
  </w:style>
  <w:style w:type="character" w:styleId="111" w:customStyle="1">
    <w:name w:val="Таблица1Стиль1 Знак"/>
    <w:basedOn w:val="DefaultParagraphFont"/>
    <w:qFormat/>
    <w:rPr>
      <w:rFonts w:ascii="Times New Roman" w:hAnsi="Times New Roman"/>
      <w:sz w:val="28"/>
      <w:szCs w:val="22"/>
      <w:lang w:eastAsia="en-US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  <w:szCs w:val="22"/>
      <w:lang w:eastAsia="en-US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  <w:szCs w:val="22"/>
      <w:lang w:eastAsia="en-US"/>
    </w:rPr>
  </w:style>
  <w:style w:type="character" w:styleId="Style11" w:customStyle="1">
    <w:name w:val="Текст сноски Знак"/>
    <w:basedOn w:val="DefaultParagraphFont"/>
    <w:uiPriority w:val="99"/>
    <w:semiHidden/>
    <w:qFormat/>
    <w:rPr>
      <w:rFonts w:ascii="Times New Roman" w:hAnsi="Times New Roman"/>
      <w:lang w:eastAsia="en-US"/>
    </w:rPr>
  </w:style>
  <w:style w:type="character" w:styleId="Style12">
    <w:name w:val="Символ сноски"/>
    <w:uiPriority w:val="99"/>
    <w:semiHidden/>
    <w:unhideWhenUsed/>
    <w:qFormat/>
    <w:rPr>
      <w:vertAlign w:val="superscript"/>
    </w:rPr>
  </w:style>
  <w:style w:type="character" w:styleId="Style13">
    <w:name w:val="Footnote Reference"/>
    <w:rPr>
      <w:vertAlign w:val="superscript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0"/>
      <w:szCs w:val="20"/>
      <w:lang w:val="ru-RU" w:eastAsia="ru-RU" w:bidi="ar-SA"/>
    </w:rPr>
  </w:style>
  <w:style w:type="paragraph" w:styleId="Style20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1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0"/>
      <w:ind w:left="720" w:right="720" w:hanging="0"/>
    </w:pPr>
    <w:rPr>
      <w:i/>
    </w:rPr>
  </w:style>
  <w:style w:type="paragraph" w:styleId="Style22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eastAsia="Times New Roman"/>
      <w:sz w:val="24"/>
      <w:szCs w:val="24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3" w:customStyle="1">
    <w:name w:val="Таблица1"/>
    <w:basedOn w:val="2"/>
    <w:qFormat/>
    <w:pPr/>
    <w:rPr/>
  </w:style>
  <w:style w:type="paragraph" w:styleId="112" w:customStyle="1">
    <w:name w:val="Таблица1Стиль1"/>
    <w:basedOn w:val="Normal"/>
    <w:qFormat/>
    <w:pPr>
      <w:spacing w:lineRule="auto" w:line="240" w:before="0" w:after="0"/>
      <w:jc w:val="both"/>
    </w:pPr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Index Heading"/>
    <w:basedOn w:val="Style15"/>
    <w:pPr/>
    <w:rPr/>
  </w:style>
  <w:style w:type="paragraph" w:styleId="Style27">
    <w:name w:val="TOC Heading"/>
    <w:basedOn w:val="1"/>
    <w:uiPriority w:val="39"/>
    <w:unhideWhenUsed/>
    <w:qFormat/>
    <w:pPr>
      <w:spacing w:lineRule="auto" w:line="259"/>
      <w:ind w:hanging="0"/>
      <w:outlineLvl w:val="9"/>
    </w:pPr>
    <w:rPr>
      <w:rFonts w:ascii="Calibri Light" w:hAnsi="Calibri Light"/>
      <w:i w:val="false"/>
      <w:color w:val="2F5496" w:themeColor="accent1" w:themeShade="bf"/>
      <w:sz w:val="32"/>
      <w:lang w:eastAsia="ru-RU"/>
    </w:rPr>
  </w:style>
  <w:style w:type="paragraph" w:styleId="14">
    <w:name w:val="TOC 1"/>
    <w:basedOn w:val="Normal"/>
    <w:uiPriority w:val="39"/>
    <w:unhideWhenUsed/>
    <w:pPr>
      <w:spacing w:before="0" w:after="100"/>
    </w:pPr>
    <w:rPr/>
  </w:style>
  <w:style w:type="paragraph" w:styleId="22">
    <w:name w:val="TOC 2"/>
    <w:basedOn w:val="Normal"/>
    <w:uiPriority w:val="39"/>
    <w:unhideWhenUsed/>
    <w:pPr>
      <w:spacing w:before="0" w:after="100"/>
      <w:ind w:left="280" w:firstLine="737"/>
    </w:pPr>
    <w:rPr/>
  </w:style>
  <w:style w:type="paragraph" w:styleId="Style28">
    <w:name w:val="Footnote Text"/>
    <w:basedOn w:val="Normal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LibreOffice/7.4.5.1$Windows_X86_64 LibreOffice_project/9c0871452b3918c1019dde9bfac75448afc4b57f</Application>
  <AppVersion>15.0000</AppVersion>
  <Pages>10</Pages>
  <Words>928</Words>
  <Characters>5949</Characters>
  <CharactersWithSpaces>6779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dc:description/>
  <dc:language>ru-RU</dc:language>
  <cp:lastModifiedBy/>
  <dcterms:modified xsi:type="dcterms:W3CDTF">2023-02-25T09:45:57Z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