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i w:val="0"/>
          <w:sz w:val="28"/>
        </w:rPr>
        <w:t>¿Cura la diabetes? Avances y desafíos del trasplante de islotes pancreáticos y la selección de candidatos a partir de datos reales de monitoreo continuo de glucosa</w:t>
      </w:r>
    </w:p>
    <w:p>
      <w:pPr>
        <w:spacing w:after="200"/>
        <w:jc w:val="center"/>
      </w:pPr>
      <w:r>
        <w:rPr>
          <w:rFonts w:ascii="Times New Roman" w:hAnsi="Times New Roman" w:eastAsia="Times New Roman"/>
          <w:b w:val="0"/>
          <w:i/>
          <w:sz w:val="22"/>
        </w:rPr>
        <w:t>Does It Cure Diabetes? Advances and Challenges of Pancreatic Islet Transplantation and Candidate Selection Using Real-World Continuous Glucose Monitoring Data</w:t>
      </w:r>
    </w:p>
    <w:p>
      <w:pPr>
        <w:spacing w:after="40"/>
        <w:jc w:val="center"/>
      </w:pPr>
      <w:r>
        <w:rPr>
          <w:rFonts w:ascii="Times New Roman" w:hAnsi="Times New Roman" w:eastAsia="Times New Roman"/>
          <w:b w:val="0"/>
          <w:i w:val="0"/>
          <w:sz w:val="22"/>
        </w:rPr>
        <w:t>Magali Bolivar, María Florencia Rossi, Matías Montiel, Nestor Balich, Franco Balich</w:t>
      </w:r>
    </w:p>
    <w:p>
      <w:pPr>
        <w:spacing w:after="0"/>
        <w:jc w:val="center"/>
      </w:pPr>
      <w:r>
        <w:rPr>
          <w:rFonts w:ascii="Times New Roman" w:hAnsi="Times New Roman" w:eastAsia="Times New Roman"/>
          <w:b w:val="0"/>
          <w:i w:val="0"/>
          <w:sz w:val="22"/>
        </w:rPr>
        <w:t>CAETI - Centro de Altos Estudios en Tecnología Informática</w:t>
      </w:r>
    </w:p>
    <w:p>
      <w:pPr>
        <w:spacing w:after="0"/>
        <w:jc w:val="center"/>
      </w:pPr>
      <w:r>
        <w:rPr>
          <w:rFonts w:ascii="Times New Roman" w:hAnsi="Times New Roman" w:eastAsia="Times New Roman"/>
          <w:b w:val="0"/>
          <w:i w:val="0"/>
          <w:sz w:val="22"/>
        </w:rPr>
        <w:t>Universidad Abierta Interamericana. Informática (UAI)</w:t>
      </w:r>
    </w:p>
    <w:p>
      <w:pPr>
        <w:spacing w:after="40"/>
        <w:jc w:val="center"/>
      </w:pPr>
      <w:r>
        <w:rPr>
          <w:rFonts w:ascii="Times New Roman" w:hAnsi="Times New Roman" w:eastAsia="Times New Roman"/>
          <w:b w:val="0"/>
          <w:i w:val="0"/>
          <w:sz w:val="22"/>
        </w:rPr>
        <w:t>Montes de Oca 745. Ciudad Autónoma de Buenos Aires, Argentina.</w:t>
      </w:r>
    </w:p>
    <w:p>
      <w:pPr>
        <w:spacing w:after="0"/>
        <w:jc w:val="center"/>
      </w:pPr>
      <w:r>
        <w:rPr>
          <w:rFonts w:ascii="Times New Roman" w:hAnsi="Times New Roman" w:eastAsia="Times New Roman"/>
          <w:b w:val="0"/>
          <w:i/>
          <w:sz w:val="22"/>
        </w:rPr>
        <w:t>{MagaliFlorencia.BolivarCruz, MariaFlorencia.Rossi, MatiasNicolas.MontielTorres}@alumnos.uai.edu.ar</w:t>
      </w:r>
    </w:p>
    <w:p>
      <w:pPr>
        <w:spacing w:after="200"/>
        <w:jc w:val="center"/>
      </w:pPr>
      <w:r>
        <w:rPr>
          <w:rFonts w:ascii="Times New Roman" w:hAnsi="Times New Roman" w:eastAsia="Times New Roman"/>
          <w:b w:val="0"/>
          <w:i/>
          <w:sz w:val="22"/>
        </w:rPr>
        <w:t>{nestor.balich, francoadrian.balich}@uai.edu.ar</w:t>
      </w:r>
    </w:p>
    <w:p>
      <w:pPr>
        <w:spacing w:before="240" w:after="120"/>
        <w:jc w:val="left"/>
      </w:pPr>
      <w:r>
        <w:rPr>
          <w:rFonts w:ascii="Times New Roman" w:hAnsi="Times New Roman" w:eastAsia="Times New Roman"/>
          <w:b/>
          <w:i w:val="0"/>
          <w:sz w:val="24"/>
        </w:rPr>
        <w:t>Resumen</w:t>
      </w:r>
    </w:p>
    <w:p>
      <w:pPr>
        <w:spacing w:after="120"/>
        <w:jc w:val="both"/>
      </w:pPr>
      <w:r>
        <w:rPr>
          <w:rFonts w:ascii="Times New Roman" w:hAnsi="Times New Roman" w:eastAsia="Times New Roman"/>
          <w:b w:val="0"/>
          <w:i/>
          <w:sz w:val="22"/>
        </w:rPr>
        <w:t>El trasplante de islotes pancreáticos promete algo que hasta hace poco parecía inalcanzable: liberar de la insulina a una persona con diabetes tipo 1. El Protocolo Edmonton y, más recientemente, inmunoterapias como el tegoprubart han acercado esa promesa, pero a un costo —la inmunosupresión de por vida— que solo se justifica en los casos más graves: quienes sufren hipoglucemias severas e inadvertidas y una glucemia verdaderamente inestable. La pregunta práctica, entonces, no es solo si el trasplante cura, sino a quién conviene ofrecérselo. Este trabajo la aborda con datos reales: se procesaron 14,8 millones de lecturas de monitoreo continuo de glucosa (CGM) de 226 adultos con diabetes tipo 1 del estudio REPLACE-BG y, a partir de la señal cruda, se reconstruyeron las métricas del consenso internacional —variabilidad, tiempo en rango y tiempo en hipoglucemia— para traducir la 'labilidad' clínica en criterios objetivos y reproducibles. Aunque el mal control resultó frecuente —dos de cada tres pacientes con variabilidad alta o tiempo en rango insuficiente—, solo el 3,5 % reunió el perfil completo que justificaría evaluar un trasplante. Además, la hipoglucemia inadvertida se asoció con los años de enfermedad y la edad, y no con las métricas de glucosa del momento, lo que sugiere que la decisión no puede apoyarse únicamente en el CGM reciente. El resultado es una herramienta objetiva y reproducible para priorizar a los candidatos, que respalda con números la necesidad de una selección estricta.</w:t>
      </w:r>
    </w:p>
    <w:p>
      <w:pPr>
        <w:spacing w:after="120"/>
        <w:jc w:val="both"/>
      </w:pPr>
      <w:r>
        <w:rPr>
          <w:rFonts w:ascii="Times New Roman" w:hAnsi="Times New Roman" w:eastAsia="Times New Roman"/>
          <w:b/>
          <w:i w:val="0"/>
          <w:sz w:val="22"/>
        </w:rPr>
        <w:t xml:space="preserve">Palabras clave: </w:t>
      </w:r>
      <w:r>
        <w:rPr>
          <w:rFonts w:ascii="Times New Roman" w:hAnsi="Times New Roman" w:eastAsia="Times New Roman"/>
          <w:b w:val="0"/>
          <w:i/>
          <w:sz w:val="22"/>
        </w:rPr>
        <w:t>trasplante de islotes; diabetes tipo 1; monitoreo continuo de glucosa; labilidad glucémica; estratificación de candidatos; ciencia de datos.</w:t>
      </w:r>
    </w:p>
    <w:p>
      <w:pPr>
        <w:spacing w:before="240" w:after="120"/>
        <w:jc w:val="left"/>
      </w:pPr>
      <w:r>
        <w:rPr>
          <w:rFonts w:ascii="Times New Roman" w:hAnsi="Times New Roman" w:eastAsia="Times New Roman"/>
          <w:b/>
          <w:i w:val="0"/>
          <w:sz w:val="24"/>
        </w:rPr>
        <w:t>Abstract</w:t>
      </w:r>
    </w:p>
    <w:p>
      <w:pPr>
        <w:spacing w:after="120"/>
        <w:jc w:val="both"/>
      </w:pPr>
      <w:r>
        <w:rPr>
          <w:rFonts w:ascii="Times New Roman" w:hAnsi="Times New Roman" w:eastAsia="Times New Roman"/>
          <w:b w:val="0"/>
          <w:i/>
          <w:sz w:val="22"/>
        </w:rPr>
        <w:t>Pancreatic islet transplantation offers something long thought out of reach: freeing a person with type 1 diabetes from insulin. The Edmonton Protocol and, more recently, immunotherapies such as tegoprubart have brought that promise closer, but at a cost —lifelong immunosuppression— that is only justified in the most severe cases: patients with severe, impaired-awareness hypoglycemia and truly unstable glucose. The practical question is therefore not only whether transplantation cures, but for whom it is worth it. We address it with real data: we processed 14.8 million continuous glucose monitoring (CGM) readings from 226 adults with type 1 diabetes in the REPLACE-BG study and, from the raw signal, reconstructed the international-consensus metrics —variability, time in range and time in hypoglycemia— to turn clinical 'lability' into objective, reproducible criteria. Although poor control was common —two of every three patients had high variability or insufficient time in range— only 3.5% met the full profile that would justify evaluating a transplant. Moreover, impaired awareness of hypoglycemia was associated with disease duration and age rather than current glucose metrics, suggesting the decision cannot rest on recent CGM alone. The result is an objective, reproducible tool to prioritize candidates that quantitatively supports strict selection.</w:t>
      </w:r>
    </w:p>
    <w:p>
      <w:pPr>
        <w:spacing w:after="120"/>
        <w:jc w:val="both"/>
      </w:pPr>
      <w:r>
        <w:rPr>
          <w:rFonts w:ascii="Times New Roman" w:hAnsi="Times New Roman" w:eastAsia="Times New Roman"/>
          <w:b/>
          <w:i/>
          <w:sz w:val="22"/>
        </w:rPr>
        <w:t xml:space="preserve">Keywords: </w:t>
      </w:r>
      <w:r>
        <w:rPr>
          <w:rFonts w:ascii="Times New Roman" w:hAnsi="Times New Roman" w:eastAsia="Times New Roman"/>
          <w:b w:val="0"/>
          <w:i/>
          <w:sz w:val="22"/>
        </w:rPr>
        <w:t>islet transplantation; type 1 diabetes; continuous glucose monitoring; glycemic lability; candidate stratification; data science.</w:t>
      </w:r>
    </w:p>
    <w:p>
      <w:pPr>
        <w:spacing w:before="240" w:after="120"/>
        <w:jc w:val="left"/>
      </w:pPr>
      <w:r>
        <w:rPr>
          <w:rFonts w:ascii="Times New Roman" w:hAnsi="Times New Roman" w:eastAsia="Times New Roman"/>
          <w:b/>
          <w:i w:val="0"/>
          <w:sz w:val="24"/>
        </w:rPr>
        <w:t>1. Introducción</w:t>
      </w:r>
    </w:p>
    <w:p>
      <w:pPr>
        <w:spacing w:after="120"/>
        <w:ind w:firstLine="283"/>
        <w:jc w:val="both"/>
      </w:pPr>
      <w:r>
        <w:rPr>
          <w:rFonts w:ascii="Times New Roman" w:hAnsi="Times New Roman" w:eastAsia="Times New Roman"/>
          <w:b w:val="0"/>
          <w:i w:val="0"/>
          <w:sz w:val="22"/>
        </w:rPr>
        <w:t>La diabetes mellitus tipo 1 (DM1) se caracteriza por la destrucción autoinmune de las células beta pancreáticas, lo que genera una dependencia absoluta de la insulina exógena. Pese a los avances en insulinoterapia y en tecnología de administración, una subpoblación de pacientes experimenta labilidad glucémica extrema, con hipoglucemias severas recurrentes e hipoglucemia inadvertida —un síndrome de falla autonómica que eleva de forma drástica la morbimortalidad—. En este escenario, el trasplante alogénico de islotes pancreáticos ha emergido como una intervención capaz de restaurar la masa de células beta y la homeostasis glucémica [1], [2].</w:t>
      </w:r>
    </w:p>
    <w:p>
      <w:pPr>
        <w:spacing w:after="120"/>
        <w:ind w:firstLine="283"/>
        <w:jc w:val="both"/>
      </w:pPr>
      <w:r>
        <w:rPr>
          <w:rFonts w:ascii="Times New Roman" w:hAnsi="Times New Roman" w:eastAsia="Times New Roman"/>
          <w:b w:val="0"/>
          <w:i w:val="0"/>
          <w:sz w:val="22"/>
        </w:rPr>
        <w:t>Sin embargo, el trasplante exige inmunosupresión crónica (habitualmente tacrolimus y sirolimus) con riesgo de nefrotoxicidad, infecciones y neoplasias, por lo que se reserva para pacientes con inestabilidad metabólica severa. Ensayos recientes con tegoprubart, un anticuerpo monoclonal anti-CD40L, muestran resultados prometedores en independencia de insulina con menor toxicidad [3], [4], pero no eliminan la premisa central: la relación riesgo-beneficio solo es favorable en pacientes cuidadosamente seleccionados. Como concluye la literatura, en pacientes con buen control metabólico y baja variabilidad glucémica el procedimiento presenta más riesgos que beneficios.</w:t>
      </w:r>
    </w:p>
    <w:p>
      <w:pPr>
        <w:spacing w:after="120"/>
        <w:ind w:firstLine="283"/>
        <w:jc w:val="both"/>
      </w:pPr>
      <w:r>
        <w:rPr>
          <w:rFonts w:ascii="Times New Roman" w:hAnsi="Times New Roman" w:eastAsia="Times New Roman"/>
          <w:b w:val="0"/>
          <w:i w:val="0"/>
          <w:sz w:val="22"/>
        </w:rPr>
        <w:t>La selección de candidatos, no obstante, se apoya con frecuencia en criterios clínicos cualitativos. El monitoreo continuo de glucosa (CGM) permite cuantificar de manera objetiva la variabilidad y la exposición a hipoglucemia. El objetivo de este trabajo es construir, con datos reales y un pipeline reproducible, una estratificación objetiva de candidatos a trasplante de islotes, cuantificando en una población de DM1 la prevalencia de los criterios de labilidad glucémica que definen la indicación.</w:t>
      </w:r>
    </w:p>
    <w:p>
      <w:pPr>
        <w:spacing w:after="120"/>
        <w:ind w:firstLine="283"/>
        <w:jc w:val="both"/>
      </w:pPr>
      <w:r>
        <w:rPr>
          <w:rFonts w:ascii="Times New Roman" w:hAnsi="Times New Roman" w:eastAsia="Times New Roman"/>
          <w:b w:val="0"/>
          <w:i w:val="0"/>
          <w:sz w:val="22"/>
        </w:rPr>
        <w:t>El desafío no es menor del lado de los datos. Trabajar con casi 15 millones de registros de sensor obliga a procesarlos en flujo, sin cargarlos enteros en memoria, y a reconstruir a partir de la señal cruda las variables clínicas que realmente importan; recién sobre esa base tiene sentido buscar patrones y modelar el riesgo. Ese recorrido —de la señal al criterio de candidatura— se documentó de principio a fin para que cualquier equipo pueda repetirlo y auditarlo, y se concibió como apoyo a la decisión clínica: una herramienta que ordena la evidencia, no que reemplaza el juicio del profesional.</w:t>
      </w:r>
    </w:p>
    <w:p>
      <w:pPr>
        <w:spacing w:before="240" w:after="120"/>
        <w:jc w:val="left"/>
      </w:pPr>
      <w:r>
        <w:rPr>
          <w:rFonts w:ascii="Times New Roman" w:hAnsi="Times New Roman" w:eastAsia="Times New Roman"/>
          <w:b/>
          <w:i w:val="0"/>
          <w:sz w:val="24"/>
        </w:rPr>
        <w:t>2. Marco conceptual</w:t>
      </w:r>
    </w:p>
    <w:p>
      <w:pPr>
        <w:spacing w:after="120"/>
        <w:ind w:firstLine="283"/>
        <w:jc w:val="both"/>
      </w:pPr>
      <w:r>
        <w:rPr>
          <w:rFonts w:ascii="Times New Roman" w:hAnsi="Times New Roman" w:eastAsia="Times New Roman"/>
          <w:b w:val="0"/>
          <w:i w:val="0"/>
          <w:sz w:val="22"/>
        </w:rPr>
        <w:t>El Protocolo Edmonton estableció la viabilidad del trasplante de islotes con un régimen inmunosupresor libre de glucocorticoides [1] y fue validado en un ensayo internacional multicéntrico [2]. Su indicación se reserva para la DM1 con hipoglucemias severas e inadvertidas y labilidad metabólica [5], [6]. Los ensayos de fase 3 del Clinical Islet Transplantation Consortium [7] y protocolos como el de la Universidad de Illinois para la 'brittle diabetes' [8] consolidaron su eficacia sobre la hipoglucemia, aunque la toxicidad inmunosupresora y la escasez de donantes siguen limitando su alcance [9], [10].</w:t>
      </w:r>
    </w:p>
    <w:p>
      <w:pPr>
        <w:spacing w:after="120"/>
        <w:ind w:firstLine="283"/>
        <w:jc w:val="both"/>
      </w:pPr>
      <w:r>
        <w:rPr>
          <w:rFonts w:ascii="Times New Roman" w:hAnsi="Times New Roman" w:eastAsia="Times New Roman"/>
          <w:b w:val="0"/>
          <w:i w:val="0"/>
          <w:sz w:val="22"/>
        </w:rPr>
        <w:t>La hipoglucemia inadvertida (impaired awareness of hypoglycemia, IAH) —la pérdida de los síntomas de alarma— es el eje de la indicación: multiplica el riesgo de hipoglucemia severa. Por su parte, el consenso internacional sobre interpretación del CGM [11] define objetivos estandarizados: tiempo en rango (TIR 70–180 mg/dL) ≥ 70%, tiempo por debajo de rango (TBR &lt;54 mg/dL) &lt; 1% y coeficiente de variación (%CV) &lt; 36% como umbral de estabilidad glucémica. Estas métricas permiten traducir la 'labilidad' clínica en variables objetivas y reproducibles, base de la estratificación que se propone.</w:t>
      </w:r>
    </w:p>
    <w:p>
      <w:pPr>
        <w:spacing w:after="120"/>
        <w:ind w:firstLine="283"/>
        <w:jc w:val="both"/>
      </w:pPr>
      <w:r>
        <w:rPr>
          <w:rFonts w:ascii="Times New Roman" w:hAnsi="Times New Roman" w:eastAsia="Times New Roman"/>
          <w:b w:val="0"/>
          <w:i w:val="0"/>
          <w:sz w:val="22"/>
        </w:rPr>
        <w:t>El principal obstáculo del trasplante es la toxicidad de la inmunosupresión crónica. Para superarlo, los ensayos de Eledon Pharmaceuticals (2024–2026) evaluaron el tegoprubart, un anticuerpo monoclonal anti-CD40L que bloquea la coestimulación linfocitaria: en un estudio piloto con 12 adultos, la totalidad alcanzó independencia de insulina con HbA1c inferior al 6,0% y buena tolerancia, sin nefrotoxicidad ni infecciones oportunistas [3], [4]. Persisten, sin embargo, limitaciones como la necesidad de infusiones intravenosas periódicas, la escasez de donantes y un seguimiento a largo plazo aún en curso. En la Argentina, el procedimiento se enmarca en la normativa del INCUCAI y se reserva para casos de DM1 con inestabilidad metabólica severa, lo que vuelve crítica una estratificación objetiva de candidatos y el abordaje por equipos multidisciplinarios. En este contexto, disponer de una herramienta cuantitativa y reproducible para priorizar la evaluación pretrasplante adquiere particular relevancia.</w:t>
      </w:r>
    </w:p>
    <w:p>
      <w:pPr>
        <w:spacing w:before="240" w:after="120"/>
        <w:jc w:val="left"/>
      </w:pPr>
      <w:r>
        <w:rPr>
          <w:rFonts w:ascii="Times New Roman" w:hAnsi="Times New Roman" w:eastAsia="Times New Roman"/>
          <w:b/>
          <w:i w:val="0"/>
          <w:sz w:val="24"/>
        </w:rPr>
        <w:t>3. Metodología</w:t>
      </w:r>
    </w:p>
    <w:p>
      <w:pPr>
        <w:spacing w:before="160" w:after="80"/>
        <w:jc w:val="left"/>
      </w:pPr>
      <w:r>
        <w:rPr>
          <w:rFonts w:ascii="Times New Roman" w:hAnsi="Times New Roman" w:eastAsia="Times New Roman"/>
          <w:b/>
          <w:i w:val="0"/>
          <w:sz w:val="24"/>
        </w:rPr>
        <w:t>3.1. Datos</w:t>
      </w:r>
    </w:p>
    <w:p>
      <w:pPr>
        <w:spacing w:after="120"/>
        <w:jc w:val="both"/>
      </w:pPr>
      <w:r>
        <w:rPr>
          <w:rFonts w:ascii="Times New Roman" w:hAnsi="Times New Roman" w:eastAsia="Times New Roman"/>
          <w:b w:val="0"/>
          <w:i w:val="0"/>
          <w:sz w:val="22"/>
        </w:rPr>
        <w:t>Se utilizó el conjunto de datos público REPLACE-BG [12] (Jaeb Center for Health Research), un ensayo clínico aleatorizado en 226 adultos con DM1 de larga data y buen control basal (HbA1c 6,4–9,0%). El dataset incluye el registro completo de CGM (14,8 millones de lecturas), datos de cribado (demografía, antecedentes), determinaciones de HbA1c y cuestionarios de percepción de hipoglucemia. El acceso es de descarga directa para investigación.</w:t>
      </w:r>
    </w:p>
    <w:p>
      <w:pPr>
        <w:spacing w:before="160" w:after="80"/>
        <w:jc w:val="left"/>
      </w:pPr>
      <w:r>
        <w:rPr>
          <w:rFonts w:ascii="Times New Roman" w:hAnsi="Times New Roman" w:eastAsia="Times New Roman"/>
          <w:b/>
          <w:i w:val="0"/>
          <w:sz w:val="24"/>
        </w:rPr>
        <w:t>3.2. Métricas de monitoreo continuo de glucosa</w:t>
      </w:r>
    </w:p>
    <w:p>
      <w:pPr>
        <w:spacing w:after="120"/>
        <w:jc w:val="both"/>
      </w:pPr>
      <w:r>
        <w:rPr>
          <w:rFonts w:ascii="Times New Roman" w:hAnsi="Times New Roman" w:eastAsia="Times New Roman"/>
          <w:b w:val="0"/>
          <w:i w:val="0"/>
          <w:sz w:val="22"/>
        </w:rPr>
        <w:t>A partir del archivo crudo de CGM se calcularon, por paciente, las métricas del consenso internacional [11]: glucosa media, coeficiente de variación (%CV = desvío estándar / media), indicador de gestión de la glucosa (GMI), tiempo en rango (TIR 70–180 mg/dL), tiempo por debajo de rango (TBR &lt;70 y &lt;54 mg/dL) y tiempo por encima de rango (TAR &gt;180 y &gt;250 mg/dL). El procesamiento se realizó en flujo (streaming) sobre el archivo de 837 MB, acumulando estadísticos sin cargarlo íntegramente en memoria, lo que garantiza la reproducibilidad y la escalabilidad del pipeline (Python, pandas).</w:t>
      </w:r>
    </w:p>
    <w:p>
      <w:pPr>
        <w:spacing w:before="160" w:after="80"/>
        <w:jc w:val="left"/>
      </w:pPr>
      <w:r>
        <w:rPr>
          <w:rFonts w:ascii="Times New Roman" w:hAnsi="Times New Roman" w:eastAsia="Times New Roman"/>
          <w:b/>
          <w:i w:val="0"/>
          <w:sz w:val="24"/>
        </w:rPr>
        <w:t>3.3. Criterios de candidatura y análisis</w:t>
      </w:r>
    </w:p>
    <w:p>
      <w:pPr>
        <w:spacing w:after="120"/>
        <w:jc w:val="both"/>
      </w:pPr>
      <w:r>
        <w:rPr>
          <w:rFonts w:ascii="Times New Roman" w:hAnsi="Times New Roman" w:eastAsia="Times New Roman"/>
          <w:b w:val="0"/>
          <w:i w:val="0"/>
          <w:sz w:val="22"/>
        </w:rPr>
        <w:t>Los criterios de la indicación de trasplante se operacionalizaron combinando los cuestionarios y las métricas de CGM: (i) hipoglucemia inadvertida (IAH), definida por la pérdida de los síntomas de alarma; (ii) variabilidad glucémica alta (%CV ≥ 36%); (iii) exposición excesiva a hipoglucemia (TBR &lt;54 &gt; 1%); y (iv) tiempo en rango insuficiente (TIR &lt; 70%). El perfil de labilidad glucémica —proxy de la candidatura de Edmonton— se definió como la coexistencia de hipoglucemia inadvertida y exposición excesiva a hipoglucemia. El análisis incluyó estadística descriptiva, comparación entre subgrupos (prueba t de Welch), segmentación no supervisada de fenotipos glucémicos mediante estandarización, PCA y K-Means (k=3) con scikit-learn [13], y una regresión logística de la hipoglucemia inadvertida con statsmodels [14], en función de las métricas de CGM, la duración de la enfermedad y la edad.</w:t>
      </w:r>
    </w:p>
    <w:p>
      <w:pPr>
        <w:spacing w:before="240" w:after="120"/>
        <w:jc w:val="left"/>
      </w:pPr>
      <w:r>
        <w:rPr>
          <w:rFonts w:ascii="Times New Roman" w:hAnsi="Times New Roman" w:eastAsia="Times New Roman"/>
          <w:b/>
          <w:i w:val="0"/>
          <w:sz w:val="24"/>
        </w:rPr>
        <w:t>4. Resultados</w:t>
      </w:r>
    </w:p>
    <w:p>
      <w:pPr>
        <w:spacing w:before="160" w:after="80"/>
        <w:jc w:val="left"/>
      </w:pPr>
      <w:r>
        <w:rPr>
          <w:rFonts w:ascii="Times New Roman" w:hAnsi="Times New Roman" w:eastAsia="Times New Roman"/>
          <w:b/>
          <w:i w:val="0"/>
          <w:sz w:val="24"/>
        </w:rPr>
        <w:t>4.1. Características de la cohorte</w:t>
      </w:r>
    </w:p>
    <w:p>
      <w:pPr>
        <w:spacing w:after="120"/>
        <w:jc w:val="both"/>
      </w:pPr>
      <w:r>
        <w:rPr>
          <w:rFonts w:ascii="Times New Roman" w:hAnsi="Times New Roman" w:eastAsia="Times New Roman"/>
          <w:b w:val="0"/>
          <w:i w:val="0"/>
          <w:sz w:val="22"/>
        </w:rPr>
        <w:t>La cohorte (N=226) tenía una edad media de 44,0 años, una duración media de la DM1 de 23,3 años y una HbA1c basal media de 7,3%, con equilibrio por sexo (Tabla 1). Pese al buen control aparente, las métricas de CGM revelaron una carga glucémica considerable: TIR medio del 63,1%, %CV medio del 37,4% y un tiempo en hipoglucemia &lt;54 mg/dL del 1,0% de media.</w:t>
      </w:r>
    </w:p>
    <w:p>
      <w:pPr>
        <w:spacing w:before="120" w:after="40"/>
        <w:jc w:val="center"/>
      </w:pPr>
      <w:r>
        <w:rPr>
          <w:rFonts w:ascii="Times New Roman" w:hAnsi="Times New Roman" w:eastAsia="Times New Roman"/>
          <w:b/>
          <w:i w:val="0"/>
          <w:sz w:val="22"/>
        </w:rPr>
        <w:t>Tabla 1. Características clínicas y métricas de CGM de la cohorte (N=226).</w:t>
      </w:r>
    </w:p>
    <w:tbl>
      <w:tblPr>
        <w:tblStyle w:val="TableGrid"/>
        <w:tblW w:type="auto" w:w="0"/>
        <w:jc w:val="center"/>
        <w:tblLook w:firstColumn="1" w:firstRow="1" w:lastColumn="0" w:lastRow="0" w:noHBand="0" w:noVBand="1" w:val="04A0"/>
      </w:tblPr>
      <w:tblGrid>
        <w:gridCol w:w="4513"/>
        <w:gridCol w:w="4513"/>
      </w:tblGrid>
      <w:tr>
        <w:tc>
          <w:tcPr>
            <w:tcW w:type="dxa" w:w="4513"/>
          </w:tcPr>
          <w:p>
            <w:pPr>
              <w:jc w:val="center"/>
            </w:pPr>
            <w:r>
              <w:rPr>
                <w:rFonts w:ascii="Times New Roman" w:hAnsi="Times New Roman" w:eastAsia="Times New Roman"/>
                <w:b/>
                <w:i w:val="0"/>
                <w:sz w:val="18"/>
              </w:rPr>
              <w:t>Característica</w:t>
            </w:r>
          </w:p>
        </w:tc>
        <w:tc>
          <w:tcPr>
            <w:tcW w:type="dxa" w:w="4513"/>
          </w:tcPr>
          <w:p>
            <w:pPr>
              <w:jc w:val="center"/>
            </w:pPr>
            <w:r>
              <w:rPr>
                <w:rFonts w:ascii="Times New Roman" w:hAnsi="Times New Roman" w:eastAsia="Times New Roman"/>
                <w:b/>
                <w:i w:val="0"/>
                <w:sz w:val="18"/>
              </w:rPr>
              <w:t>Valor</w:t>
            </w:r>
          </w:p>
        </w:tc>
      </w:tr>
      <w:tr>
        <w:tc>
          <w:tcPr>
            <w:tcW w:type="dxa" w:w="4513"/>
          </w:tcPr>
          <w:p>
            <w:pPr>
              <w:jc w:val="left"/>
            </w:pPr>
            <w:r>
              <w:rPr>
                <w:rFonts w:ascii="Times New Roman" w:hAnsi="Times New Roman" w:eastAsia="Times New Roman"/>
                <w:b w:val="0"/>
                <w:i w:val="0"/>
                <w:sz w:val="18"/>
              </w:rPr>
              <w:t>Edad (años)</w:t>
            </w:r>
          </w:p>
        </w:tc>
        <w:tc>
          <w:tcPr>
            <w:tcW w:type="dxa" w:w="4513"/>
          </w:tcPr>
          <w:p>
            <w:pPr>
              <w:jc w:val="center"/>
            </w:pPr>
            <w:r>
              <w:rPr>
                <w:rFonts w:ascii="Times New Roman" w:hAnsi="Times New Roman" w:eastAsia="Times New Roman"/>
                <w:b w:val="0"/>
                <w:i w:val="0"/>
                <w:sz w:val="18"/>
              </w:rPr>
              <w:t>44.0 ± 13.8</w:t>
            </w:r>
          </w:p>
        </w:tc>
      </w:tr>
      <w:tr>
        <w:tc>
          <w:tcPr>
            <w:tcW w:type="dxa" w:w="4513"/>
          </w:tcPr>
          <w:p>
            <w:pPr>
              <w:jc w:val="left"/>
            </w:pPr>
            <w:r>
              <w:rPr>
                <w:rFonts w:ascii="Times New Roman" w:hAnsi="Times New Roman" w:eastAsia="Times New Roman"/>
                <w:b w:val="0"/>
                <w:i w:val="0"/>
                <w:sz w:val="18"/>
              </w:rPr>
              <w:t>Sexo femenino, n (%)</w:t>
            </w:r>
          </w:p>
        </w:tc>
        <w:tc>
          <w:tcPr>
            <w:tcW w:type="dxa" w:w="4513"/>
          </w:tcPr>
          <w:p>
            <w:pPr>
              <w:jc w:val="center"/>
            </w:pPr>
            <w:r>
              <w:rPr>
                <w:rFonts w:ascii="Times New Roman" w:hAnsi="Times New Roman" w:eastAsia="Times New Roman"/>
                <w:b w:val="0"/>
                <w:i w:val="0"/>
                <w:sz w:val="18"/>
              </w:rPr>
              <w:t>112 (49.6%)</w:t>
            </w:r>
          </w:p>
        </w:tc>
      </w:tr>
      <w:tr>
        <w:tc>
          <w:tcPr>
            <w:tcW w:type="dxa" w:w="4513"/>
          </w:tcPr>
          <w:p>
            <w:pPr>
              <w:jc w:val="left"/>
            </w:pPr>
            <w:r>
              <w:rPr>
                <w:rFonts w:ascii="Times New Roman" w:hAnsi="Times New Roman" w:eastAsia="Times New Roman"/>
                <w:b w:val="0"/>
                <w:i w:val="0"/>
                <w:sz w:val="18"/>
              </w:rPr>
              <w:t>Edad al diagnóstico (años)</w:t>
            </w:r>
          </w:p>
        </w:tc>
        <w:tc>
          <w:tcPr>
            <w:tcW w:type="dxa" w:w="4513"/>
          </w:tcPr>
          <w:p>
            <w:pPr>
              <w:jc w:val="center"/>
            </w:pPr>
            <w:r>
              <w:rPr>
                <w:rFonts w:ascii="Times New Roman" w:hAnsi="Times New Roman" w:eastAsia="Times New Roman"/>
                <w:b w:val="0"/>
                <w:i w:val="0"/>
                <w:sz w:val="18"/>
              </w:rPr>
              <w:t>20.7 ± 13.5</w:t>
            </w:r>
          </w:p>
        </w:tc>
      </w:tr>
      <w:tr>
        <w:tc>
          <w:tcPr>
            <w:tcW w:type="dxa" w:w="4513"/>
          </w:tcPr>
          <w:p>
            <w:pPr>
              <w:jc w:val="left"/>
            </w:pPr>
            <w:r>
              <w:rPr>
                <w:rFonts w:ascii="Times New Roman" w:hAnsi="Times New Roman" w:eastAsia="Times New Roman"/>
                <w:b w:val="0"/>
                <w:i w:val="0"/>
                <w:sz w:val="18"/>
              </w:rPr>
              <w:t>Duración de la DM1 (años)</w:t>
            </w:r>
          </w:p>
        </w:tc>
        <w:tc>
          <w:tcPr>
            <w:tcW w:type="dxa" w:w="4513"/>
          </w:tcPr>
          <w:p>
            <w:pPr>
              <w:jc w:val="center"/>
            </w:pPr>
            <w:r>
              <w:rPr>
                <w:rFonts w:ascii="Times New Roman" w:hAnsi="Times New Roman" w:eastAsia="Times New Roman"/>
                <w:b w:val="0"/>
                <w:i w:val="0"/>
                <w:sz w:val="18"/>
              </w:rPr>
              <w:t>23.3 ± 12.2</w:t>
            </w:r>
          </w:p>
        </w:tc>
      </w:tr>
      <w:tr>
        <w:tc>
          <w:tcPr>
            <w:tcW w:type="dxa" w:w="4513"/>
          </w:tcPr>
          <w:p>
            <w:pPr>
              <w:jc w:val="left"/>
            </w:pPr>
            <w:r>
              <w:rPr>
                <w:rFonts w:ascii="Times New Roman" w:hAnsi="Times New Roman" w:eastAsia="Times New Roman"/>
                <w:b w:val="0"/>
                <w:i w:val="0"/>
                <w:sz w:val="18"/>
              </w:rPr>
              <w:t>IMC (kg/m²)</w:t>
            </w:r>
          </w:p>
        </w:tc>
        <w:tc>
          <w:tcPr>
            <w:tcW w:type="dxa" w:w="4513"/>
          </w:tcPr>
          <w:p>
            <w:pPr>
              <w:jc w:val="center"/>
            </w:pPr>
            <w:r>
              <w:rPr>
                <w:rFonts w:ascii="Times New Roman" w:hAnsi="Times New Roman" w:eastAsia="Times New Roman"/>
                <w:b w:val="0"/>
                <w:i w:val="0"/>
                <w:sz w:val="18"/>
              </w:rPr>
              <w:t>27.3 ± 4.4</w:t>
            </w:r>
          </w:p>
        </w:tc>
      </w:tr>
      <w:tr>
        <w:tc>
          <w:tcPr>
            <w:tcW w:type="dxa" w:w="4513"/>
          </w:tcPr>
          <w:p>
            <w:pPr>
              <w:jc w:val="left"/>
            </w:pPr>
            <w:r>
              <w:rPr>
                <w:rFonts w:ascii="Times New Roman" w:hAnsi="Times New Roman" w:eastAsia="Times New Roman"/>
                <w:b w:val="0"/>
                <w:i w:val="0"/>
                <w:sz w:val="18"/>
              </w:rPr>
              <w:t>HbA1c basal (%)</w:t>
            </w:r>
          </w:p>
        </w:tc>
        <w:tc>
          <w:tcPr>
            <w:tcW w:type="dxa" w:w="4513"/>
          </w:tcPr>
          <w:p>
            <w:pPr>
              <w:jc w:val="center"/>
            </w:pPr>
            <w:r>
              <w:rPr>
                <w:rFonts w:ascii="Times New Roman" w:hAnsi="Times New Roman" w:eastAsia="Times New Roman"/>
                <w:b w:val="0"/>
                <w:i w:val="0"/>
                <w:sz w:val="18"/>
              </w:rPr>
              <w:t>7.3 ± 0.7</w:t>
            </w:r>
          </w:p>
        </w:tc>
      </w:tr>
      <w:tr>
        <w:tc>
          <w:tcPr>
            <w:tcW w:type="dxa" w:w="4513"/>
          </w:tcPr>
          <w:p>
            <w:pPr>
              <w:jc w:val="left"/>
            </w:pPr>
            <w:r>
              <w:rPr>
                <w:rFonts w:ascii="Times New Roman" w:hAnsi="Times New Roman" w:eastAsia="Times New Roman"/>
                <w:b w:val="0"/>
                <w:i w:val="0"/>
                <w:sz w:val="18"/>
              </w:rPr>
              <w:t>Glucosa media CGM (mg/dL)</w:t>
            </w:r>
          </w:p>
        </w:tc>
        <w:tc>
          <w:tcPr>
            <w:tcW w:type="dxa" w:w="4513"/>
          </w:tcPr>
          <w:p>
            <w:pPr>
              <w:jc w:val="center"/>
            </w:pPr>
            <w:r>
              <w:rPr>
                <w:rFonts w:ascii="Times New Roman" w:hAnsi="Times New Roman" w:eastAsia="Times New Roman"/>
                <w:b w:val="0"/>
                <w:i w:val="0"/>
                <w:sz w:val="18"/>
              </w:rPr>
              <w:t>161 ± 21</w:t>
            </w:r>
          </w:p>
        </w:tc>
      </w:tr>
      <w:tr>
        <w:tc>
          <w:tcPr>
            <w:tcW w:type="dxa" w:w="4513"/>
          </w:tcPr>
          <w:p>
            <w:pPr>
              <w:jc w:val="left"/>
            </w:pPr>
            <w:r>
              <w:rPr>
                <w:rFonts w:ascii="Times New Roman" w:hAnsi="Times New Roman" w:eastAsia="Times New Roman"/>
                <w:b w:val="0"/>
                <w:i w:val="0"/>
                <w:sz w:val="18"/>
              </w:rPr>
              <w:t>GMI (%)</w:t>
            </w:r>
          </w:p>
        </w:tc>
        <w:tc>
          <w:tcPr>
            <w:tcW w:type="dxa" w:w="4513"/>
          </w:tcPr>
          <w:p>
            <w:pPr>
              <w:jc w:val="center"/>
            </w:pPr>
            <w:r>
              <w:rPr>
                <w:rFonts w:ascii="Times New Roman" w:hAnsi="Times New Roman" w:eastAsia="Times New Roman"/>
                <w:b w:val="0"/>
                <w:i w:val="0"/>
                <w:sz w:val="18"/>
              </w:rPr>
              <w:t>7.2 ± 0.5</w:t>
            </w:r>
          </w:p>
        </w:tc>
      </w:tr>
      <w:tr>
        <w:tc>
          <w:tcPr>
            <w:tcW w:type="dxa" w:w="4513"/>
          </w:tcPr>
          <w:p>
            <w:pPr>
              <w:jc w:val="left"/>
            </w:pPr>
            <w:r>
              <w:rPr>
                <w:rFonts w:ascii="Times New Roman" w:hAnsi="Times New Roman" w:eastAsia="Times New Roman"/>
                <w:b w:val="0"/>
                <w:i w:val="0"/>
                <w:sz w:val="18"/>
              </w:rPr>
              <w:t>Coef. de variación %CV (%)</w:t>
            </w:r>
          </w:p>
        </w:tc>
        <w:tc>
          <w:tcPr>
            <w:tcW w:type="dxa" w:w="4513"/>
          </w:tcPr>
          <w:p>
            <w:pPr>
              <w:jc w:val="center"/>
            </w:pPr>
            <w:r>
              <w:rPr>
                <w:rFonts w:ascii="Times New Roman" w:hAnsi="Times New Roman" w:eastAsia="Times New Roman"/>
                <w:b w:val="0"/>
                <w:i w:val="0"/>
                <w:sz w:val="18"/>
              </w:rPr>
              <w:t>37.4 ± 4.7</w:t>
            </w:r>
          </w:p>
        </w:tc>
      </w:tr>
      <w:tr>
        <w:tc>
          <w:tcPr>
            <w:tcW w:type="dxa" w:w="4513"/>
          </w:tcPr>
          <w:p>
            <w:pPr>
              <w:jc w:val="left"/>
            </w:pPr>
            <w:r>
              <w:rPr>
                <w:rFonts w:ascii="Times New Roman" w:hAnsi="Times New Roman" w:eastAsia="Times New Roman"/>
                <w:b w:val="0"/>
                <w:i w:val="0"/>
                <w:sz w:val="18"/>
              </w:rPr>
              <w:t>Tiempo en rango 70–180 (%)</w:t>
            </w:r>
          </w:p>
        </w:tc>
        <w:tc>
          <w:tcPr>
            <w:tcW w:type="dxa" w:w="4513"/>
          </w:tcPr>
          <w:p>
            <w:pPr>
              <w:jc w:val="center"/>
            </w:pPr>
            <w:r>
              <w:rPr>
                <w:rFonts w:ascii="Times New Roman" w:hAnsi="Times New Roman" w:eastAsia="Times New Roman"/>
                <w:b w:val="0"/>
                <w:i w:val="0"/>
                <w:sz w:val="18"/>
              </w:rPr>
              <w:t>63.1 ± 12.2</w:t>
            </w:r>
          </w:p>
        </w:tc>
      </w:tr>
      <w:tr>
        <w:tc>
          <w:tcPr>
            <w:tcW w:type="dxa" w:w="4513"/>
          </w:tcPr>
          <w:p>
            <w:pPr>
              <w:jc w:val="left"/>
            </w:pPr>
            <w:r>
              <w:rPr>
                <w:rFonts w:ascii="Times New Roman" w:hAnsi="Times New Roman" w:eastAsia="Times New Roman"/>
                <w:b w:val="0"/>
                <w:i w:val="0"/>
                <w:sz w:val="18"/>
              </w:rPr>
              <w:t>Tiempo &lt;70 mg/dL (%)</w:t>
            </w:r>
          </w:p>
        </w:tc>
        <w:tc>
          <w:tcPr>
            <w:tcW w:type="dxa" w:w="4513"/>
          </w:tcPr>
          <w:p>
            <w:pPr>
              <w:jc w:val="center"/>
            </w:pPr>
            <w:r>
              <w:rPr>
                <w:rFonts w:ascii="Times New Roman" w:hAnsi="Times New Roman" w:eastAsia="Times New Roman"/>
                <w:b w:val="0"/>
                <w:i w:val="0"/>
                <w:sz w:val="18"/>
              </w:rPr>
              <w:t>3.76 ± 2.51</w:t>
            </w:r>
          </w:p>
        </w:tc>
      </w:tr>
      <w:tr>
        <w:tc>
          <w:tcPr>
            <w:tcW w:type="dxa" w:w="4513"/>
          </w:tcPr>
          <w:p>
            <w:pPr>
              <w:jc w:val="left"/>
            </w:pPr>
            <w:r>
              <w:rPr>
                <w:rFonts w:ascii="Times New Roman" w:hAnsi="Times New Roman" w:eastAsia="Times New Roman"/>
                <w:b w:val="0"/>
                <w:i w:val="0"/>
                <w:sz w:val="18"/>
              </w:rPr>
              <w:t>Tiempo &lt;54 mg/dL (%)</w:t>
            </w:r>
          </w:p>
        </w:tc>
        <w:tc>
          <w:tcPr>
            <w:tcW w:type="dxa" w:w="4513"/>
          </w:tcPr>
          <w:p>
            <w:pPr>
              <w:jc w:val="center"/>
            </w:pPr>
            <w:r>
              <w:rPr>
                <w:rFonts w:ascii="Times New Roman" w:hAnsi="Times New Roman" w:eastAsia="Times New Roman"/>
                <w:b w:val="0"/>
                <w:i w:val="0"/>
                <w:sz w:val="18"/>
              </w:rPr>
              <w:t>0.96 ± 0.91</w:t>
            </w:r>
          </w:p>
        </w:tc>
      </w:tr>
    </w:tbl>
    <w:p>
      <w:pPr>
        <w:spacing w:after="80"/>
      </w:pPr>
    </w:p>
    <w:p>
      <w:pPr>
        <w:spacing w:before="160" w:after="80"/>
        <w:jc w:val="left"/>
      </w:pPr>
      <w:r>
        <w:rPr>
          <w:rFonts w:ascii="Times New Roman" w:hAnsi="Times New Roman" w:eastAsia="Times New Roman"/>
          <w:b/>
          <w:i w:val="0"/>
          <w:sz w:val="24"/>
        </w:rPr>
        <w:t>4.2. Prevalencia de los criterios de candidatura</w:t>
      </w:r>
    </w:p>
    <w:p>
      <w:pPr>
        <w:spacing w:after="120"/>
        <w:jc w:val="both"/>
      </w:pPr>
      <w:r>
        <w:rPr>
          <w:rFonts w:ascii="Times New Roman" w:hAnsi="Times New Roman" w:eastAsia="Times New Roman"/>
          <w:b w:val="0"/>
          <w:i w:val="0"/>
          <w:sz w:val="22"/>
        </w:rPr>
        <w:t>La mayoría de la cohorte no alcanzaba los objetivos de consenso: el 71,7% presentaba un TIR insuficiente y el 64,6% una variabilidad glucémica alta (Figura 1, Tabla 2). La exposición excesiva a hipoglucemia afectaba al 34,5% y la hipoglucemia inadvertida al 17,3%. Sin embargo, al exigir el perfil completo de labilidad (hipoglucemia inadvertida más exposición excesiva a hipoglucemia), solo el 3,5% de la cohorte (8 pacientes) reunía la condición compatible con la indicación de trasplante (intervalo de confianza del 95% de Wilson: 1,8–6,8%). La Figura 2 muestra las distribuciones de las métricas clave frente a los umbrales de consenso.</w:t>
      </w:r>
    </w:p>
    <w:p>
      <w:pPr>
        <w:spacing w:before="120" w:after="40"/>
        <w:jc w:val="center"/>
      </w:pPr>
      <w:r>
        <w:rPr>
          <w:rFonts w:ascii="Times New Roman" w:hAnsi="Times New Roman" w:eastAsia="Times New Roman"/>
          <w:b/>
          <w:i w:val="0"/>
          <w:sz w:val="22"/>
        </w:rPr>
        <w:t>Tabla 2. Prevalencia de los criterios de candidatura en la cohorte.</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eastAsia="Times New Roman"/>
                <w:b/>
                <w:i w:val="0"/>
                <w:sz w:val="18"/>
              </w:rPr>
              <w:t>Criterio</w:t>
            </w:r>
          </w:p>
        </w:tc>
        <w:tc>
          <w:tcPr>
            <w:tcW w:type="dxa" w:w="3009"/>
          </w:tcPr>
          <w:p>
            <w:pPr>
              <w:jc w:val="center"/>
            </w:pPr>
            <w:r>
              <w:rPr>
                <w:rFonts w:ascii="Times New Roman" w:hAnsi="Times New Roman" w:eastAsia="Times New Roman"/>
                <w:b/>
                <w:i w:val="0"/>
                <w:sz w:val="18"/>
              </w:rPr>
              <w:t>n</w:t>
            </w:r>
          </w:p>
        </w:tc>
        <w:tc>
          <w:tcPr>
            <w:tcW w:type="dxa" w:w="3009"/>
          </w:tcPr>
          <w:p>
            <w:pPr>
              <w:jc w:val="center"/>
            </w:pPr>
            <w:r>
              <w:rPr>
                <w:rFonts w:ascii="Times New Roman" w:hAnsi="Times New Roman" w:eastAsia="Times New Roman"/>
                <w:b/>
                <w:i w:val="0"/>
                <w:sz w:val="18"/>
              </w:rPr>
              <w:t>Prevalencia (%)</w:t>
            </w:r>
          </w:p>
        </w:tc>
      </w:tr>
      <w:tr>
        <w:tc>
          <w:tcPr>
            <w:tcW w:type="dxa" w:w="3009"/>
          </w:tcPr>
          <w:p>
            <w:pPr>
              <w:jc w:val="left"/>
            </w:pPr>
            <w:r>
              <w:rPr>
                <w:rFonts w:ascii="Times New Roman" w:hAnsi="Times New Roman" w:eastAsia="Times New Roman"/>
                <w:b w:val="0"/>
                <w:i w:val="0"/>
                <w:sz w:val="18"/>
              </w:rPr>
              <w:t>Hipoglucemia inadvertida (perdió síntomas de alarma)</w:t>
            </w:r>
          </w:p>
        </w:tc>
        <w:tc>
          <w:tcPr>
            <w:tcW w:type="dxa" w:w="3009"/>
          </w:tcPr>
          <w:p>
            <w:pPr>
              <w:jc w:val="center"/>
            </w:pPr>
            <w:r>
              <w:rPr>
                <w:rFonts w:ascii="Times New Roman" w:hAnsi="Times New Roman" w:eastAsia="Times New Roman"/>
                <w:b w:val="0"/>
                <w:i w:val="0"/>
                <w:sz w:val="18"/>
              </w:rPr>
              <w:t>39</w:t>
            </w:r>
          </w:p>
        </w:tc>
        <w:tc>
          <w:tcPr>
            <w:tcW w:type="dxa" w:w="3009"/>
          </w:tcPr>
          <w:p>
            <w:pPr>
              <w:jc w:val="center"/>
            </w:pPr>
            <w:r>
              <w:rPr>
                <w:rFonts w:ascii="Times New Roman" w:hAnsi="Times New Roman" w:eastAsia="Times New Roman"/>
                <w:b w:val="0"/>
                <w:i w:val="0"/>
                <w:sz w:val="18"/>
              </w:rPr>
              <w:t>17.3</w:t>
            </w:r>
          </w:p>
        </w:tc>
      </w:tr>
      <w:tr>
        <w:tc>
          <w:tcPr>
            <w:tcW w:type="dxa" w:w="3009"/>
          </w:tcPr>
          <w:p>
            <w:pPr>
              <w:jc w:val="left"/>
            </w:pPr>
            <w:r>
              <w:rPr>
                <w:rFonts w:ascii="Times New Roman" w:hAnsi="Times New Roman" w:eastAsia="Times New Roman"/>
                <w:b w:val="0"/>
                <w:i w:val="0"/>
                <w:sz w:val="18"/>
              </w:rPr>
              <w:t>Variabilidad glucémica alta (%CV ≥ 36%)</w:t>
            </w:r>
          </w:p>
        </w:tc>
        <w:tc>
          <w:tcPr>
            <w:tcW w:type="dxa" w:w="3009"/>
          </w:tcPr>
          <w:p>
            <w:pPr>
              <w:jc w:val="center"/>
            </w:pPr>
            <w:r>
              <w:rPr>
                <w:rFonts w:ascii="Times New Roman" w:hAnsi="Times New Roman" w:eastAsia="Times New Roman"/>
                <w:b w:val="0"/>
                <w:i w:val="0"/>
                <w:sz w:val="18"/>
              </w:rPr>
              <w:t>146</w:t>
            </w:r>
          </w:p>
        </w:tc>
        <w:tc>
          <w:tcPr>
            <w:tcW w:type="dxa" w:w="3009"/>
          </w:tcPr>
          <w:p>
            <w:pPr>
              <w:jc w:val="center"/>
            </w:pPr>
            <w:r>
              <w:rPr>
                <w:rFonts w:ascii="Times New Roman" w:hAnsi="Times New Roman" w:eastAsia="Times New Roman"/>
                <w:b w:val="0"/>
                <w:i w:val="0"/>
                <w:sz w:val="18"/>
              </w:rPr>
              <w:t>64.6</w:t>
            </w:r>
          </w:p>
        </w:tc>
      </w:tr>
      <w:tr>
        <w:tc>
          <w:tcPr>
            <w:tcW w:type="dxa" w:w="3009"/>
          </w:tcPr>
          <w:p>
            <w:pPr>
              <w:jc w:val="left"/>
            </w:pPr>
            <w:r>
              <w:rPr>
                <w:rFonts w:ascii="Times New Roman" w:hAnsi="Times New Roman" w:eastAsia="Times New Roman"/>
                <w:b w:val="0"/>
                <w:i w:val="0"/>
                <w:sz w:val="18"/>
              </w:rPr>
              <w:t>Exposición excesiva a hipoglucemia (TBR&lt;54 &gt; 1%)</w:t>
            </w:r>
          </w:p>
        </w:tc>
        <w:tc>
          <w:tcPr>
            <w:tcW w:type="dxa" w:w="3009"/>
          </w:tcPr>
          <w:p>
            <w:pPr>
              <w:jc w:val="center"/>
            </w:pPr>
            <w:r>
              <w:rPr>
                <w:rFonts w:ascii="Times New Roman" w:hAnsi="Times New Roman" w:eastAsia="Times New Roman"/>
                <w:b w:val="0"/>
                <w:i w:val="0"/>
                <w:sz w:val="18"/>
              </w:rPr>
              <w:t>78</w:t>
            </w:r>
          </w:p>
        </w:tc>
        <w:tc>
          <w:tcPr>
            <w:tcW w:type="dxa" w:w="3009"/>
          </w:tcPr>
          <w:p>
            <w:pPr>
              <w:jc w:val="center"/>
            </w:pPr>
            <w:r>
              <w:rPr>
                <w:rFonts w:ascii="Times New Roman" w:hAnsi="Times New Roman" w:eastAsia="Times New Roman"/>
                <w:b w:val="0"/>
                <w:i w:val="0"/>
                <w:sz w:val="18"/>
              </w:rPr>
              <w:t>34.5</w:t>
            </w:r>
          </w:p>
        </w:tc>
      </w:tr>
      <w:tr>
        <w:tc>
          <w:tcPr>
            <w:tcW w:type="dxa" w:w="3009"/>
          </w:tcPr>
          <w:p>
            <w:pPr>
              <w:jc w:val="left"/>
            </w:pPr>
            <w:r>
              <w:rPr>
                <w:rFonts w:ascii="Times New Roman" w:hAnsi="Times New Roman" w:eastAsia="Times New Roman"/>
                <w:b w:val="0"/>
                <w:i w:val="0"/>
                <w:sz w:val="18"/>
              </w:rPr>
              <w:t>Tiempo en rango insuficiente (TIR &lt; 70%)</w:t>
            </w:r>
          </w:p>
        </w:tc>
        <w:tc>
          <w:tcPr>
            <w:tcW w:type="dxa" w:w="3009"/>
          </w:tcPr>
          <w:p>
            <w:pPr>
              <w:jc w:val="center"/>
            </w:pPr>
            <w:r>
              <w:rPr>
                <w:rFonts w:ascii="Times New Roman" w:hAnsi="Times New Roman" w:eastAsia="Times New Roman"/>
                <w:b w:val="0"/>
                <w:i w:val="0"/>
                <w:sz w:val="18"/>
              </w:rPr>
              <w:t>162</w:t>
            </w:r>
          </w:p>
        </w:tc>
        <w:tc>
          <w:tcPr>
            <w:tcW w:type="dxa" w:w="3009"/>
          </w:tcPr>
          <w:p>
            <w:pPr>
              <w:jc w:val="center"/>
            </w:pPr>
            <w:r>
              <w:rPr>
                <w:rFonts w:ascii="Times New Roman" w:hAnsi="Times New Roman" w:eastAsia="Times New Roman"/>
                <w:b w:val="0"/>
                <w:i w:val="0"/>
                <w:sz w:val="18"/>
              </w:rPr>
              <w:t>71.7</w:t>
            </w:r>
          </w:p>
        </w:tc>
      </w:tr>
      <w:tr>
        <w:tc>
          <w:tcPr>
            <w:tcW w:type="dxa" w:w="3009"/>
          </w:tcPr>
          <w:p>
            <w:pPr>
              <w:jc w:val="left"/>
            </w:pPr>
            <w:r>
              <w:rPr>
                <w:rFonts w:ascii="Times New Roman" w:hAnsi="Times New Roman" w:eastAsia="Times New Roman"/>
                <w:b w:val="0"/>
                <w:i w:val="0"/>
                <w:sz w:val="18"/>
              </w:rPr>
              <w:t>Perfil de labilidad glucémica (candidatura Edmonton)</w:t>
            </w:r>
          </w:p>
        </w:tc>
        <w:tc>
          <w:tcPr>
            <w:tcW w:type="dxa" w:w="3009"/>
          </w:tcPr>
          <w:p>
            <w:pPr>
              <w:jc w:val="center"/>
            </w:pPr>
            <w:r>
              <w:rPr>
                <w:rFonts w:ascii="Times New Roman" w:hAnsi="Times New Roman" w:eastAsia="Times New Roman"/>
                <w:b w:val="0"/>
                <w:i w:val="0"/>
                <w:sz w:val="18"/>
              </w:rPr>
              <w:t>8</w:t>
            </w:r>
          </w:p>
        </w:tc>
        <w:tc>
          <w:tcPr>
            <w:tcW w:type="dxa" w:w="3009"/>
          </w:tcPr>
          <w:p>
            <w:pPr>
              <w:jc w:val="center"/>
            </w:pPr>
            <w:r>
              <w:rPr>
                <w:rFonts w:ascii="Times New Roman" w:hAnsi="Times New Roman" w:eastAsia="Times New Roman"/>
                <w:b w:val="0"/>
                <w:i w:val="0"/>
                <w:sz w:val="18"/>
              </w:rPr>
              <w:t>3.5</w:t>
            </w:r>
          </w:p>
        </w:tc>
      </w:tr>
    </w:tbl>
    <w:p>
      <w:pPr>
        <w:spacing w:after="80"/>
      </w:pPr>
    </w:p>
    <w:p>
      <w:pPr>
        <w:spacing w:before="120"/>
        <w:jc w:val="center"/>
      </w:pPr>
      <w:r>
        <w:drawing>
          <wp:inline xmlns:a="http://schemas.openxmlformats.org/drawingml/2006/main" xmlns:pic="http://schemas.openxmlformats.org/drawingml/2006/picture">
            <wp:extent cx="5400000" cy="2380645"/>
            <wp:docPr id="1" name="Picture 1"/>
            <wp:cNvGraphicFramePr>
              <a:graphicFrameLocks noChangeAspect="1"/>
            </wp:cNvGraphicFramePr>
            <a:graphic>
              <a:graphicData uri="http://schemas.openxmlformats.org/drawingml/2006/picture">
                <pic:pic>
                  <pic:nvPicPr>
                    <pic:cNvPr id="0" name="fig1_prevalencia_criterios.png"/>
                    <pic:cNvPicPr/>
                  </pic:nvPicPr>
                  <pic:blipFill>
                    <a:blip r:embed="rId9"/>
                    <a:stretch>
                      <a:fillRect/>
                    </a:stretch>
                  </pic:blipFill>
                  <pic:spPr>
                    <a:xfrm>
                      <a:off x="0" y="0"/>
                      <a:ext cx="5400000" cy="2380645"/>
                    </a:xfrm>
                    <a:prstGeom prst="rect"/>
                  </pic:spPr>
                </pic:pic>
              </a:graphicData>
            </a:graphic>
          </wp:inline>
        </w:drawing>
      </w:r>
    </w:p>
    <w:p>
      <w:pPr>
        <w:spacing w:after="160"/>
        <w:jc w:val="center"/>
      </w:pPr>
      <w:r>
        <w:rPr>
          <w:rFonts w:ascii="Times New Roman" w:hAnsi="Times New Roman" w:eastAsia="Times New Roman"/>
          <w:b w:val="0"/>
          <w:i w:val="0"/>
          <w:sz w:val="22"/>
        </w:rPr>
        <w:t>Figura 1. Prevalencia de los criterios de candidatura a trasplante de islotes; en naranja, el perfil de labilidad completo.</w:t>
      </w:r>
    </w:p>
    <w:p>
      <w:pPr>
        <w:spacing w:before="120"/>
        <w:jc w:val="center"/>
      </w:pPr>
      <w:r>
        <w:drawing>
          <wp:inline xmlns:a="http://schemas.openxmlformats.org/drawingml/2006/main" xmlns:pic="http://schemas.openxmlformats.org/drawingml/2006/picture">
            <wp:extent cx="5760000" cy="1843557"/>
            <wp:docPr id="2" name="Picture 2"/>
            <wp:cNvGraphicFramePr>
              <a:graphicFrameLocks noChangeAspect="1"/>
            </wp:cNvGraphicFramePr>
            <a:graphic>
              <a:graphicData uri="http://schemas.openxmlformats.org/drawingml/2006/picture">
                <pic:pic>
                  <pic:nvPicPr>
                    <pic:cNvPr id="0" name="fig2_distribuciones.png"/>
                    <pic:cNvPicPr/>
                  </pic:nvPicPr>
                  <pic:blipFill>
                    <a:blip r:embed="rId10"/>
                    <a:stretch>
                      <a:fillRect/>
                    </a:stretch>
                  </pic:blipFill>
                  <pic:spPr>
                    <a:xfrm>
                      <a:off x="0" y="0"/>
                      <a:ext cx="5760000" cy="1843557"/>
                    </a:xfrm>
                    <a:prstGeom prst="rect"/>
                  </pic:spPr>
                </pic:pic>
              </a:graphicData>
            </a:graphic>
          </wp:inline>
        </w:drawing>
      </w:r>
    </w:p>
    <w:p>
      <w:pPr>
        <w:spacing w:after="160"/>
        <w:jc w:val="center"/>
      </w:pPr>
      <w:r>
        <w:rPr>
          <w:rFonts w:ascii="Times New Roman" w:hAnsi="Times New Roman" w:eastAsia="Times New Roman"/>
          <w:b w:val="0"/>
          <w:i w:val="0"/>
          <w:sz w:val="22"/>
        </w:rPr>
        <w:t>Figura 2. Distribución de las métricas de CGM (%CV, TBR&lt;54 y TIR) frente a los objetivos del consenso internacional [11].</w:t>
      </w:r>
    </w:p>
    <w:p>
      <w:pPr>
        <w:spacing w:before="160" w:after="80"/>
        <w:jc w:val="left"/>
      </w:pPr>
      <w:r>
        <w:rPr>
          <w:rFonts w:ascii="Times New Roman" w:hAnsi="Times New Roman" w:eastAsia="Times New Roman"/>
          <w:b/>
          <w:i w:val="0"/>
          <w:sz w:val="24"/>
        </w:rPr>
        <w:t>4.3. Mapa de riesgo y fenotipos glucémicos</w:t>
      </w:r>
    </w:p>
    <w:p>
      <w:pPr>
        <w:spacing w:after="120"/>
        <w:jc w:val="both"/>
      </w:pPr>
      <w:r>
        <w:rPr>
          <w:rFonts w:ascii="Times New Roman" w:hAnsi="Times New Roman" w:eastAsia="Times New Roman"/>
          <w:b w:val="0"/>
          <w:i w:val="0"/>
          <w:sz w:val="22"/>
        </w:rPr>
        <w:t>El mapa de riesgo (Figura 3) evidencia una relación positiva entre la variabilidad glucémica y la exposición a hipoglucemia: los pacientes con perfil de labilidad se concentran en el cuadrante de %CV y TBR&lt;54 elevados. La segmentación no supervisada (Figura 4, Tabla 4) identificó tres fenotipos glucémicos: uno de buen control (mayor TIR, menor variabilidad), uno hiperglucémico (glucosa media y TAR elevados con TIR bajo) y uno lábil (alta variabilidad y mayor exposición a hipoglucemia), que concentra los perfiles de candidatura. La comparación entre el subgrupo con perfil de labilidad y el resto (Tabla 3) confirma diferencias marcadas en variabilidad y tiempo en hipoglucemia.</w:t>
      </w:r>
    </w:p>
    <w:p>
      <w:pPr>
        <w:spacing w:before="120"/>
        <w:jc w:val="center"/>
      </w:pPr>
      <w:r>
        <w:drawing>
          <wp:inline xmlns:a="http://schemas.openxmlformats.org/drawingml/2006/main" xmlns:pic="http://schemas.openxmlformats.org/drawingml/2006/picture">
            <wp:extent cx="4320000" cy="3329675"/>
            <wp:docPr id="3" name="Picture 3"/>
            <wp:cNvGraphicFramePr>
              <a:graphicFrameLocks noChangeAspect="1"/>
            </wp:cNvGraphicFramePr>
            <a:graphic>
              <a:graphicData uri="http://schemas.openxmlformats.org/drawingml/2006/picture">
                <pic:pic>
                  <pic:nvPicPr>
                    <pic:cNvPr id="0" name="fig3_mapa_riesgo.png"/>
                    <pic:cNvPicPr/>
                  </pic:nvPicPr>
                  <pic:blipFill>
                    <a:blip r:embed="rId11"/>
                    <a:stretch>
                      <a:fillRect/>
                    </a:stretch>
                  </pic:blipFill>
                  <pic:spPr>
                    <a:xfrm>
                      <a:off x="0" y="0"/>
                      <a:ext cx="4320000" cy="3329675"/>
                    </a:xfrm>
                    <a:prstGeom prst="rect"/>
                  </pic:spPr>
                </pic:pic>
              </a:graphicData>
            </a:graphic>
          </wp:inline>
        </w:drawing>
      </w:r>
    </w:p>
    <w:p>
      <w:pPr>
        <w:spacing w:after="160"/>
        <w:jc w:val="center"/>
      </w:pPr>
      <w:r>
        <w:rPr>
          <w:rFonts w:ascii="Times New Roman" w:hAnsi="Times New Roman" w:eastAsia="Times New Roman"/>
          <w:b w:val="0"/>
          <w:i w:val="0"/>
          <w:sz w:val="22"/>
        </w:rPr>
        <w:t>Figura 3. Mapa de riesgo glucémico (variabilidad %CV vs. tiempo en hipoglucemia &lt;54 mg/dL); líneas discontinuas: umbrales de consenso.</w:t>
      </w:r>
    </w:p>
    <w:p>
      <w:pPr>
        <w:spacing w:before="120" w:after="40"/>
        <w:jc w:val="center"/>
      </w:pPr>
      <w:r>
        <w:rPr>
          <w:rFonts w:ascii="Times New Roman" w:hAnsi="Times New Roman" w:eastAsia="Times New Roman"/>
          <w:b/>
          <w:i w:val="0"/>
          <w:sz w:val="22"/>
        </w:rPr>
        <w:t>Tabla 3. Comparación entre el subgrupo con perfil de labilidad y el resto de la cohorte (prueba t de Welch).</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Pr>
                <w:rFonts w:ascii="Times New Roman" w:hAnsi="Times New Roman" w:eastAsia="Times New Roman"/>
                <w:b/>
                <w:i w:val="0"/>
                <w:sz w:val="18"/>
              </w:rPr>
              <w:t>Variable</w:t>
            </w:r>
          </w:p>
        </w:tc>
        <w:tc>
          <w:tcPr>
            <w:tcW w:type="dxa" w:w="2256"/>
          </w:tcPr>
          <w:p>
            <w:pPr>
              <w:jc w:val="center"/>
            </w:pPr>
            <w:r>
              <w:rPr>
                <w:rFonts w:ascii="Times New Roman" w:hAnsi="Times New Roman" w:eastAsia="Times New Roman"/>
                <w:b/>
                <w:i w:val="0"/>
                <w:sz w:val="18"/>
              </w:rPr>
              <w:t>Perfil labilidad</w:t>
            </w:r>
          </w:p>
        </w:tc>
        <w:tc>
          <w:tcPr>
            <w:tcW w:type="dxa" w:w="2256"/>
          </w:tcPr>
          <w:p>
            <w:pPr>
              <w:jc w:val="center"/>
            </w:pPr>
            <w:r>
              <w:rPr>
                <w:rFonts w:ascii="Times New Roman" w:hAnsi="Times New Roman" w:eastAsia="Times New Roman"/>
                <w:b/>
                <w:i w:val="0"/>
                <w:sz w:val="18"/>
              </w:rPr>
              <w:t>Resto</w:t>
            </w:r>
          </w:p>
        </w:tc>
        <w:tc>
          <w:tcPr>
            <w:tcW w:type="dxa" w:w="2256"/>
          </w:tcPr>
          <w:p>
            <w:pPr>
              <w:jc w:val="center"/>
            </w:pPr>
            <w:r>
              <w:rPr>
                <w:rFonts w:ascii="Times New Roman" w:hAnsi="Times New Roman" w:eastAsia="Times New Roman"/>
                <w:b/>
                <w:i w:val="0"/>
                <w:sz w:val="18"/>
              </w:rPr>
              <w:t>p</w:t>
            </w:r>
          </w:p>
        </w:tc>
      </w:tr>
      <w:tr>
        <w:tc>
          <w:tcPr>
            <w:tcW w:type="dxa" w:w="2256"/>
          </w:tcPr>
          <w:p>
            <w:pPr>
              <w:jc w:val="left"/>
            </w:pPr>
            <w:r>
              <w:rPr>
                <w:rFonts w:ascii="Times New Roman" w:hAnsi="Times New Roman" w:eastAsia="Times New Roman"/>
                <w:b w:val="0"/>
                <w:i w:val="0"/>
                <w:sz w:val="18"/>
              </w:rPr>
              <w:t>%CV (%)</w:t>
            </w:r>
          </w:p>
        </w:tc>
        <w:tc>
          <w:tcPr>
            <w:tcW w:type="dxa" w:w="2256"/>
          </w:tcPr>
          <w:p>
            <w:pPr>
              <w:jc w:val="center"/>
            </w:pPr>
            <w:r>
              <w:rPr>
                <w:rFonts w:ascii="Times New Roman" w:hAnsi="Times New Roman" w:eastAsia="Times New Roman"/>
                <w:b w:val="0"/>
                <w:i w:val="0"/>
                <w:sz w:val="18"/>
              </w:rPr>
              <w:t>40.2</w:t>
            </w:r>
          </w:p>
        </w:tc>
        <w:tc>
          <w:tcPr>
            <w:tcW w:type="dxa" w:w="2256"/>
          </w:tcPr>
          <w:p>
            <w:pPr>
              <w:jc w:val="center"/>
            </w:pPr>
            <w:r>
              <w:rPr>
                <w:rFonts w:ascii="Times New Roman" w:hAnsi="Times New Roman" w:eastAsia="Times New Roman"/>
                <w:b w:val="0"/>
                <w:i w:val="0"/>
                <w:sz w:val="18"/>
              </w:rPr>
              <w:t>37.3</w:t>
            </w:r>
          </w:p>
        </w:tc>
        <w:tc>
          <w:tcPr>
            <w:tcW w:type="dxa" w:w="2256"/>
          </w:tcPr>
          <w:p>
            <w:pPr>
              <w:jc w:val="center"/>
            </w:pPr>
            <w:r>
              <w:rPr>
                <w:rFonts w:ascii="Times New Roman" w:hAnsi="Times New Roman" w:eastAsia="Times New Roman"/>
                <w:b w:val="0"/>
                <w:i w:val="0"/>
                <w:sz w:val="18"/>
              </w:rPr>
              <w:t>0.032</w:t>
            </w:r>
          </w:p>
        </w:tc>
      </w:tr>
      <w:tr>
        <w:tc>
          <w:tcPr>
            <w:tcW w:type="dxa" w:w="2256"/>
          </w:tcPr>
          <w:p>
            <w:pPr>
              <w:jc w:val="left"/>
            </w:pPr>
            <w:r>
              <w:rPr>
                <w:rFonts w:ascii="Times New Roman" w:hAnsi="Times New Roman" w:eastAsia="Times New Roman"/>
                <w:b w:val="0"/>
                <w:i w:val="0"/>
                <w:sz w:val="18"/>
              </w:rPr>
              <w:t>TBR&lt;54 (%)</w:t>
            </w:r>
          </w:p>
        </w:tc>
        <w:tc>
          <w:tcPr>
            <w:tcW w:type="dxa" w:w="2256"/>
          </w:tcPr>
          <w:p>
            <w:pPr>
              <w:jc w:val="center"/>
            </w:pPr>
            <w:r>
              <w:rPr>
                <w:rFonts w:ascii="Times New Roman" w:hAnsi="Times New Roman" w:eastAsia="Times New Roman"/>
                <w:b w:val="0"/>
                <w:i w:val="0"/>
                <w:sz w:val="18"/>
              </w:rPr>
              <w:t>1.6</w:t>
            </w:r>
          </w:p>
        </w:tc>
        <w:tc>
          <w:tcPr>
            <w:tcW w:type="dxa" w:w="2256"/>
          </w:tcPr>
          <w:p>
            <w:pPr>
              <w:jc w:val="center"/>
            </w:pPr>
            <w:r>
              <w:rPr>
                <w:rFonts w:ascii="Times New Roman" w:hAnsi="Times New Roman" w:eastAsia="Times New Roman"/>
                <w:b w:val="0"/>
                <w:i w:val="0"/>
                <w:sz w:val="18"/>
              </w:rPr>
              <w:t>0.9</w:t>
            </w:r>
          </w:p>
        </w:tc>
        <w:tc>
          <w:tcPr>
            <w:tcW w:type="dxa" w:w="2256"/>
          </w:tcPr>
          <w:p>
            <w:pPr>
              <w:jc w:val="center"/>
            </w:pPr>
            <w:r>
              <w:rPr>
                <w:rFonts w:ascii="Times New Roman" w:hAnsi="Times New Roman" w:eastAsia="Times New Roman"/>
                <w:b w:val="0"/>
                <w:i w:val="0"/>
                <w:sz w:val="18"/>
              </w:rPr>
              <w:t>0.004</w:t>
            </w:r>
          </w:p>
        </w:tc>
      </w:tr>
      <w:tr>
        <w:tc>
          <w:tcPr>
            <w:tcW w:type="dxa" w:w="2256"/>
          </w:tcPr>
          <w:p>
            <w:pPr>
              <w:jc w:val="left"/>
            </w:pPr>
            <w:r>
              <w:rPr>
                <w:rFonts w:ascii="Times New Roman" w:hAnsi="Times New Roman" w:eastAsia="Times New Roman"/>
                <w:b w:val="0"/>
                <w:i w:val="0"/>
                <w:sz w:val="18"/>
              </w:rPr>
              <w:t>TBR&lt;70 (%)</w:t>
            </w:r>
          </w:p>
        </w:tc>
        <w:tc>
          <w:tcPr>
            <w:tcW w:type="dxa" w:w="2256"/>
          </w:tcPr>
          <w:p>
            <w:pPr>
              <w:jc w:val="center"/>
            </w:pPr>
            <w:r>
              <w:rPr>
                <w:rFonts w:ascii="Times New Roman" w:hAnsi="Times New Roman" w:eastAsia="Times New Roman"/>
                <w:b w:val="0"/>
                <w:i w:val="0"/>
                <w:sz w:val="18"/>
              </w:rPr>
              <w:t>5.5</w:t>
            </w:r>
          </w:p>
        </w:tc>
        <w:tc>
          <w:tcPr>
            <w:tcW w:type="dxa" w:w="2256"/>
          </w:tcPr>
          <w:p>
            <w:pPr>
              <w:jc w:val="center"/>
            </w:pPr>
            <w:r>
              <w:rPr>
                <w:rFonts w:ascii="Times New Roman" w:hAnsi="Times New Roman" w:eastAsia="Times New Roman"/>
                <w:b w:val="0"/>
                <w:i w:val="0"/>
                <w:sz w:val="18"/>
              </w:rPr>
              <w:t>3.7</w:t>
            </w:r>
          </w:p>
        </w:tc>
        <w:tc>
          <w:tcPr>
            <w:tcW w:type="dxa" w:w="2256"/>
          </w:tcPr>
          <w:p>
            <w:pPr>
              <w:jc w:val="center"/>
            </w:pPr>
            <w:r>
              <w:rPr>
                <w:rFonts w:ascii="Times New Roman" w:hAnsi="Times New Roman" w:eastAsia="Times New Roman"/>
                <w:b w:val="0"/>
                <w:i w:val="0"/>
                <w:sz w:val="18"/>
              </w:rPr>
              <w:t>0.004</w:t>
            </w:r>
          </w:p>
        </w:tc>
      </w:tr>
      <w:tr>
        <w:tc>
          <w:tcPr>
            <w:tcW w:type="dxa" w:w="2256"/>
          </w:tcPr>
          <w:p>
            <w:pPr>
              <w:jc w:val="left"/>
            </w:pPr>
            <w:r>
              <w:rPr>
                <w:rFonts w:ascii="Times New Roman" w:hAnsi="Times New Roman" w:eastAsia="Times New Roman"/>
                <w:b w:val="0"/>
                <w:i w:val="0"/>
                <w:sz w:val="18"/>
              </w:rPr>
              <w:t>TIR (%)</w:t>
            </w:r>
          </w:p>
        </w:tc>
        <w:tc>
          <w:tcPr>
            <w:tcW w:type="dxa" w:w="2256"/>
          </w:tcPr>
          <w:p>
            <w:pPr>
              <w:jc w:val="center"/>
            </w:pPr>
            <w:r>
              <w:rPr>
                <w:rFonts w:ascii="Times New Roman" w:hAnsi="Times New Roman" w:eastAsia="Times New Roman"/>
                <w:b w:val="0"/>
                <w:i w:val="0"/>
                <w:sz w:val="18"/>
              </w:rPr>
              <w:t>64.6</w:t>
            </w:r>
          </w:p>
        </w:tc>
        <w:tc>
          <w:tcPr>
            <w:tcW w:type="dxa" w:w="2256"/>
          </w:tcPr>
          <w:p>
            <w:pPr>
              <w:jc w:val="center"/>
            </w:pPr>
            <w:r>
              <w:rPr>
                <w:rFonts w:ascii="Times New Roman" w:hAnsi="Times New Roman" w:eastAsia="Times New Roman"/>
                <w:b w:val="0"/>
                <w:i w:val="0"/>
                <w:sz w:val="18"/>
              </w:rPr>
              <w:t>63.1</w:t>
            </w:r>
          </w:p>
        </w:tc>
        <w:tc>
          <w:tcPr>
            <w:tcW w:type="dxa" w:w="2256"/>
          </w:tcPr>
          <w:p>
            <w:pPr>
              <w:jc w:val="center"/>
            </w:pPr>
            <w:r>
              <w:rPr>
                <w:rFonts w:ascii="Times New Roman" w:hAnsi="Times New Roman" w:eastAsia="Times New Roman"/>
                <w:b w:val="0"/>
                <w:i w:val="0"/>
                <w:sz w:val="18"/>
              </w:rPr>
              <w:t>0.716</w:t>
            </w:r>
          </w:p>
        </w:tc>
      </w:tr>
      <w:tr>
        <w:tc>
          <w:tcPr>
            <w:tcW w:type="dxa" w:w="2256"/>
          </w:tcPr>
          <w:p>
            <w:pPr>
              <w:jc w:val="left"/>
            </w:pPr>
            <w:r>
              <w:rPr>
                <w:rFonts w:ascii="Times New Roman" w:hAnsi="Times New Roman" w:eastAsia="Times New Roman"/>
                <w:b w:val="0"/>
                <w:i w:val="0"/>
                <w:sz w:val="18"/>
              </w:rPr>
              <w:t>GMI (%)</w:t>
            </w:r>
          </w:p>
        </w:tc>
        <w:tc>
          <w:tcPr>
            <w:tcW w:type="dxa" w:w="2256"/>
          </w:tcPr>
          <w:p>
            <w:pPr>
              <w:jc w:val="center"/>
            </w:pPr>
            <w:r>
              <w:rPr>
                <w:rFonts w:ascii="Times New Roman" w:hAnsi="Times New Roman" w:eastAsia="Times New Roman"/>
                <w:b w:val="0"/>
                <w:i w:val="0"/>
                <w:sz w:val="18"/>
              </w:rPr>
              <w:t>7</w:t>
            </w:r>
          </w:p>
        </w:tc>
        <w:tc>
          <w:tcPr>
            <w:tcW w:type="dxa" w:w="2256"/>
          </w:tcPr>
          <w:p>
            <w:pPr>
              <w:jc w:val="center"/>
            </w:pPr>
            <w:r>
              <w:rPr>
                <w:rFonts w:ascii="Times New Roman" w:hAnsi="Times New Roman" w:eastAsia="Times New Roman"/>
                <w:b w:val="0"/>
                <w:i w:val="0"/>
                <w:sz w:val="18"/>
              </w:rPr>
              <w:t>7.2</w:t>
            </w:r>
          </w:p>
        </w:tc>
        <w:tc>
          <w:tcPr>
            <w:tcW w:type="dxa" w:w="2256"/>
          </w:tcPr>
          <w:p>
            <w:pPr>
              <w:jc w:val="center"/>
            </w:pPr>
            <w:r>
              <w:rPr>
                <w:rFonts w:ascii="Times New Roman" w:hAnsi="Times New Roman" w:eastAsia="Times New Roman"/>
                <w:b w:val="0"/>
                <w:i w:val="0"/>
                <w:sz w:val="18"/>
              </w:rPr>
              <w:t>0.385</w:t>
            </w:r>
          </w:p>
        </w:tc>
      </w:tr>
      <w:tr>
        <w:tc>
          <w:tcPr>
            <w:tcW w:type="dxa" w:w="2256"/>
          </w:tcPr>
          <w:p>
            <w:pPr>
              <w:jc w:val="left"/>
            </w:pPr>
            <w:r>
              <w:rPr>
                <w:rFonts w:ascii="Times New Roman" w:hAnsi="Times New Roman" w:eastAsia="Times New Roman"/>
                <w:b w:val="0"/>
                <w:i w:val="0"/>
                <w:sz w:val="18"/>
              </w:rPr>
              <w:t>HbA1c (%)</w:t>
            </w:r>
          </w:p>
        </w:tc>
        <w:tc>
          <w:tcPr>
            <w:tcW w:type="dxa" w:w="2256"/>
          </w:tcPr>
          <w:p>
            <w:pPr>
              <w:jc w:val="center"/>
            </w:pPr>
            <w:r>
              <w:rPr>
                <w:rFonts w:ascii="Times New Roman" w:hAnsi="Times New Roman" w:eastAsia="Times New Roman"/>
                <w:b w:val="0"/>
                <w:i w:val="0"/>
                <w:sz w:val="18"/>
              </w:rPr>
              <w:t>7.6</w:t>
            </w:r>
          </w:p>
        </w:tc>
        <w:tc>
          <w:tcPr>
            <w:tcW w:type="dxa" w:w="2256"/>
          </w:tcPr>
          <w:p>
            <w:pPr>
              <w:jc w:val="center"/>
            </w:pPr>
            <w:r>
              <w:rPr>
                <w:rFonts w:ascii="Times New Roman" w:hAnsi="Times New Roman" w:eastAsia="Times New Roman"/>
                <w:b w:val="0"/>
                <w:i w:val="0"/>
                <w:sz w:val="18"/>
              </w:rPr>
              <w:t>7.3</w:t>
            </w:r>
          </w:p>
        </w:tc>
        <w:tc>
          <w:tcPr>
            <w:tcW w:type="dxa" w:w="2256"/>
          </w:tcPr>
          <w:p>
            <w:pPr>
              <w:jc w:val="center"/>
            </w:pPr>
            <w:r>
              <w:rPr>
                <w:rFonts w:ascii="Times New Roman" w:hAnsi="Times New Roman" w:eastAsia="Times New Roman"/>
                <w:b w:val="0"/>
                <w:i w:val="0"/>
                <w:sz w:val="18"/>
              </w:rPr>
              <w:t>0.262</w:t>
            </w:r>
          </w:p>
        </w:tc>
      </w:tr>
      <w:tr>
        <w:tc>
          <w:tcPr>
            <w:tcW w:type="dxa" w:w="2256"/>
          </w:tcPr>
          <w:p>
            <w:pPr>
              <w:jc w:val="left"/>
            </w:pPr>
            <w:r>
              <w:rPr>
                <w:rFonts w:ascii="Times New Roman" w:hAnsi="Times New Roman" w:eastAsia="Times New Roman"/>
                <w:b w:val="0"/>
                <w:i w:val="0"/>
                <w:sz w:val="18"/>
              </w:rPr>
              <w:t>Duración DM1 (años)</w:t>
            </w:r>
          </w:p>
        </w:tc>
        <w:tc>
          <w:tcPr>
            <w:tcW w:type="dxa" w:w="2256"/>
          </w:tcPr>
          <w:p>
            <w:pPr>
              <w:jc w:val="center"/>
            </w:pPr>
            <w:r>
              <w:rPr>
                <w:rFonts w:ascii="Times New Roman" w:hAnsi="Times New Roman" w:eastAsia="Times New Roman"/>
                <w:b w:val="0"/>
                <w:i w:val="0"/>
                <w:sz w:val="18"/>
              </w:rPr>
              <w:t>25.6</w:t>
            </w:r>
          </w:p>
        </w:tc>
        <w:tc>
          <w:tcPr>
            <w:tcW w:type="dxa" w:w="2256"/>
          </w:tcPr>
          <w:p>
            <w:pPr>
              <w:jc w:val="center"/>
            </w:pPr>
            <w:r>
              <w:rPr>
                <w:rFonts w:ascii="Times New Roman" w:hAnsi="Times New Roman" w:eastAsia="Times New Roman"/>
                <w:b w:val="0"/>
                <w:i w:val="0"/>
                <w:sz w:val="18"/>
              </w:rPr>
              <w:t>23.2</w:t>
            </w:r>
          </w:p>
        </w:tc>
        <w:tc>
          <w:tcPr>
            <w:tcW w:type="dxa" w:w="2256"/>
          </w:tcPr>
          <w:p>
            <w:pPr>
              <w:jc w:val="center"/>
            </w:pPr>
            <w:r>
              <w:rPr>
                <w:rFonts w:ascii="Times New Roman" w:hAnsi="Times New Roman" w:eastAsia="Times New Roman"/>
                <w:b w:val="0"/>
                <w:i w:val="0"/>
                <w:sz w:val="18"/>
              </w:rPr>
              <w:t>0.627</w:t>
            </w:r>
          </w:p>
        </w:tc>
      </w:tr>
      <w:tr>
        <w:tc>
          <w:tcPr>
            <w:tcW w:type="dxa" w:w="2256"/>
          </w:tcPr>
          <w:p>
            <w:pPr>
              <w:jc w:val="left"/>
            </w:pPr>
            <w:r>
              <w:rPr>
                <w:rFonts w:ascii="Times New Roman" w:hAnsi="Times New Roman" w:eastAsia="Times New Roman"/>
                <w:b w:val="0"/>
                <w:i w:val="0"/>
                <w:sz w:val="18"/>
              </w:rPr>
              <w:t>Edad (años)</w:t>
            </w:r>
          </w:p>
        </w:tc>
        <w:tc>
          <w:tcPr>
            <w:tcW w:type="dxa" w:w="2256"/>
          </w:tcPr>
          <w:p>
            <w:pPr>
              <w:jc w:val="center"/>
            </w:pPr>
            <w:r>
              <w:rPr>
                <w:rFonts w:ascii="Times New Roman" w:hAnsi="Times New Roman" w:eastAsia="Times New Roman"/>
                <w:b w:val="0"/>
                <w:i w:val="0"/>
                <w:sz w:val="18"/>
              </w:rPr>
              <w:t>40.6</w:t>
            </w:r>
          </w:p>
        </w:tc>
        <w:tc>
          <w:tcPr>
            <w:tcW w:type="dxa" w:w="2256"/>
          </w:tcPr>
          <w:p>
            <w:pPr>
              <w:jc w:val="center"/>
            </w:pPr>
            <w:r>
              <w:rPr>
                <w:rFonts w:ascii="Times New Roman" w:hAnsi="Times New Roman" w:eastAsia="Times New Roman"/>
                <w:b w:val="0"/>
                <w:i w:val="0"/>
                <w:sz w:val="18"/>
              </w:rPr>
              <w:t>44.1</w:t>
            </w:r>
          </w:p>
        </w:tc>
        <w:tc>
          <w:tcPr>
            <w:tcW w:type="dxa" w:w="2256"/>
          </w:tcPr>
          <w:p>
            <w:pPr>
              <w:jc w:val="center"/>
            </w:pPr>
            <w:r>
              <w:rPr>
                <w:rFonts w:ascii="Times New Roman" w:hAnsi="Times New Roman" w:eastAsia="Times New Roman"/>
                <w:b w:val="0"/>
                <w:i w:val="0"/>
                <w:sz w:val="18"/>
              </w:rPr>
              <w:t>0.479</w:t>
            </w:r>
          </w:p>
        </w:tc>
      </w:tr>
    </w:tbl>
    <w:p>
      <w:pPr>
        <w:spacing w:after="80"/>
      </w:pPr>
    </w:p>
    <w:p>
      <w:pPr>
        <w:spacing w:before="120"/>
        <w:jc w:val="center"/>
      </w:pPr>
      <w:r>
        <w:drawing>
          <wp:inline xmlns:a="http://schemas.openxmlformats.org/drawingml/2006/main" xmlns:pic="http://schemas.openxmlformats.org/drawingml/2006/picture">
            <wp:extent cx="3960000" cy="3095304"/>
            <wp:docPr id="4" name="Picture 4"/>
            <wp:cNvGraphicFramePr>
              <a:graphicFrameLocks noChangeAspect="1"/>
            </wp:cNvGraphicFramePr>
            <a:graphic>
              <a:graphicData uri="http://schemas.openxmlformats.org/drawingml/2006/picture">
                <pic:pic>
                  <pic:nvPicPr>
                    <pic:cNvPr id="0" name="fig4_fenotipos_pca.png"/>
                    <pic:cNvPicPr/>
                  </pic:nvPicPr>
                  <pic:blipFill>
                    <a:blip r:embed="rId12"/>
                    <a:stretch>
                      <a:fillRect/>
                    </a:stretch>
                  </pic:blipFill>
                  <pic:spPr>
                    <a:xfrm>
                      <a:off x="0" y="0"/>
                      <a:ext cx="3960000" cy="3095304"/>
                    </a:xfrm>
                    <a:prstGeom prst="rect"/>
                  </pic:spPr>
                </pic:pic>
              </a:graphicData>
            </a:graphic>
          </wp:inline>
        </w:drawing>
      </w:r>
    </w:p>
    <w:p>
      <w:pPr>
        <w:spacing w:after="160"/>
        <w:jc w:val="center"/>
      </w:pPr>
      <w:r>
        <w:rPr>
          <w:rFonts w:ascii="Times New Roman" w:hAnsi="Times New Roman" w:eastAsia="Times New Roman"/>
          <w:b w:val="0"/>
          <w:i w:val="0"/>
          <w:sz w:val="22"/>
        </w:rPr>
        <w:t>Figura 4. Fenotipos glucémicos identificados por K-Means (k=3) en el espacio de las dos primeras componentes principales.</w:t>
      </w:r>
    </w:p>
    <w:p>
      <w:pPr>
        <w:spacing w:before="120" w:after="40"/>
        <w:jc w:val="center"/>
      </w:pPr>
      <w:r>
        <w:rPr>
          <w:rFonts w:ascii="Times New Roman" w:hAnsi="Times New Roman" w:eastAsia="Times New Roman"/>
          <w:b/>
          <w:i w:val="0"/>
          <w:sz w:val="22"/>
        </w:rPr>
        <w:t>Tabla 4. Perfil promedio de los fenotipos glucémicos (K-Means, k=3).</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pPr>
              <w:jc w:val="center"/>
            </w:pPr>
            <w:r>
              <w:rPr>
                <w:rFonts w:ascii="Times New Roman" w:hAnsi="Times New Roman" w:eastAsia="Times New Roman"/>
                <w:b/>
                <w:i w:val="0"/>
                <w:sz w:val="18"/>
              </w:rPr>
              <w:t>fenotipo</w:t>
            </w:r>
          </w:p>
        </w:tc>
        <w:tc>
          <w:tcPr>
            <w:tcW w:type="dxa" w:w="1003"/>
          </w:tcPr>
          <w:p>
            <w:pPr>
              <w:jc w:val="center"/>
            </w:pPr>
            <w:r>
              <w:rPr>
                <w:rFonts w:ascii="Times New Roman" w:hAnsi="Times New Roman" w:eastAsia="Times New Roman"/>
                <w:b/>
                <w:i w:val="0"/>
                <w:sz w:val="18"/>
              </w:rPr>
              <w:t>glucosa_media</w:t>
            </w:r>
          </w:p>
        </w:tc>
        <w:tc>
          <w:tcPr>
            <w:tcW w:type="dxa" w:w="1003"/>
          </w:tcPr>
          <w:p>
            <w:pPr>
              <w:jc w:val="center"/>
            </w:pPr>
            <w:r>
              <w:rPr>
                <w:rFonts w:ascii="Times New Roman" w:hAnsi="Times New Roman" w:eastAsia="Times New Roman"/>
                <w:b/>
                <w:i w:val="0"/>
                <w:sz w:val="18"/>
              </w:rPr>
              <w:t>cv_pct</w:t>
            </w:r>
          </w:p>
        </w:tc>
        <w:tc>
          <w:tcPr>
            <w:tcW w:type="dxa" w:w="1003"/>
          </w:tcPr>
          <w:p>
            <w:pPr>
              <w:jc w:val="center"/>
            </w:pPr>
            <w:r>
              <w:rPr>
                <w:rFonts w:ascii="Times New Roman" w:hAnsi="Times New Roman" w:eastAsia="Times New Roman"/>
                <w:b/>
                <w:i w:val="0"/>
                <w:sz w:val="18"/>
              </w:rPr>
              <w:t>tir_70_180_pct</w:t>
            </w:r>
          </w:p>
        </w:tc>
        <w:tc>
          <w:tcPr>
            <w:tcW w:type="dxa" w:w="1003"/>
          </w:tcPr>
          <w:p>
            <w:pPr>
              <w:jc w:val="center"/>
            </w:pPr>
            <w:r>
              <w:rPr>
                <w:rFonts w:ascii="Times New Roman" w:hAnsi="Times New Roman" w:eastAsia="Times New Roman"/>
                <w:b/>
                <w:i w:val="0"/>
                <w:sz w:val="18"/>
              </w:rPr>
              <w:t>tbr_54_pct</w:t>
            </w:r>
          </w:p>
        </w:tc>
        <w:tc>
          <w:tcPr>
            <w:tcW w:type="dxa" w:w="1003"/>
          </w:tcPr>
          <w:p>
            <w:pPr>
              <w:jc w:val="center"/>
            </w:pPr>
            <w:r>
              <w:rPr>
                <w:rFonts w:ascii="Times New Roman" w:hAnsi="Times New Roman" w:eastAsia="Times New Roman"/>
                <w:b/>
                <w:i w:val="0"/>
                <w:sz w:val="18"/>
              </w:rPr>
              <w:t>tar_250_pct</w:t>
            </w:r>
          </w:p>
        </w:tc>
        <w:tc>
          <w:tcPr>
            <w:tcW w:type="dxa" w:w="1003"/>
          </w:tcPr>
          <w:p>
            <w:pPr>
              <w:jc w:val="center"/>
            </w:pPr>
            <w:r>
              <w:rPr>
                <w:rFonts w:ascii="Times New Roman" w:hAnsi="Times New Roman" w:eastAsia="Times New Roman"/>
                <w:b/>
                <w:i w:val="0"/>
                <w:sz w:val="18"/>
              </w:rPr>
              <w:t>iah</w:t>
            </w:r>
          </w:p>
        </w:tc>
        <w:tc>
          <w:tcPr>
            <w:tcW w:type="dxa" w:w="1003"/>
          </w:tcPr>
          <w:p>
            <w:pPr>
              <w:jc w:val="center"/>
            </w:pPr>
            <w:r>
              <w:rPr>
                <w:rFonts w:ascii="Times New Roman" w:hAnsi="Times New Roman" w:eastAsia="Times New Roman"/>
                <w:b/>
                <w:i w:val="0"/>
                <w:sz w:val="18"/>
              </w:rPr>
              <w:t>perfil_labilidad</w:t>
            </w:r>
          </w:p>
        </w:tc>
        <w:tc>
          <w:tcPr>
            <w:tcW w:type="dxa" w:w="1003"/>
          </w:tcPr>
          <w:p>
            <w:pPr>
              <w:jc w:val="center"/>
            </w:pPr>
            <w:r>
              <w:rPr>
                <w:rFonts w:ascii="Times New Roman" w:hAnsi="Times New Roman" w:eastAsia="Times New Roman"/>
                <w:b/>
                <w:i w:val="0"/>
                <w:sz w:val="18"/>
              </w:rPr>
              <w:t>n</w:t>
            </w:r>
          </w:p>
        </w:tc>
      </w:tr>
      <w:tr>
        <w:tc>
          <w:tcPr>
            <w:tcW w:type="dxa" w:w="1003"/>
          </w:tcPr>
          <w:p>
            <w:pPr>
              <w:jc w:val="left"/>
            </w:pPr>
            <w:r>
              <w:rPr>
                <w:rFonts w:ascii="Times New Roman" w:hAnsi="Times New Roman" w:eastAsia="Times New Roman"/>
                <w:b w:val="0"/>
                <w:i w:val="0"/>
                <w:sz w:val="18"/>
              </w:rPr>
              <w:t>0</w:t>
            </w:r>
          </w:p>
        </w:tc>
        <w:tc>
          <w:tcPr>
            <w:tcW w:type="dxa" w:w="1003"/>
          </w:tcPr>
          <w:p>
            <w:pPr>
              <w:jc w:val="center"/>
            </w:pPr>
            <w:r>
              <w:rPr>
                <w:rFonts w:ascii="Times New Roman" w:hAnsi="Times New Roman" w:eastAsia="Times New Roman"/>
                <w:b w:val="0"/>
                <w:i w:val="0"/>
                <w:sz w:val="18"/>
              </w:rPr>
              <w:t>159.47</w:t>
            </w:r>
          </w:p>
        </w:tc>
        <w:tc>
          <w:tcPr>
            <w:tcW w:type="dxa" w:w="1003"/>
          </w:tcPr>
          <w:p>
            <w:pPr>
              <w:jc w:val="center"/>
            </w:pPr>
            <w:r>
              <w:rPr>
                <w:rFonts w:ascii="Times New Roman" w:hAnsi="Times New Roman" w:eastAsia="Times New Roman"/>
                <w:b w:val="0"/>
                <w:i w:val="0"/>
                <w:sz w:val="18"/>
              </w:rPr>
              <w:t>42.05</w:t>
            </w:r>
          </w:p>
        </w:tc>
        <w:tc>
          <w:tcPr>
            <w:tcW w:type="dxa" w:w="1003"/>
          </w:tcPr>
          <w:p>
            <w:pPr>
              <w:jc w:val="center"/>
            </w:pPr>
            <w:r>
              <w:rPr>
                <w:rFonts w:ascii="Times New Roman" w:hAnsi="Times New Roman" w:eastAsia="Times New Roman"/>
                <w:b w:val="0"/>
                <w:i w:val="0"/>
                <w:sz w:val="18"/>
              </w:rPr>
              <w:t>60.38</w:t>
            </w:r>
          </w:p>
        </w:tc>
        <w:tc>
          <w:tcPr>
            <w:tcW w:type="dxa" w:w="1003"/>
          </w:tcPr>
          <w:p>
            <w:pPr>
              <w:jc w:val="center"/>
            </w:pPr>
            <w:r>
              <w:rPr>
                <w:rFonts w:ascii="Times New Roman" w:hAnsi="Times New Roman" w:eastAsia="Times New Roman"/>
                <w:b w:val="0"/>
                <w:i w:val="0"/>
                <w:sz w:val="18"/>
              </w:rPr>
              <w:t>1.81</w:t>
            </w:r>
          </w:p>
        </w:tc>
        <w:tc>
          <w:tcPr>
            <w:tcW w:type="dxa" w:w="1003"/>
          </w:tcPr>
          <w:p>
            <w:pPr>
              <w:jc w:val="center"/>
            </w:pPr>
            <w:r>
              <w:rPr>
                <w:rFonts w:ascii="Times New Roman" w:hAnsi="Times New Roman" w:eastAsia="Times New Roman"/>
                <w:b w:val="0"/>
                <w:i w:val="0"/>
                <w:sz w:val="18"/>
              </w:rPr>
              <w:t>10.57</w:t>
            </w:r>
          </w:p>
        </w:tc>
        <w:tc>
          <w:tcPr>
            <w:tcW w:type="dxa" w:w="1003"/>
          </w:tcPr>
          <w:p>
            <w:pPr>
              <w:jc w:val="center"/>
            </w:pPr>
            <w:r>
              <w:rPr>
                <w:rFonts w:ascii="Times New Roman" w:hAnsi="Times New Roman" w:eastAsia="Times New Roman"/>
                <w:b w:val="0"/>
                <w:i w:val="0"/>
                <w:sz w:val="18"/>
              </w:rPr>
              <w:t>0.08</w:t>
            </w:r>
          </w:p>
        </w:tc>
        <w:tc>
          <w:tcPr>
            <w:tcW w:type="dxa" w:w="1003"/>
          </w:tcPr>
          <w:p>
            <w:pPr>
              <w:jc w:val="center"/>
            </w:pPr>
            <w:r>
              <w:rPr>
                <w:rFonts w:ascii="Times New Roman" w:hAnsi="Times New Roman" w:eastAsia="Times New Roman"/>
                <w:b w:val="0"/>
                <w:i w:val="0"/>
                <w:sz w:val="18"/>
              </w:rPr>
              <w:t>0.05</w:t>
            </w:r>
          </w:p>
        </w:tc>
        <w:tc>
          <w:tcPr>
            <w:tcW w:type="dxa" w:w="1003"/>
          </w:tcPr>
          <w:p>
            <w:pPr>
              <w:jc w:val="center"/>
            </w:pPr>
            <w:r>
              <w:rPr>
                <w:rFonts w:ascii="Times New Roman" w:hAnsi="Times New Roman" w:eastAsia="Times New Roman"/>
                <w:b w:val="0"/>
                <w:i w:val="0"/>
                <w:sz w:val="18"/>
              </w:rPr>
              <w:t>64</w:t>
            </w:r>
          </w:p>
        </w:tc>
      </w:tr>
      <w:tr>
        <w:tc>
          <w:tcPr>
            <w:tcW w:type="dxa" w:w="1003"/>
          </w:tcPr>
          <w:p>
            <w:pPr>
              <w:jc w:val="left"/>
            </w:pPr>
            <w:r>
              <w:rPr>
                <w:rFonts w:ascii="Times New Roman" w:hAnsi="Times New Roman" w:eastAsia="Times New Roman"/>
                <w:b w:val="0"/>
                <w:i w:val="0"/>
                <w:sz w:val="18"/>
              </w:rPr>
              <w:t>1</w:t>
            </w:r>
          </w:p>
        </w:tc>
        <w:tc>
          <w:tcPr>
            <w:tcW w:type="dxa" w:w="1003"/>
          </w:tcPr>
          <w:p>
            <w:pPr>
              <w:jc w:val="center"/>
            </w:pPr>
            <w:r>
              <w:rPr>
                <w:rFonts w:ascii="Times New Roman" w:hAnsi="Times New Roman" w:eastAsia="Times New Roman"/>
                <w:b w:val="0"/>
                <w:i w:val="0"/>
                <w:sz w:val="18"/>
              </w:rPr>
              <w:t>187.96</w:t>
            </w:r>
          </w:p>
        </w:tc>
        <w:tc>
          <w:tcPr>
            <w:tcW w:type="dxa" w:w="1003"/>
          </w:tcPr>
          <w:p>
            <w:pPr>
              <w:jc w:val="center"/>
            </w:pPr>
            <w:r>
              <w:rPr>
                <w:rFonts w:ascii="Times New Roman" w:hAnsi="Times New Roman" w:eastAsia="Times New Roman"/>
                <w:b w:val="0"/>
                <w:i w:val="0"/>
                <w:sz w:val="18"/>
              </w:rPr>
              <w:t>37.61</w:t>
            </w:r>
          </w:p>
        </w:tc>
        <w:tc>
          <w:tcPr>
            <w:tcW w:type="dxa" w:w="1003"/>
          </w:tcPr>
          <w:p>
            <w:pPr>
              <w:jc w:val="center"/>
            </w:pPr>
            <w:r>
              <w:rPr>
                <w:rFonts w:ascii="Times New Roman" w:hAnsi="Times New Roman" w:eastAsia="Times New Roman"/>
                <w:b w:val="0"/>
                <w:i w:val="0"/>
                <w:sz w:val="18"/>
              </w:rPr>
              <w:t>48.08</w:t>
            </w:r>
          </w:p>
        </w:tc>
        <w:tc>
          <w:tcPr>
            <w:tcW w:type="dxa" w:w="1003"/>
          </w:tcPr>
          <w:p>
            <w:pPr>
              <w:jc w:val="center"/>
            </w:pPr>
            <w:r>
              <w:rPr>
                <w:rFonts w:ascii="Times New Roman" w:hAnsi="Times New Roman" w:eastAsia="Times New Roman"/>
                <w:b w:val="0"/>
                <w:i w:val="0"/>
                <w:sz w:val="18"/>
              </w:rPr>
              <w:t>0.56</w:t>
            </w:r>
          </w:p>
        </w:tc>
        <w:tc>
          <w:tcPr>
            <w:tcW w:type="dxa" w:w="1003"/>
          </w:tcPr>
          <w:p>
            <w:pPr>
              <w:jc w:val="center"/>
            </w:pPr>
            <w:r>
              <w:rPr>
                <w:rFonts w:ascii="Times New Roman" w:hAnsi="Times New Roman" w:eastAsia="Times New Roman"/>
                <w:b w:val="0"/>
                <w:i w:val="0"/>
                <w:sz w:val="18"/>
              </w:rPr>
              <w:t>19.15</w:t>
            </w:r>
          </w:p>
        </w:tc>
        <w:tc>
          <w:tcPr>
            <w:tcW w:type="dxa" w:w="1003"/>
          </w:tcPr>
          <w:p>
            <w:pPr>
              <w:jc w:val="center"/>
            </w:pPr>
            <w:r>
              <w:rPr>
                <w:rFonts w:ascii="Times New Roman" w:hAnsi="Times New Roman" w:eastAsia="Times New Roman"/>
                <w:b w:val="0"/>
                <w:i w:val="0"/>
                <w:sz w:val="18"/>
              </w:rPr>
              <w:t>0.2</w:t>
            </w:r>
          </w:p>
        </w:tc>
        <w:tc>
          <w:tcPr>
            <w:tcW w:type="dxa" w:w="1003"/>
          </w:tcPr>
          <w:p>
            <w:pPr>
              <w:jc w:val="center"/>
            </w:pPr>
            <w:r>
              <w:rPr>
                <w:rFonts w:ascii="Times New Roman" w:hAnsi="Times New Roman" w:eastAsia="Times New Roman"/>
                <w:b w:val="0"/>
                <w:i w:val="0"/>
                <w:sz w:val="18"/>
              </w:rPr>
              <w:t>0.02</w:t>
            </w:r>
          </w:p>
        </w:tc>
        <w:tc>
          <w:tcPr>
            <w:tcW w:type="dxa" w:w="1003"/>
          </w:tcPr>
          <w:p>
            <w:pPr>
              <w:jc w:val="center"/>
            </w:pPr>
            <w:r>
              <w:rPr>
                <w:rFonts w:ascii="Times New Roman" w:hAnsi="Times New Roman" w:eastAsia="Times New Roman"/>
                <w:b w:val="0"/>
                <w:i w:val="0"/>
                <w:sz w:val="18"/>
              </w:rPr>
              <w:t>51</w:t>
            </w:r>
          </w:p>
        </w:tc>
      </w:tr>
      <w:tr>
        <w:tc>
          <w:tcPr>
            <w:tcW w:type="dxa" w:w="1003"/>
          </w:tcPr>
          <w:p>
            <w:pPr>
              <w:jc w:val="left"/>
            </w:pPr>
            <w:r>
              <w:rPr>
                <w:rFonts w:ascii="Times New Roman" w:hAnsi="Times New Roman" w:eastAsia="Times New Roman"/>
                <w:b w:val="0"/>
                <w:i w:val="0"/>
                <w:sz w:val="18"/>
              </w:rPr>
              <w:t>2</w:t>
            </w:r>
          </w:p>
        </w:tc>
        <w:tc>
          <w:tcPr>
            <w:tcW w:type="dxa" w:w="1003"/>
          </w:tcPr>
          <w:p>
            <w:pPr>
              <w:jc w:val="center"/>
            </w:pPr>
            <w:r>
              <w:rPr>
                <w:rFonts w:ascii="Times New Roman" w:hAnsi="Times New Roman" w:eastAsia="Times New Roman"/>
                <w:b w:val="0"/>
                <w:i w:val="0"/>
                <w:sz w:val="18"/>
              </w:rPr>
              <w:t>148.84</w:t>
            </w:r>
          </w:p>
        </w:tc>
        <w:tc>
          <w:tcPr>
            <w:tcW w:type="dxa" w:w="1003"/>
          </w:tcPr>
          <w:p>
            <w:pPr>
              <w:jc w:val="center"/>
            </w:pPr>
            <w:r>
              <w:rPr>
                <w:rFonts w:ascii="Times New Roman" w:hAnsi="Times New Roman" w:eastAsia="Times New Roman"/>
                <w:b w:val="0"/>
                <w:i w:val="0"/>
                <w:sz w:val="18"/>
              </w:rPr>
              <w:t>34.65</w:t>
            </w:r>
          </w:p>
        </w:tc>
        <w:tc>
          <w:tcPr>
            <w:tcW w:type="dxa" w:w="1003"/>
          </w:tcPr>
          <w:p>
            <w:pPr>
              <w:jc w:val="center"/>
            </w:pPr>
            <w:r>
              <w:rPr>
                <w:rFonts w:ascii="Times New Roman" w:hAnsi="Times New Roman" w:eastAsia="Times New Roman"/>
                <w:b w:val="0"/>
                <w:i w:val="0"/>
                <w:sz w:val="18"/>
              </w:rPr>
              <w:t>71.63</w:t>
            </w:r>
          </w:p>
        </w:tc>
        <w:tc>
          <w:tcPr>
            <w:tcW w:type="dxa" w:w="1003"/>
          </w:tcPr>
          <w:p>
            <w:pPr>
              <w:jc w:val="center"/>
            </w:pPr>
            <w:r>
              <w:rPr>
                <w:rFonts w:ascii="Times New Roman" w:hAnsi="Times New Roman" w:eastAsia="Times New Roman"/>
                <w:b w:val="0"/>
                <w:i w:val="0"/>
                <w:sz w:val="18"/>
              </w:rPr>
              <w:t>0.64</w:t>
            </w:r>
          </w:p>
        </w:tc>
        <w:tc>
          <w:tcPr>
            <w:tcW w:type="dxa" w:w="1003"/>
          </w:tcPr>
          <w:p>
            <w:pPr>
              <w:jc w:val="center"/>
            </w:pPr>
            <w:r>
              <w:rPr>
                <w:rFonts w:ascii="Times New Roman" w:hAnsi="Times New Roman" w:eastAsia="Times New Roman"/>
                <w:b w:val="0"/>
                <w:i w:val="0"/>
                <w:sz w:val="18"/>
              </w:rPr>
              <w:t>4.83</w:t>
            </w:r>
          </w:p>
        </w:tc>
        <w:tc>
          <w:tcPr>
            <w:tcW w:type="dxa" w:w="1003"/>
          </w:tcPr>
          <w:p>
            <w:pPr>
              <w:jc w:val="center"/>
            </w:pPr>
            <w:r>
              <w:rPr>
                <w:rFonts w:ascii="Times New Roman" w:hAnsi="Times New Roman" w:eastAsia="Times New Roman"/>
                <w:b w:val="0"/>
                <w:i w:val="0"/>
                <w:sz w:val="18"/>
              </w:rPr>
              <w:t>0.22</w:t>
            </w:r>
          </w:p>
        </w:tc>
        <w:tc>
          <w:tcPr>
            <w:tcW w:type="dxa" w:w="1003"/>
          </w:tcPr>
          <w:p>
            <w:pPr>
              <w:jc w:val="center"/>
            </w:pPr>
            <w:r>
              <w:rPr>
                <w:rFonts w:ascii="Times New Roman" w:hAnsi="Times New Roman" w:eastAsia="Times New Roman"/>
                <w:b w:val="0"/>
                <w:i w:val="0"/>
                <w:sz w:val="18"/>
              </w:rPr>
              <w:t>0.04</w:t>
            </w:r>
          </w:p>
        </w:tc>
        <w:tc>
          <w:tcPr>
            <w:tcW w:type="dxa" w:w="1003"/>
          </w:tcPr>
          <w:p>
            <w:pPr>
              <w:jc w:val="center"/>
            </w:pPr>
            <w:r>
              <w:rPr>
                <w:rFonts w:ascii="Times New Roman" w:hAnsi="Times New Roman" w:eastAsia="Times New Roman"/>
                <w:b w:val="0"/>
                <w:i w:val="0"/>
                <w:sz w:val="18"/>
              </w:rPr>
              <w:t>111</w:t>
            </w:r>
          </w:p>
        </w:tc>
      </w:tr>
    </w:tbl>
    <w:p>
      <w:pPr>
        <w:spacing w:after="80"/>
      </w:pPr>
    </w:p>
    <w:p>
      <w:pPr>
        <w:spacing w:before="120"/>
        <w:jc w:val="center"/>
      </w:pPr>
      <w:r>
        <w:drawing>
          <wp:inline xmlns:a="http://schemas.openxmlformats.org/drawingml/2006/main" xmlns:pic="http://schemas.openxmlformats.org/drawingml/2006/picture">
            <wp:extent cx="5400000" cy="1873655"/>
            <wp:docPr id="5" name="Picture 5"/>
            <wp:cNvGraphicFramePr>
              <a:graphicFrameLocks noChangeAspect="1"/>
            </wp:cNvGraphicFramePr>
            <a:graphic>
              <a:graphicData uri="http://schemas.openxmlformats.org/drawingml/2006/picture">
                <pic:pic>
                  <pic:nvPicPr>
                    <pic:cNvPr id="0" name="fig5_comparacion_boxplots.png"/>
                    <pic:cNvPicPr/>
                  </pic:nvPicPr>
                  <pic:blipFill>
                    <a:blip r:embed="rId13"/>
                    <a:stretch>
                      <a:fillRect/>
                    </a:stretch>
                  </pic:blipFill>
                  <pic:spPr>
                    <a:xfrm>
                      <a:off x="0" y="0"/>
                      <a:ext cx="5400000" cy="1873655"/>
                    </a:xfrm>
                    <a:prstGeom prst="rect"/>
                  </pic:spPr>
                </pic:pic>
              </a:graphicData>
            </a:graphic>
          </wp:inline>
        </w:drawing>
      </w:r>
    </w:p>
    <w:p>
      <w:pPr>
        <w:spacing w:after="160"/>
        <w:jc w:val="center"/>
      </w:pPr>
      <w:r>
        <w:rPr>
          <w:rFonts w:ascii="Times New Roman" w:hAnsi="Times New Roman" w:eastAsia="Times New Roman"/>
          <w:b w:val="0"/>
          <w:i w:val="0"/>
          <w:sz w:val="22"/>
        </w:rPr>
        <w:t>Figura 5. Comparación de las métricas de CGM entre el subgrupo con perfil de labilidad y el resto de la cohorte (líneas discontinuas: umbrales de consenso).</w:t>
      </w:r>
    </w:p>
    <w:p>
      <w:pPr>
        <w:spacing w:after="120"/>
        <w:jc w:val="both"/>
      </w:pPr>
      <w:r>
        <w:rPr>
          <w:rFonts w:ascii="Times New Roman" w:hAnsi="Times New Roman" w:eastAsia="Times New Roman"/>
          <w:b w:val="0"/>
          <w:i w:val="0"/>
          <w:sz w:val="22"/>
        </w:rPr>
        <w:t>La matriz de correlación entre las métricas de CGM (Figura 6) confirma la coherencia interna de los indicadores: la variabilidad (%CV) se asocia positivamente con la exposición a hipoglucemia (TBR&lt;54) y negativamente con el tiempo en rango, mientras que el score de riesgo glucémico resume de forma compacta esta estructura, correlacionando de manera fuerte con las variables que penalizan el control.</w:t>
      </w:r>
    </w:p>
    <w:p>
      <w:pPr>
        <w:spacing w:before="120"/>
        <w:jc w:val="center"/>
      </w:pPr>
      <w:r>
        <w:drawing>
          <wp:inline xmlns:a="http://schemas.openxmlformats.org/drawingml/2006/main" xmlns:pic="http://schemas.openxmlformats.org/drawingml/2006/picture">
            <wp:extent cx="4320000" cy="3605854"/>
            <wp:docPr id="6" name="Picture 6"/>
            <wp:cNvGraphicFramePr>
              <a:graphicFrameLocks noChangeAspect="1"/>
            </wp:cNvGraphicFramePr>
            <a:graphic>
              <a:graphicData uri="http://schemas.openxmlformats.org/drawingml/2006/picture">
                <pic:pic>
                  <pic:nvPicPr>
                    <pic:cNvPr id="0" name="fig6_correlacion.png"/>
                    <pic:cNvPicPr/>
                  </pic:nvPicPr>
                  <pic:blipFill>
                    <a:blip r:embed="rId14"/>
                    <a:stretch>
                      <a:fillRect/>
                    </a:stretch>
                  </pic:blipFill>
                  <pic:spPr>
                    <a:xfrm>
                      <a:off x="0" y="0"/>
                      <a:ext cx="4320000" cy="3605854"/>
                    </a:xfrm>
                    <a:prstGeom prst="rect"/>
                  </pic:spPr>
                </pic:pic>
              </a:graphicData>
            </a:graphic>
          </wp:inline>
        </w:drawing>
      </w:r>
    </w:p>
    <w:p>
      <w:pPr>
        <w:spacing w:after="160"/>
        <w:jc w:val="center"/>
      </w:pPr>
      <w:r>
        <w:rPr>
          <w:rFonts w:ascii="Times New Roman" w:hAnsi="Times New Roman" w:eastAsia="Times New Roman"/>
          <w:b w:val="0"/>
          <w:i w:val="0"/>
          <w:sz w:val="22"/>
        </w:rPr>
        <w:t>Figura 6. Matriz de correlación de Pearson entre las métricas de CGM y el score de riesgo glucémico.</w:t>
      </w:r>
    </w:p>
    <w:p>
      <w:pPr>
        <w:spacing w:before="160" w:after="80"/>
        <w:jc w:val="left"/>
      </w:pPr>
      <w:r>
        <w:rPr>
          <w:rFonts w:ascii="Times New Roman" w:hAnsi="Times New Roman" w:eastAsia="Times New Roman"/>
          <w:b/>
          <w:i w:val="0"/>
          <w:sz w:val="24"/>
        </w:rPr>
        <w:t>4.4. Determinantes de la hipoglucemia inadvertida</w:t>
      </w:r>
    </w:p>
    <w:p>
      <w:pPr>
        <w:spacing w:after="120"/>
        <w:jc w:val="both"/>
      </w:pPr>
      <w:r>
        <w:rPr>
          <w:rFonts w:ascii="Times New Roman" w:hAnsi="Times New Roman" w:eastAsia="Times New Roman"/>
          <w:b w:val="0"/>
          <w:i w:val="0"/>
          <w:sz w:val="22"/>
        </w:rPr>
        <w:t>La regresión logística (Tabla 5) mostró que la hipoglucemia inadvertida se asocia de manera significativa con la duración de la DM1 (OR≈1,04 por año; p=0,016) y con la edad (OR≈1,04; p=0,039), pero no con las métricas de CGM del período de observación (%CV, TBR&lt;54, TIR). Este resultado es coherente con la naturaleza crónica y autonómica de la falla en la percepción de hipoglucemia: la IAH refleja años de exposición acumulada más que el estado glucémico puntual, lo que refuerza la necesidad de combinar cuestionarios clínicos con métricas objetivas para identificar candidatos. El modelo es globalmente significativo (test de razón de verosimilitud, p&lt;0,001) y no presenta multicolinealidad (VIF &lt; 2,4 en todos los predictores); la significación de la duración y la edad se mantiene bajo errores estándar robustos (HC1), lo que respalda la solidez del resultado. Con 39 eventos de hipoglucemia inadvertida para cinco predictores —cerca de ocho eventos por variable—, el modelo se mantiene dentro de los márgenes habituales de estabilidad, aunque sus estimaciones deben leerse con la prudencia propia de una muestra acotada.</w:t>
      </w:r>
    </w:p>
    <w:p>
      <w:pPr>
        <w:spacing w:before="120" w:after="40"/>
        <w:jc w:val="center"/>
      </w:pPr>
      <w:r>
        <w:rPr>
          <w:rFonts w:ascii="Times New Roman" w:hAnsi="Times New Roman" w:eastAsia="Times New Roman"/>
          <w:b/>
          <w:i w:val="0"/>
          <w:sz w:val="22"/>
        </w:rPr>
        <w:t>Tabla 5. Regresión logística de la hipoglucemia inadvertida (IAH): odds ratios, p-valores clásicos y robustos (HC1) y VIF.</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tcPr>
          <w:p>
            <w:pPr>
              <w:jc w:val="center"/>
            </w:pPr>
            <w:r>
              <w:rPr>
                <w:rFonts w:ascii="Times New Roman" w:hAnsi="Times New Roman" w:eastAsia="Times New Roman"/>
                <w:b/>
                <w:i w:val="0"/>
                <w:sz w:val="18"/>
              </w:rPr>
              <w:t>variable</w:t>
            </w:r>
          </w:p>
        </w:tc>
        <w:tc>
          <w:tcPr>
            <w:tcW w:type="dxa" w:w="1504"/>
          </w:tcPr>
          <w:p>
            <w:pPr>
              <w:jc w:val="center"/>
            </w:pPr>
            <w:r>
              <w:rPr>
                <w:rFonts w:ascii="Times New Roman" w:hAnsi="Times New Roman" w:eastAsia="Times New Roman"/>
                <w:b/>
                <w:i w:val="0"/>
                <w:sz w:val="18"/>
              </w:rPr>
              <w:t>coef</w:t>
            </w:r>
          </w:p>
        </w:tc>
        <w:tc>
          <w:tcPr>
            <w:tcW w:type="dxa" w:w="1504"/>
          </w:tcPr>
          <w:p>
            <w:pPr>
              <w:jc w:val="center"/>
            </w:pPr>
            <w:r>
              <w:rPr>
                <w:rFonts w:ascii="Times New Roman" w:hAnsi="Times New Roman" w:eastAsia="Times New Roman"/>
                <w:b/>
                <w:i w:val="0"/>
                <w:sz w:val="18"/>
              </w:rPr>
              <w:t>OR</w:t>
            </w:r>
          </w:p>
        </w:tc>
        <w:tc>
          <w:tcPr>
            <w:tcW w:type="dxa" w:w="1504"/>
          </w:tcPr>
          <w:p>
            <w:pPr>
              <w:jc w:val="center"/>
            </w:pPr>
            <w:r>
              <w:rPr>
                <w:rFonts w:ascii="Times New Roman" w:hAnsi="Times New Roman" w:eastAsia="Times New Roman"/>
                <w:b/>
                <w:i w:val="0"/>
                <w:sz w:val="18"/>
              </w:rPr>
              <w:t>p</w:t>
            </w:r>
          </w:p>
        </w:tc>
        <w:tc>
          <w:tcPr>
            <w:tcW w:type="dxa" w:w="1504"/>
          </w:tcPr>
          <w:p>
            <w:pPr>
              <w:jc w:val="center"/>
            </w:pPr>
            <w:r>
              <w:rPr>
                <w:rFonts w:ascii="Times New Roman" w:hAnsi="Times New Roman" w:eastAsia="Times New Roman"/>
                <w:b/>
                <w:i w:val="0"/>
                <w:sz w:val="18"/>
              </w:rPr>
              <w:t>p_robusto_HC1</w:t>
            </w:r>
          </w:p>
        </w:tc>
        <w:tc>
          <w:tcPr>
            <w:tcW w:type="dxa" w:w="1504"/>
          </w:tcPr>
          <w:p>
            <w:pPr>
              <w:jc w:val="center"/>
            </w:pPr>
            <w:r>
              <w:rPr>
                <w:rFonts w:ascii="Times New Roman" w:hAnsi="Times New Roman" w:eastAsia="Times New Roman"/>
                <w:b/>
                <w:i w:val="0"/>
                <w:sz w:val="18"/>
              </w:rPr>
              <w:t>VIF</w:t>
            </w:r>
          </w:p>
        </w:tc>
      </w:tr>
      <w:tr>
        <w:tc>
          <w:tcPr>
            <w:tcW w:type="dxa" w:w="1504"/>
          </w:tcPr>
          <w:p>
            <w:pPr>
              <w:jc w:val="left"/>
            </w:pPr>
            <w:r>
              <w:rPr>
                <w:rFonts w:ascii="Times New Roman" w:hAnsi="Times New Roman" w:eastAsia="Times New Roman"/>
                <w:b w:val="0"/>
                <w:i w:val="0"/>
                <w:sz w:val="18"/>
              </w:rPr>
              <w:t>Intercepto</w:t>
            </w:r>
          </w:p>
        </w:tc>
        <w:tc>
          <w:tcPr>
            <w:tcW w:type="dxa" w:w="1504"/>
          </w:tcPr>
          <w:p>
            <w:pPr>
              <w:jc w:val="center"/>
            </w:pPr>
            <w:r>
              <w:rPr>
                <w:rFonts w:ascii="Times New Roman" w:hAnsi="Times New Roman" w:eastAsia="Times New Roman"/>
                <w:b w:val="0"/>
                <w:i w:val="0"/>
                <w:sz w:val="18"/>
              </w:rPr>
              <w:t>-3.594</w:t>
            </w:r>
          </w:p>
        </w:tc>
        <w:tc>
          <w:tcPr>
            <w:tcW w:type="dxa" w:w="1504"/>
          </w:tcPr>
          <w:p>
            <w:pPr>
              <w:jc w:val="center"/>
            </w:pPr>
            <w:r>
              <w:rPr>
                <w:rFonts w:ascii="Times New Roman" w:hAnsi="Times New Roman" w:eastAsia="Times New Roman"/>
                <w:b w:val="0"/>
                <w:i w:val="0"/>
                <w:sz w:val="18"/>
              </w:rPr>
              <w:t>0.027</w:t>
            </w:r>
          </w:p>
        </w:tc>
        <w:tc>
          <w:tcPr>
            <w:tcW w:type="dxa" w:w="1504"/>
          </w:tcPr>
          <w:p>
            <w:pPr>
              <w:jc w:val="center"/>
            </w:pPr>
            <w:r>
              <w:rPr>
                <w:rFonts w:ascii="Times New Roman" w:hAnsi="Times New Roman" w:eastAsia="Times New Roman"/>
                <w:b w:val="0"/>
                <w:i w:val="0"/>
                <w:sz w:val="18"/>
              </w:rPr>
              <w:t>0.209</w:t>
            </w:r>
          </w:p>
        </w:tc>
        <w:tc>
          <w:tcPr>
            <w:tcW w:type="dxa" w:w="1504"/>
          </w:tcPr>
          <w:p>
            <w:pPr>
              <w:jc w:val="center"/>
            </w:pPr>
            <w:r>
              <w:rPr>
                <w:rFonts w:ascii="Times New Roman" w:hAnsi="Times New Roman" w:eastAsia="Times New Roman"/>
                <w:b w:val="0"/>
                <w:i w:val="0"/>
                <w:sz w:val="18"/>
              </w:rPr>
              <w:t>0.113</w:t>
            </w:r>
          </w:p>
        </w:tc>
        <w:tc>
          <w:tcPr>
            <w:tcW w:type="dxa" w:w="1504"/>
          </w:tcPr>
          <w:p>
            <w:pPr>
              <w:jc w:val="center"/>
            </w:pPr>
            <w:r>
              <w:rPr>
                <w:rFonts w:ascii="Times New Roman" w:hAnsi="Times New Roman" w:eastAsia="Times New Roman"/>
                <w:b w:val="0"/>
                <w:i w:val="0"/>
                <w:sz w:val="18"/>
              </w:rPr>
              <w:t>—</w:t>
            </w:r>
          </w:p>
        </w:tc>
      </w:tr>
      <w:tr>
        <w:tc>
          <w:tcPr>
            <w:tcW w:type="dxa" w:w="1504"/>
          </w:tcPr>
          <w:p>
            <w:pPr>
              <w:jc w:val="left"/>
            </w:pPr>
            <w:r>
              <w:rPr>
                <w:rFonts w:ascii="Times New Roman" w:hAnsi="Times New Roman" w:eastAsia="Times New Roman"/>
                <w:b w:val="0"/>
                <w:i w:val="0"/>
                <w:sz w:val="18"/>
              </w:rPr>
              <w:t>%CV</w:t>
            </w:r>
          </w:p>
        </w:tc>
        <w:tc>
          <w:tcPr>
            <w:tcW w:type="dxa" w:w="1504"/>
          </w:tcPr>
          <w:p>
            <w:pPr>
              <w:jc w:val="center"/>
            </w:pPr>
            <w:r>
              <w:rPr>
                <w:rFonts w:ascii="Times New Roman" w:hAnsi="Times New Roman" w:eastAsia="Times New Roman"/>
                <w:b w:val="0"/>
                <w:i w:val="0"/>
                <w:sz w:val="18"/>
              </w:rPr>
              <w:t>-0.011</w:t>
            </w:r>
          </w:p>
        </w:tc>
        <w:tc>
          <w:tcPr>
            <w:tcW w:type="dxa" w:w="1504"/>
          </w:tcPr>
          <w:p>
            <w:pPr>
              <w:jc w:val="center"/>
            </w:pPr>
            <w:r>
              <w:rPr>
                <w:rFonts w:ascii="Times New Roman" w:hAnsi="Times New Roman" w:eastAsia="Times New Roman"/>
                <w:b w:val="0"/>
                <w:i w:val="0"/>
                <w:sz w:val="18"/>
              </w:rPr>
              <w:t>0.989</w:t>
            </w:r>
          </w:p>
        </w:tc>
        <w:tc>
          <w:tcPr>
            <w:tcW w:type="dxa" w:w="1504"/>
          </w:tcPr>
          <w:p>
            <w:pPr>
              <w:jc w:val="center"/>
            </w:pPr>
            <w:r>
              <w:rPr>
                <w:rFonts w:ascii="Times New Roman" w:hAnsi="Times New Roman" w:eastAsia="Times New Roman"/>
                <w:b w:val="0"/>
                <w:i w:val="0"/>
                <w:sz w:val="18"/>
              </w:rPr>
              <w:t>0.866</w:t>
            </w:r>
          </w:p>
        </w:tc>
        <w:tc>
          <w:tcPr>
            <w:tcW w:type="dxa" w:w="1504"/>
          </w:tcPr>
          <w:p>
            <w:pPr>
              <w:jc w:val="center"/>
            </w:pPr>
            <w:r>
              <w:rPr>
                <w:rFonts w:ascii="Times New Roman" w:hAnsi="Times New Roman" w:eastAsia="Times New Roman"/>
                <w:b w:val="0"/>
                <w:i w:val="0"/>
                <w:sz w:val="18"/>
              </w:rPr>
              <w:t>0.823</w:t>
            </w:r>
          </w:p>
        </w:tc>
        <w:tc>
          <w:tcPr>
            <w:tcW w:type="dxa" w:w="1504"/>
          </w:tcPr>
          <w:p>
            <w:pPr>
              <w:jc w:val="center"/>
            </w:pPr>
            <w:r>
              <w:rPr>
                <w:rFonts w:ascii="Times New Roman" w:hAnsi="Times New Roman" w:eastAsia="Times New Roman"/>
                <w:b w:val="0"/>
                <w:i w:val="0"/>
                <w:sz w:val="18"/>
              </w:rPr>
              <w:t>2.31</w:t>
            </w:r>
          </w:p>
        </w:tc>
      </w:tr>
      <w:tr>
        <w:tc>
          <w:tcPr>
            <w:tcW w:type="dxa" w:w="1504"/>
          </w:tcPr>
          <w:p>
            <w:pPr>
              <w:jc w:val="left"/>
            </w:pPr>
            <w:r>
              <w:rPr>
                <w:rFonts w:ascii="Times New Roman" w:hAnsi="Times New Roman" w:eastAsia="Times New Roman"/>
                <w:b w:val="0"/>
                <w:i w:val="0"/>
                <w:sz w:val="18"/>
              </w:rPr>
              <w:t>TBR&lt;54</w:t>
            </w:r>
          </w:p>
        </w:tc>
        <w:tc>
          <w:tcPr>
            <w:tcW w:type="dxa" w:w="1504"/>
          </w:tcPr>
          <w:p>
            <w:pPr>
              <w:jc w:val="center"/>
            </w:pPr>
            <w:r>
              <w:rPr>
                <w:rFonts w:ascii="Times New Roman" w:hAnsi="Times New Roman" w:eastAsia="Times New Roman"/>
                <w:b w:val="0"/>
                <w:i w:val="0"/>
                <w:sz w:val="18"/>
              </w:rPr>
              <w:t>-0.502</w:t>
            </w:r>
          </w:p>
        </w:tc>
        <w:tc>
          <w:tcPr>
            <w:tcW w:type="dxa" w:w="1504"/>
          </w:tcPr>
          <w:p>
            <w:pPr>
              <w:jc w:val="center"/>
            </w:pPr>
            <w:r>
              <w:rPr>
                <w:rFonts w:ascii="Times New Roman" w:hAnsi="Times New Roman" w:eastAsia="Times New Roman"/>
                <w:b w:val="0"/>
                <w:i w:val="0"/>
                <w:sz w:val="18"/>
              </w:rPr>
              <w:t>0.605</w:t>
            </w:r>
          </w:p>
        </w:tc>
        <w:tc>
          <w:tcPr>
            <w:tcW w:type="dxa" w:w="1504"/>
          </w:tcPr>
          <w:p>
            <w:pPr>
              <w:jc w:val="center"/>
            </w:pPr>
            <w:r>
              <w:rPr>
                <w:rFonts w:ascii="Times New Roman" w:hAnsi="Times New Roman" w:eastAsia="Times New Roman"/>
                <w:b w:val="0"/>
                <w:i w:val="0"/>
                <w:sz w:val="18"/>
              </w:rPr>
              <w:t>0.238</w:t>
            </w:r>
          </w:p>
        </w:tc>
        <w:tc>
          <w:tcPr>
            <w:tcW w:type="dxa" w:w="1504"/>
          </w:tcPr>
          <w:p>
            <w:pPr>
              <w:jc w:val="center"/>
            </w:pPr>
            <w:r>
              <w:rPr>
                <w:rFonts w:ascii="Times New Roman" w:hAnsi="Times New Roman" w:eastAsia="Times New Roman"/>
                <w:b w:val="0"/>
                <w:i w:val="0"/>
                <w:sz w:val="18"/>
              </w:rPr>
              <w:t>0.137</w:t>
            </w:r>
          </w:p>
        </w:tc>
        <w:tc>
          <w:tcPr>
            <w:tcW w:type="dxa" w:w="1504"/>
          </w:tcPr>
          <w:p>
            <w:pPr>
              <w:jc w:val="center"/>
            </w:pPr>
            <w:r>
              <w:rPr>
                <w:rFonts w:ascii="Times New Roman" w:hAnsi="Times New Roman" w:eastAsia="Times New Roman"/>
                <w:b w:val="0"/>
                <w:i w:val="0"/>
                <w:sz w:val="18"/>
              </w:rPr>
              <w:t>2.09</w:t>
            </w:r>
          </w:p>
        </w:tc>
      </w:tr>
      <w:tr>
        <w:tc>
          <w:tcPr>
            <w:tcW w:type="dxa" w:w="1504"/>
          </w:tcPr>
          <w:p>
            <w:pPr>
              <w:jc w:val="left"/>
            </w:pPr>
            <w:r>
              <w:rPr>
                <w:rFonts w:ascii="Times New Roman" w:hAnsi="Times New Roman" w:eastAsia="Times New Roman"/>
                <w:b w:val="0"/>
                <w:i w:val="0"/>
                <w:sz w:val="18"/>
              </w:rPr>
              <w:t>TIR</w:t>
            </w:r>
          </w:p>
        </w:tc>
        <w:tc>
          <w:tcPr>
            <w:tcW w:type="dxa" w:w="1504"/>
          </w:tcPr>
          <w:p>
            <w:pPr>
              <w:jc w:val="center"/>
            </w:pPr>
            <w:r>
              <w:rPr>
                <w:rFonts w:ascii="Times New Roman" w:hAnsi="Times New Roman" w:eastAsia="Times New Roman"/>
                <w:b w:val="0"/>
                <w:i w:val="0"/>
                <w:sz w:val="18"/>
              </w:rPr>
              <w:t>0.002</w:t>
            </w:r>
          </w:p>
        </w:tc>
        <w:tc>
          <w:tcPr>
            <w:tcW w:type="dxa" w:w="1504"/>
          </w:tcPr>
          <w:p>
            <w:pPr>
              <w:jc w:val="center"/>
            </w:pPr>
            <w:r>
              <w:rPr>
                <w:rFonts w:ascii="Times New Roman" w:hAnsi="Times New Roman" w:eastAsia="Times New Roman"/>
                <w:b w:val="0"/>
                <w:i w:val="0"/>
                <w:sz w:val="18"/>
              </w:rPr>
              <w:t>1.002</w:t>
            </w:r>
          </w:p>
        </w:tc>
        <w:tc>
          <w:tcPr>
            <w:tcW w:type="dxa" w:w="1504"/>
          </w:tcPr>
          <w:p>
            <w:pPr>
              <w:jc w:val="center"/>
            </w:pPr>
            <w:r>
              <w:rPr>
                <w:rFonts w:ascii="Times New Roman" w:hAnsi="Times New Roman" w:eastAsia="Times New Roman"/>
                <w:b w:val="0"/>
                <w:i w:val="0"/>
                <w:sz w:val="18"/>
              </w:rPr>
              <w:t>0.907</w:t>
            </w:r>
          </w:p>
        </w:tc>
        <w:tc>
          <w:tcPr>
            <w:tcW w:type="dxa" w:w="1504"/>
          </w:tcPr>
          <w:p>
            <w:pPr>
              <w:jc w:val="center"/>
            </w:pPr>
            <w:r>
              <w:rPr>
                <w:rFonts w:ascii="Times New Roman" w:hAnsi="Times New Roman" w:eastAsia="Times New Roman"/>
                <w:b w:val="0"/>
                <w:i w:val="0"/>
                <w:sz w:val="18"/>
              </w:rPr>
              <w:t>0.892</w:t>
            </w:r>
          </w:p>
        </w:tc>
        <w:tc>
          <w:tcPr>
            <w:tcW w:type="dxa" w:w="1504"/>
          </w:tcPr>
          <w:p>
            <w:pPr>
              <w:jc w:val="center"/>
            </w:pPr>
            <w:r>
              <w:rPr>
                <w:rFonts w:ascii="Times New Roman" w:hAnsi="Times New Roman" w:eastAsia="Times New Roman"/>
                <w:b w:val="0"/>
                <w:i w:val="0"/>
                <w:sz w:val="18"/>
              </w:rPr>
              <w:t>1.34</w:t>
            </w:r>
          </w:p>
        </w:tc>
      </w:tr>
      <w:tr>
        <w:tc>
          <w:tcPr>
            <w:tcW w:type="dxa" w:w="1504"/>
          </w:tcPr>
          <w:p>
            <w:pPr>
              <w:jc w:val="left"/>
            </w:pPr>
            <w:r>
              <w:rPr>
                <w:rFonts w:ascii="Times New Roman" w:hAnsi="Times New Roman" w:eastAsia="Times New Roman"/>
                <w:b w:val="0"/>
                <w:i w:val="0"/>
                <w:sz w:val="18"/>
              </w:rPr>
              <w:t>Duración DM1</w:t>
            </w:r>
          </w:p>
        </w:tc>
        <w:tc>
          <w:tcPr>
            <w:tcW w:type="dxa" w:w="1504"/>
          </w:tcPr>
          <w:p>
            <w:pPr>
              <w:jc w:val="center"/>
            </w:pPr>
            <w:r>
              <w:rPr>
                <w:rFonts w:ascii="Times New Roman" w:hAnsi="Times New Roman" w:eastAsia="Times New Roman"/>
                <w:b w:val="0"/>
                <w:i w:val="0"/>
                <w:sz w:val="18"/>
              </w:rPr>
              <w:t>0.04</w:t>
            </w:r>
          </w:p>
        </w:tc>
        <w:tc>
          <w:tcPr>
            <w:tcW w:type="dxa" w:w="1504"/>
          </w:tcPr>
          <w:p>
            <w:pPr>
              <w:jc w:val="center"/>
            </w:pPr>
            <w:r>
              <w:rPr>
                <w:rFonts w:ascii="Times New Roman" w:hAnsi="Times New Roman" w:eastAsia="Times New Roman"/>
                <w:b w:val="0"/>
                <w:i w:val="0"/>
                <w:sz w:val="18"/>
              </w:rPr>
              <w:t>1.041</w:t>
            </w:r>
          </w:p>
        </w:tc>
        <w:tc>
          <w:tcPr>
            <w:tcW w:type="dxa" w:w="1504"/>
          </w:tcPr>
          <w:p>
            <w:pPr>
              <w:jc w:val="center"/>
            </w:pPr>
            <w:r>
              <w:rPr>
                <w:rFonts w:ascii="Times New Roman" w:hAnsi="Times New Roman" w:eastAsia="Times New Roman"/>
                <w:b w:val="0"/>
                <w:i w:val="0"/>
                <w:sz w:val="18"/>
              </w:rPr>
              <w:t>0.016</w:t>
            </w:r>
          </w:p>
        </w:tc>
        <w:tc>
          <w:tcPr>
            <w:tcW w:type="dxa" w:w="1504"/>
          </w:tcPr>
          <w:p>
            <w:pPr>
              <w:jc w:val="center"/>
            </w:pPr>
            <w:r>
              <w:rPr>
                <w:rFonts w:ascii="Times New Roman" w:hAnsi="Times New Roman" w:eastAsia="Times New Roman"/>
                <w:b w:val="0"/>
                <w:i w:val="0"/>
                <w:sz w:val="18"/>
              </w:rPr>
              <w:t>0.02</w:t>
            </w:r>
          </w:p>
        </w:tc>
        <w:tc>
          <w:tcPr>
            <w:tcW w:type="dxa" w:w="1504"/>
          </w:tcPr>
          <w:p>
            <w:pPr>
              <w:jc w:val="center"/>
            </w:pPr>
            <w:r>
              <w:rPr>
                <w:rFonts w:ascii="Times New Roman" w:hAnsi="Times New Roman" w:eastAsia="Times New Roman"/>
                <w:b w:val="0"/>
                <w:i w:val="0"/>
                <w:sz w:val="18"/>
              </w:rPr>
              <w:t>1.34</w:t>
            </w:r>
          </w:p>
        </w:tc>
      </w:tr>
      <w:tr>
        <w:tc>
          <w:tcPr>
            <w:tcW w:type="dxa" w:w="1504"/>
          </w:tcPr>
          <w:p>
            <w:pPr>
              <w:jc w:val="left"/>
            </w:pPr>
            <w:r>
              <w:rPr>
                <w:rFonts w:ascii="Times New Roman" w:hAnsi="Times New Roman" w:eastAsia="Times New Roman"/>
                <w:b w:val="0"/>
                <w:i w:val="0"/>
                <w:sz w:val="18"/>
              </w:rPr>
              <w:t>Edad</w:t>
            </w:r>
          </w:p>
        </w:tc>
        <w:tc>
          <w:tcPr>
            <w:tcW w:type="dxa" w:w="1504"/>
          </w:tcPr>
          <w:p>
            <w:pPr>
              <w:jc w:val="center"/>
            </w:pPr>
            <w:r>
              <w:rPr>
                <w:rFonts w:ascii="Times New Roman" w:hAnsi="Times New Roman" w:eastAsia="Times New Roman"/>
                <w:b w:val="0"/>
                <w:i w:val="0"/>
                <w:sz w:val="18"/>
              </w:rPr>
              <w:t>0.035</w:t>
            </w:r>
          </w:p>
        </w:tc>
        <w:tc>
          <w:tcPr>
            <w:tcW w:type="dxa" w:w="1504"/>
          </w:tcPr>
          <w:p>
            <w:pPr>
              <w:jc w:val="center"/>
            </w:pPr>
            <w:r>
              <w:rPr>
                <w:rFonts w:ascii="Times New Roman" w:hAnsi="Times New Roman" w:eastAsia="Times New Roman"/>
                <w:b w:val="0"/>
                <w:i w:val="0"/>
                <w:sz w:val="18"/>
              </w:rPr>
              <w:t>1.036</w:t>
            </w:r>
          </w:p>
        </w:tc>
        <w:tc>
          <w:tcPr>
            <w:tcW w:type="dxa" w:w="1504"/>
          </w:tcPr>
          <w:p>
            <w:pPr>
              <w:jc w:val="center"/>
            </w:pPr>
            <w:r>
              <w:rPr>
                <w:rFonts w:ascii="Times New Roman" w:hAnsi="Times New Roman" w:eastAsia="Times New Roman"/>
                <w:b w:val="0"/>
                <w:i w:val="0"/>
                <w:sz w:val="18"/>
              </w:rPr>
              <w:t>0.039</w:t>
            </w:r>
          </w:p>
        </w:tc>
        <w:tc>
          <w:tcPr>
            <w:tcW w:type="dxa" w:w="1504"/>
          </w:tcPr>
          <w:p>
            <w:pPr>
              <w:jc w:val="center"/>
            </w:pPr>
            <w:r>
              <w:rPr>
                <w:rFonts w:ascii="Times New Roman" w:hAnsi="Times New Roman" w:eastAsia="Times New Roman"/>
                <w:b w:val="0"/>
                <w:i w:val="0"/>
                <w:sz w:val="18"/>
              </w:rPr>
              <w:t>0.026</w:t>
            </w:r>
          </w:p>
        </w:tc>
        <w:tc>
          <w:tcPr>
            <w:tcW w:type="dxa" w:w="1504"/>
          </w:tcPr>
          <w:p>
            <w:pPr>
              <w:jc w:val="center"/>
            </w:pPr>
            <w:r>
              <w:rPr>
                <w:rFonts w:ascii="Times New Roman" w:hAnsi="Times New Roman" w:eastAsia="Times New Roman"/>
                <w:b w:val="0"/>
                <w:i w:val="0"/>
                <w:sz w:val="18"/>
              </w:rPr>
              <w:t>1.51</w:t>
            </w:r>
          </w:p>
        </w:tc>
      </w:tr>
    </w:tbl>
    <w:p>
      <w:pPr>
        <w:spacing w:after="80"/>
      </w:pPr>
    </w:p>
    <w:p>
      <w:pPr>
        <w:spacing w:before="240" w:after="120"/>
        <w:jc w:val="left"/>
      </w:pPr>
      <w:r>
        <w:rPr>
          <w:rFonts w:ascii="Times New Roman" w:hAnsi="Times New Roman" w:eastAsia="Times New Roman"/>
          <w:b/>
          <w:i w:val="0"/>
          <w:sz w:val="24"/>
        </w:rPr>
        <w:t>5. Discusión</w:t>
      </w:r>
    </w:p>
    <w:p>
      <w:pPr>
        <w:spacing w:after="120"/>
        <w:ind w:firstLine="283"/>
        <w:jc w:val="both"/>
      </w:pPr>
      <w:r>
        <w:rPr>
          <w:rFonts w:ascii="Times New Roman" w:hAnsi="Times New Roman" w:eastAsia="Times New Roman"/>
          <w:b w:val="0"/>
          <w:i w:val="0"/>
          <w:sz w:val="22"/>
        </w:rPr>
        <w:t>Los resultados cuantifican una intuición clínica central del trasplante de islotes: aunque la carga glucémica subóptima es muy frecuente en la DM1 (dos de cada tres pacientes con variabilidad alta o TIR insuficiente), el perfil de labilidad severa que justifica el riesgo de la inmunosupresión es minoritario (3,5%). Esto respalda de forma empírica la recomendación de reservar el procedimiento —y las nuevas terapias como el tegoprubart— para un subgrupo cuidadosamente seleccionado, y advierte contra una indicación guiada solo por el mal control global.</w:t>
      </w:r>
    </w:p>
    <w:p>
      <w:pPr>
        <w:spacing w:after="120"/>
        <w:ind w:firstLine="283"/>
        <w:jc w:val="both"/>
      </w:pPr>
      <w:r>
        <w:rPr>
          <w:rFonts w:ascii="Times New Roman" w:hAnsi="Times New Roman" w:eastAsia="Times New Roman"/>
          <w:b w:val="0"/>
          <w:i w:val="0"/>
          <w:sz w:val="22"/>
        </w:rPr>
        <w:t>Ese 3,5% ayuda además a dimensionar el problema. Proyectado sobre el conjunto de personas con diabetes tipo 1, incluso una fracción pequeña representa un número nada despreciable de candidatos potenciales que hoy podrían no estar siendo identificados de manera sistemática. Al mismo tiempo, la estrechez del grupo explica por qué los programas de trasplante operan con listas reducidas y por qué una selección laxa, guiada solo por el mal control, expondría a muchos pacientes a la toxicidad de la inmunosupresión sin un beneficio proporcional. El valor del enfoque propuesto es, precisamente, ofrecer un criterio cuantitativo y repetible para trazar esa línea con transparencia, allí donde la práctica todavía se apoya en gran medida en la valoración cualitativa.</w:t>
      </w:r>
    </w:p>
    <w:p>
      <w:pPr>
        <w:spacing w:after="120"/>
        <w:ind w:firstLine="283"/>
        <w:jc w:val="both"/>
      </w:pPr>
      <w:r>
        <w:rPr>
          <w:rFonts w:ascii="Times New Roman" w:hAnsi="Times New Roman" w:eastAsia="Times New Roman"/>
          <w:b w:val="0"/>
          <w:i w:val="0"/>
          <w:sz w:val="22"/>
        </w:rPr>
        <w:t>El hallazgo de que la hipoglucemia inadvertida depende de la duración y la edad, y no de las métricas de CGM del momento, tiene una implicancia práctica: la estratificación de candidatos no puede basarse únicamente en el CGM reciente, sino que debe integrar la historia clínica y la evaluación de la percepción de hipoglucemia. La combinación de ambas fuentes —como propone este pipeline— ofrece una herramienta objetiva y reproducible para priorizar la evaluación pretrasplante.</w:t>
      </w:r>
    </w:p>
    <w:p>
      <w:pPr>
        <w:spacing w:after="120"/>
        <w:ind w:firstLine="283"/>
        <w:jc w:val="both"/>
      </w:pPr>
      <w:r>
        <w:rPr>
          <w:rFonts w:ascii="Times New Roman" w:hAnsi="Times New Roman" w:eastAsia="Times New Roman"/>
          <w:b w:val="0"/>
          <w:i w:val="0"/>
          <w:sz w:val="22"/>
        </w:rPr>
        <w:t>El momento en que se plantea esta pregunta no es casual. Las nuevas inmunoterapias —el tegoprubart y otros esquemas libres de inhibidores de calcineurina— están corriendo la frontera de lo posible: prometen la independencia de insulina con menor toxicidad y, si esa promesa se confirma, ampliarán el universo de pacientes para quienes el trasplante sea una opción razonable. Paradójicamente, eso vuelve más necesaria —y no menos— una selección rigurosa: cuanto más se acerque el trasplante a una verdadera cura, más importará decidir con transparencia quién se beneficia y en qué momento. Un criterio reproducible como el que aquí se propone busca aportar a esa discusión, que todavía descansa en gran medida en la experiencia clínica individual.</w:t>
      </w:r>
    </w:p>
    <w:p>
      <w:pPr>
        <w:spacing w:after="120"/>
        <w:ind w:firstLine="283"/>
        <w:jc w:val="both"/>
      </w:pPr>
      <w:r>
        <w:rPr>
          <w:rFonts w:ascii="Times New Roman" w:hAnsi="Times New Roman" w:eastAsia="Times New Roman"/>
          <w:b w:val="0"/>
          <w:i w:val="0"/>
          <w:sz w:val="22"/>
        </w:rPr>
        <w:t>Entre las limitaciones, REPLACE-BG es una población de DM1 con buen control basal en la que lahipoglucemia severa fue criterio de exclusión, por lo que la prevalencia del perfil de labilidad probablemente subestima la de una población con indicación real de trasplante; el diseño es transversal y la definición operacional de candidatura es un proxy de los criterios clínicos completos. No obstante, el marco metodológico es directamente transferible a cohortes de mayor riesgo.</w:t>
      </w:r>
    </w:p>
    <w:p>
      <w:pPr>
        <w:spacing w:before="240" w:after="120"/>
        <w:jc w:val="left"/>
      </w:pPr>
      <w:r>
        <w:rPr>
          <w:rFonts w:ascii="Times New Roman" w:hAnsi="Times New Roman" w:eastAsia="Times New Roman"/>
          <w:b/>
          <w:i w:val="0"/>
          <w:sz w:val="24"/>
        </w:rPr>
        <w:t>6. Conclusiones y trabajos futuros</w:t>
      </w:r>
    </w:p>
    <w:p>
      <w:pPr>
        <w:spacing w:after="120"/>
        <w:ind w:firstLine="283"/>
        <w:jc w:val="both"/>
      </w:pPr>
      <w:r>
        <w:rPr>
          <w:rFonts w:ascii="Times New Roman" w:hAnsi="Times New Roman" w:eastAsia="Times New Roman"/>
          <w:b w:val="0"/>
          <w:i w:val="0"/>
          <w:sz w:val="22"/>
        </w:rPr>
        <w:t>Se presentó un pipeline reproducible de ciencia de datos que, sobre 14,8 millones de lecturas reales de CGM, estratifica objetivamente a pacientes con DM1 según los criterios de candidatura a trasplante de islotes. La variabilidad glucémica alta y el tiempo en rango insuficiente son muy frecuentes, pero el perfil de labilidad severa es minoritario (3,5%), lo que respalda una selección estricta de candidatos. La hipoglucemia inadvertida se asoció a la duración de la enfermedad y a la edad más que al CGM del momento. Más allá del hallazgo clínico, el trabajo deja un procedimiento reproducible —de la señal cruda al criterio de candidatura— que puede auditarse y reutilizarse en otras cohortes, y que se plantea como apoyo a la decisión, en sintonía con el factor humano de la inteligencia artificial (Humanware 5.0): una herramienta que asiste, sin reemplazar, el juicio del profesional.</w:t>
      </w:r>
    </w:p>
    <w:p>
      <w:pPr>
        <w:spacing w:after="120"/>
        <w:ind w:firstLine="283"/>
        <w:jc w:val="both"/>
      </w:pPr>
      <w:r>
        <w:rPr>
          <w:rFonts w:ascii="Times New Roman" w:hAnsi="Times New Roman" w:eastAsia="Times New Roman"/>
          <w:b w:val="0"/>
          <w:i w:val="0"/>
          <w:sz w:val="22"/>
        </w:rPr>
        <w:t>Como líneas futuras se plantea: (i) aplicar el pipeline a cohortes con indicación real de trasplante (p. ej., registros CIT/CITR mediante solicitud de acceso); (ii) incorporar índices de labilidad glucémica validados (LI, MAGE, ADRR) y modelos de predicción de hipoglucemia severa; (iii) integrar datos de los nuevos ensayos con tegoprubart para vincular el perfil glucémico basal con la respuesta post-trasplante; y (iv) desarrollar una herramienta de tablero interactivo para la evaluación pretrasplante.</w:t>
      </w:r>
    </w:p>
    <w:p>
      <w:pPr>
        <w:spacing w:before="240" w:after="120"/>
        <w:jc w:val="left"/>
      </w:pPr>
      <w:r>
        <w:rPr>
          <w:rFonts w:ascii="Times New Roman" w:hAnsi="Times New Roman" w:eastAsia="Times New Roman"/>
          <w:b/>
          <w:i w:val="0"/>
          <w:sz w:val="24"/>
        </w:rPr>
        <w:t>Referencias</w:t>
      </w:r>
    </w:p>
    <w:p>
      <w:pPr>
        <w:spacing w:after="60"/>
        <w:jc w:val="both"/>
      </w:pPr>
      <w:r>
        <w:rPr>
          <w:rFonts w:ascii="Times New Roman" w:hAnsi="Times New Roman" w:eastAsia="Times New Roman"/>
          <w:b w:val="0"/>
          <w:i w:val="0"/>
          <w:sz w:val="20"/>
        </w:rPr>
        <w:t>[1] A. M. J. Shapiro et al., "Islet transplantation in seven patients with type 1 diabetes mellitus using a glucocorticoid-free immunosuppressive regimen", New England Journal of Medicine, vol. 343, n.º 4, pp. 230–238, 2000.</w:t>
      </w:r>
    </w:p>
    <w:p>
      <w:pPr>
        <w:spacing w:after="60"/>
        <w:jc w:val="both"/>
      </w:pPr>
      <w:r>
        <w:rPr>
          <w:rFonts w:ascii="Times New Roman" w:hAnsi="Times New Roman" w:eastAsia="Times New Roman"/>
          <w:b w:val="0"/>
          <w:i w:val="0"/>
          <w:sz w:val="20"/>
        </w:rPr>
        <w:t>[2] A. M. J. Shapiro, C. Ricordi, B. J. Hering et al., "International Trial of the Edmonton Protocol for Islet Transplantation", New England Journal of Medicine, vol. 355, n.º 13, pp. 1318–1330, 2006.</w:t>
      </w:r>
    </w:p>
    <w:p>
      <w:pPr>
        <w:spacing w:after="60"/>
        <w:jc w:val="both"/>
      </w:pPr>
      <w:r>
        <w:rPr>
          <w:rFonts w:ascii="Times New Roman" w:hAnsi="Times New Roman" w:eastAsia="Times New Roman"/>
          <w:b w:val="0"/>
          <w:i w:val="0"/>
          <w:sz w:val="20"/>
        </w:rPr>
        <w:t>[3] N. M. Paucara Saavedra, "¿Cura a la diabetes? Avances y desafíos en el trasplante de islotes pancreáticos", XVI Congreso Argentino de Estudiantes de Nutrición, Facultad de Ciencias Médicas, Universidad de Buenos Aires, 2026.</w:t>
      </w:r>
    </w:p>
    <w:p>
      <w:pPr>
        <w:spacing w:after="60"/>
        <w:jc w:val="both"/>
      </w:pPr>
      <w:r>
        <w:rPr>
          <w:rFonts w:ascii="Times New Roman" w:hAnsi="Times New Roman" w:eastAsia="Times New Roman"/>
          <w:b w:val="0"/>
          <w:i w:val="0"/>
          <w:sz w:val="20"/>
        </w:rPr>
        <w:t>[4] M. Cassola y O. J. Leal Niebla, "Tegoprubart and the CD40L Pathway: Promise and Remaining Questions in CNI-Free Transplantation", BioNatura Journal, 2026.</w:t>
      </w:r>
    </w:p>
    <w:p>
      <w:pPr>
        <w:spacing w:after="60"/>
        <w:jc w:val="both"/>
      </w:pPr>
      <w:r>
        <w:rPr>
          <w:rFonts w:ascii="Times New Roman" w:hAnsi="Times New Roman" w:eastAsia="Times New Roman"/>
          <w:b w:val="0"/>
          <w:i w:val="0"/>
          <w:sz w:val="20"/>
        </w:rPr>
        <w:t>[5] Health Quality Ontario, "Pancreas Islet Transplantation for Patients With Type 1 Diabetes Mellitus: A Clinical Evidence Review", Ontario Health Technology Assessment Series, vol. 15, n.º 16, pp. 1–84, 2015.</w:t>
      </w:r>
    </w:p>
    <w:p>
      <w:pPr>
        <w:spacing w:after="60"/>
        <w:jc w:val="both"/>
      </w:pPr>
      <w:r>
        <w:rPr>
          <w:rFonts w:ascii="Times New Roman" w:hAnsi="Times New Roman" w:eastAsia="Times New Roman"/>
          <w:b w:val="0"/>
          <w:i w:val="0"/>
          <w:sz w:val="20"/>
        </w:rPr>
        <w:t>[6] M. R. Rickels y R. P. Robertson, "Pancreatic Islet Transplantation in Humans: Recent Progress and Future Directions", Endocrine Reviews, vol. 40, n.º 2, pp. 631–668, 2019.</w:t>
      </w:r>
    </w:p>
    <w:p>
      <w:pPr>
        <w:spacing w:after="60"/>
        <w:jc w:val="both"/>
      </w:pPr>
      <w:r>
        <w:rPr>
          <w:rFonts w:ascii="Times New Roman" w:hAnsi="Times New Roman" w:eastAsia="Times New Roman"/>
          <w:b w:val="0"/>
          <w:i w:val="0"/>
          <w:sz w:val="20"/>
        </w:rPr>
        <w:t>[7] C. Ricordi, J. S. Goldstein, A. N. Balamurugan et al., "NIH-sponsored Clinical Islet Transplantation Consortium Phase 3 Trial", Diabetes, vol. 65, pp. 3418–3428, 2016.</w:t>
      </w:r>
    </w:p>
    <w:p>
      <w:pPr>
        <w:spacing w:after="60"/>
        <w:jc w:val="both"/>
      </w:pPr>
      <w:r>
        <w:rPr>
          <w:rFonts w:ascii="Times New Roman" w:hAnsi="Times New Roman" w:eastAsia="Times New Roman"/>
          <w:b w:val="0"/>
          <w:i w:val="0"/>
          <w:sz w:val="20"/>
        </w:rPr>
        <w:t>[8] A. Gangemi et al., "Islet Transplantation for Brittle Type 1 Diabetes: The UIC Protocol", American Journal of Transplantation, vol. 8, pp. 1250–1261, 2008.</w:t>
      </w:r>
    </w:p>
    <w:p>
      <w:pPr>
        <w:spacing w:after="60"/>
        <w:jc w:val="both"/>
      </w:pPr>
      <w:r>
        <w:rPr>
          <w:rFonts w:ascii="Times New Roman" w:hAnsi="Times New Roman" w:eastAsia="Times New Roman"/>
          <w:b w:val="0"/>
          <w:i w:val="0"/>
          <w:sz w:val="20"/>
        </w:rPr>
        <w:t>[9] A. Bruni et al., "Islet cell transplantation for the treatment of type 1 diabetes: recent advances and future challenges", Diabetes, Metabolic Syndrome and Obesity, vol. 7, pp. 211–223, 2014.</w:t>
      </w:r>
    </w:p>
    <w:p>
      <w:pPr>
        <w:spacing w:after="60"/>
        <w:jc w:val="both"/>
      </w:pPr>
      <w:r>
        <w:rPr>
          <w:rFonts w:ascii="Times New Roman" w:hAnsi="Times New Roman" w:eastAsia="Times New Roman"/>
          <w:b w:val="0"/>
          <w:i w:val="0"/>
          <w:sz w:val="20"/>
        </w:rPr>
        <w:t>[10] A. M. J. Shapiro, "Islet Transplantation in Type 1 Diabetes: Ongoing Challenges, Refined Procedures, and Long-Term Outcome", The Review of Diabetic Studies, vol. 9, n.º 4, pp. 385–406, 2012.</w:t>
      </w:r>
    </w:p>
    <w:p>
      <w:pPr>
        <w:spacing w:after="60"/>
        <w:jc w:val="both"/>
      </w:pPr>
      <w:r>
        <w:rPr>
          <w:rFonts w:ascii="Times New Roman" w:hAnsi="Times New Roman" w:eastAsia="Times New Roman"/>
          <w:b w:val="0"/>
          <w:i w:val="0"/>
          <w:sz w:val="20"/>
        </w:rPr>
        <w:t>[11] T. Battelino, T. Danne, R. M. Bergenstal et al., "Clinical Targets for Continuous Glucose Monitoring Data Interpretation: Recommendations From the International Consensus on Time in Range", Diabetes Care, vol. 42, n.º 8, pp. 1593–1603, 2019.</w:t>
      </w:r>
    </w:p>
    <w:p>
      <w:pPr>
        <w:spacing w:after="60"/>
        <w:jc w:val="both"/>
      </w:pPr>
      <w:r>
        <w:rPr>
          <w:rFonts w:ascii="Times New Roman" w:hAnsi="Times New Roman" w:eastAsia="Times New Roman"/>
          <w:b w:val="0"/>
          <w:i w:val="0"/>
          <w:sz w:val="20"/>
        </w:rPr>
        <w:t>[12] R. W. Beck, T. D. Riddlesworth, K. Ruedy et al., "Continuous Glucose Monitoring Versus Usual Care in Patients With Type 1 Diabetes (REPLACE-BG)", Diabetes Care, vol. 40, n.º 4, pp. 538–545, 2017.</w:t>
      </w:r>
    </w:p>
    <w:p>
      <w:pPr>
        <w:spacing w:after="60"/>
        <w:jc w:val="both"/>
      </w:pPr>
      <w:r>
        <w:rPr>
          <w:rFonts w:ascii="Times New Roman" w:hAnsi="Times New Roman" w:eastAsia="Times New Roman"/>
          <w:b w:val="0"/>
          <w:i w:val="0"/>
          <w:sz w:val="20"/>
        </w:rPr>
        <w:t>[13] F. Pedregosa et al., "Scikit-learn: Machine Learning in Python", Journal of Machine Learning Research, vol. 12, pp. 2825–2830, 2011.</w:t>
      </w:r>
    </w:p>
    <w:p>
      <w:pPr>
        <w:spacing w:after="60"/>
        <w:jc w:val="both"/>
      </w:pPr>
      <w:r>
        <w:rPr>
          <w:rFonts w:ascii="Times New Roman" w:hAnsi="Times New Roman" w:eastAsia="Times New Roman"/>
          <w:b w:val="0"/>
          <w:i w:val="0"/>
          <w:sz w:val="20"/>
        </w:rPr>
        <w:t>[14] S. Seabold y J. Perktold, "Statsmodels: Econometric and statistical modeling with Python", en Proc. 9th Python in Science Conf., 2010.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