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6.png" ContentType="image/png"/>
  <Override PartName="/word/media/image2.png" ContentType="image/png"/>
  <Override PartName="/word/media/image3.png" ContentType="image/png"/>
  <Override PartName="/word/media/image4.png" ContentType="image/png"/>
  <Override PartName="/word/media/image5.png" ContentType="image/png"/>
  <Override PartName="/word/media/image7.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0"/>
        <w:rPr/>
      </w:pPr>
      <w:r>
        <w:rPr/>
      </w:r>
    </w:p>
    <w:p>
      <w:pPr>
        <w:pStyle w:val="Normal"/>
        <w:spacing w:before="0" w:after="120"/>
        <w:jc w:val="center"/>
        <w:rPr/>
      </w:pPr>
      <w:r>
        <w:rPr>
          <w:rFonts w:eastAsia="Arial" w:cs="Arial"/>
          <w:b/>
          <w:bCs/>
          <w:color w:val="2A2A5A"/>
          <w:sz w:val="28"/>
          <w:szCs w:val="28"/>
        </w:rPr>
        <w:t>VELLORE INSTITUTE OF TECHNOLOGY</w:t>
      </w:r>
    </w:p>
    <w:p>
      <w:pPr>
        <w:pStyle w:val="Normal"/>
        <w:spacing w:before="0" w:after="600"/>
        <w:jc w:val="center"/>
        <w:rPr/>
      </w:pPr>
      <w:r>
        <w:rPr>
          <w:rFonts w:eastAsia="Arial" w:cs="Arial"/>
          <w:color w:val="555555"/>
          <w:sz w:val="22"/>
          <w:szCs w:val="22"/>
        </w:rPr>
        <w:t>School of Computer Science and Engineering, Chennai</w:t>
      </w:r>
    </w:p>
    <w:p>
      <w:pPr>
        <w:pStyle w:val="Normal"/>
        <w:spacing w:before="0" w:after="80"/>
        <w:jc w:val="center"/>
        <w:rPr/>
      </w:pPr>
      <w:r>
        <w:rPr>
          <w:rFonts w:eastAsia="Arial" w:cs="Arial"/>
          <w:b/>
          <w:bCs/>
          <w:color w:val="1A1A2E"/>
          <w:sz w:val="72"/>
          <w:szCs w:val="72"/>
        </w:rPr>
        <w:t>DUMBIT</w:t>
      </w:r>
    </w:p>
    <w:p>
      <w:pPr>
        <w:pStyle w:val="Normal"/>
        <w:spacing w:before="0" w:after="80"/>
        <w:jc w:val="center"/>
        <w:rPr/>
      </w:pPr>
      <w:r>
        <w:rPr>
          <w:rFonts w:eastAsia="Arial" w:cs="Arial"/>
          <w:i/>
          <w:iCs/>
          <w:color w:val="5A5AAA"/>
          <w:sz w:val="26"/>
          <w:szCs w:val="26"/>
        </w:rPr>
        <w:t>Decision Utility for Managed Balance, Intent &amp; Time</w:t>
      </w:r>
    </w:p>
    <w:p>
      <w:pPr>
        <w:pStyle w:val="Normal"/>
        <w:pBdr>
          <w:bottom w:val="single" w:sz="6" w:space="1" w:color="CBA6F7"/>
        </w:pBdr>
        <w:spacing w:before="0" w:after="600"/>
        <w:jc w:val="center"/>
        <w:rPr/>
      </w:pPr>
      <w:r>
        <w:rPr/>
      </w:r>
    </w:p>
    <w:p>
      <w:pPr>
        <w:pStyle w:val="Normal"/>
        <w:spacing w:before="0" w:after="120"/>
        <w:jc w:val="center"/>
        <w:rPr/>
      </w:pPr>
      <w:r>
        <w:rPr>
          <w:rFonts w:eastAsia="Arial" w:cs="Arial"/>
          <w:b/>
          <w:bCs/>
          <w:color w:val="1A1A2E"/>
          <w:sz w:val="40"/>
          <w:szCs w:val="40"/>
        </w:rPr>
        <w:t>Software Design Document</w:t>
      </w:r>
    </w:p>
    <w:p>
      <w:pPr>
        <w:pStyle w:val="Normal"/>
        <w:spacing w:before="0" w:after="600"/>
        <w:jc w:val="center"/>
        <w:rPr/>
      </w:pPr>
      <w:r>
        <w:rPr>
          <w:rFonts w:eastAsia="Arial" w:cs="Arial"/>
          <w:color w:val="5A5AAA"/>
          <w:sz w:val="26"/>
          <w:szCs w:val="26"/>
        </w:rPr>
        <w:t>Digital Assignment 2 — DA2 Review</w:t>
      </w:r>
    </w:p>
    <w:tbl>
      <w:tblPr>
        <w:tblW w:w="6000" w:type="dxa"/>
        <w:jc w:val="center"/>
        <w:tblInd w:w="0" w:type="dxa"/>
        <w:tblLayout w:type="fixed"/>
        <w:tblCellMar>
          <w:top w:w="100" w:type="dxa"/>
          <w:left w:w="150" w:type="dxa"/>
          <w:bottom w:w="100" w:type="dxa"/>
          <w:right w:w="150" w:type="dxa"/>
        </w:tblCellMar>
      </w:tblPr>
      <w:tblGrid>
        <w:gridCol w:w="1999"/>
        <w:gridCol w:w="4000"/>
      </w:tblGrid>
      <w:tr>
        <w:trPr/>
        <w:tc>
          <w:tcPr>
            <w:tcW w:w="1999" w:type="dxa"/>
            <w:tcBorders>
              <w:top w:val="single" w:sz="4" w:space="0" w:color="CCCCCC"/>
              <w:left w:val="single" w:sz="4" w:space="0" w:color="CCCCCC"/>
              <w:bottom w:val="single" w:sz="4" w:space="0" w:color="CCCCCC"/>
              <w:right w:val="single" w:sz="4" w:space="0" w:color="CCCCCC"/>
            </w:tcBorders>
            <w:shd w:fill="F5F3FF" w:val="clear"/>
          </w:tcPr>
          <w:p>
            <w:pPr>
              <w:pStyle w:val="Normal"/>
              <w:rPr/>
            </w:pPr>
            <w:r>
              <w:rPr>
                <w:rFonts w:eastAsia="Arial" w:cs="Arial"/>
                <w:b/>
                <w:bCs/>
                <w:color w:val="2A2A5A"/>
                <w:sz w:val="20"/>
                <w:szCs w:val="20"/>
              </w:rPr>
              <w:t>Student</w:t>
            </w:r>
          </w:p>
        </w:tc>
        <w:tc>
          <w:tcPr>
            <w:tcW w:w="400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color w:val="1A1A1A"/>
                <w:sz w:val="20"/>
                <w:szCs w:val="20"/>
              </w:rPr>
              <w:t>Naveen</w:t>
            </w:r>
          </w:p>
        </w:tc>
      </w:tr>
      <w:tr>
        <w:trPr/>
        <w:tc>
          <w:tcPr>
            <w:tcW w:w="1999" w:type="dxa"/>
            <w:tcBorders>
              <w:top w:val="single" w:sz="4" w:space="0" w:color="CCCCCC"/>
              <w:left w:val="single" w:sz="4" w:space="0" w:color="CCCCCC"/>
              <w:bottom w:val="single" w:sz="4" w:space="0" w:color="CCCCCC"/>
              <w:right w:val="single" w:sz="4" w:space="0" w:color="CCCCCC"/>
            </w:tcBorders>
            <w:shd w:fill="F5F3FF" w:val="clear"/>
          </w:tcPr>
          <w:p>
            <w:pPr>
              <w:pStyle w:val="Normal"/>
              <w:rPr/>
            </w:pPr>
            <w:r>
              <w:rPr>
                <w:rFonts w:eastAsia="Arial" w:cs="Arial"/>
                <w:b/>
                <w:bCs/>
                <w:color w:val="2A2A5A"/>
                <w:sz w:val="20"/>
                <w:szCs w:val="20"/>
              </w:rPr>
              <w:t>Reg. No.</w:t>
            </w:r>
          </w:p>
        </w:tc>
        <w:tc>
          <w:tcPr>
            <w:tcW w:w="400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color w:val="1A1A1A"/>
                <w:sz w:val="20"/>
                <w:szCs w:val="20"/>
              </w:rPr>
              <w:t>23BCE1579</w:t>
            </w:r>
          </w:p>
        </w:tc>
      </w:tr>
      <w:tr>
        <w:trPr/>
        <w:tc>
          <w:tcPr>
            <w:tcW w:w="1999" w:type="dxa"/>
            <w:tcBorders>
              <w:top w:val="single" w:sz="4" w:space="0" w:color="CCCCCC"/>
              <w:left w:val="single" w:sz="4" w:space="0" w:color="CCCCCC"/>
              <w:bottom w:val="single" w:sz="4" w:space="0" w:color="CCCCCC"/>
              <w:right w:val="single" w:sz="4" w:space="0" w:color="CCCCCC"/>
            </w:tcBorders>
            <w:shd w:fill="F5F3FF" w:val="clear"/>
          </w:tcPr>
          <w:p>
            <w:pPr>
              <w:pStyle w:val="Normal"/>
              <w:rPr/>
            </w:pPr>
            <w:r>
              <w:rPr>
                <w:rFonts w:eastAsia="Arial" w:cs="Arial"/>
                <w:b/>
                <w:bCs/>
                <w:color w:val="2A2A5A"/>
                <w:sz w:val="20"/>
                <w:szCs w:val="20"/>
              </w:rPr>
              <w:t>Course</w:t>
            </w:r>
          </w:p>
        </w:tc>
        <w:tc>
          <w:tcPr>
            <w:tcW w:w="400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color w:val="1A1A1A"/>
                <w:sz w:val="20"/>
                <w:szCs w:val="20"/>
              </w:rPr>
              <w:t>Software Engineering</w:t>
            </w:r>
          </w:p>
        </w:tc>
      </w:tr>
      <w:tr>
        <w:trPr/>
        <w:tc>
          <w:tcPr>
            <w:tcW w:w="1999" w:type="dxa"/>
            <w:tcBorders>
              <w:top w:val="single" w:sz="4" w:space="0" w:color="CCCCCC"/>
              <w:left w:val="single" w:sz="4" w:space="0" w:color="CCCCCC"/>
              <w:bottom w:val="single" w:sz="4" w:space="0" w:color="CCCCCC"/>
              <w:right w:val="single" w:sz="4" w:space="0" w:color="CCCCCC"/>
            </w:tcBorders>
            <w:shd w:fill="F5F3FF" w:val="clear"/>
          </w:tcPr>
          <w:p>
            <w:pPr>
              <w:pStyle w:val="Normal"/>
              <w:rPr/>
            </w:pPr>
            <w:r>
              <w:rPr>
                <w:rFonts w:eastAsia="Arial" w:cs="Arial"/>
                <w:b/>
                <w:bCs/>
                <w:color w:val="2A2A5A"/>
                <w:sz w:val="20"/>
                <w:szCs w:val="20"/>
              </w:rPr>
              <w:t>Project</w:t>
            </w:r>
          </w:p>
        </w:tc>
        <w:tc>
          <w:tcPr>
            <w:tcW w:w="400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color w:val="1A1A1A"/>
                <w:sz w:val="20"/>
                <w:szCs w:val="20"/>
              </w:rPr>
              <w:t>DUMBIT — Cognitive Gatekeeper CLI</w:t>
            </w:r>
          </w:p>
        </w:tc>
      </w:tr>
      <w:tr>
        <w:trPr/>
        <w:tc>
          <w:tcPr>
            <w:tcW w:w="1999" w:type="dxa"/>
            <w:tcBorders>
              <w:top w:val="single" w:sz="4" w:space="0" w:color="CCCCCC"/>
              <w:left w:val="single" w:sz="4" w:space="0" w:color="CCCCCC"/>
              <w:bottom w:val="single" w:sz="4" w:space="0" w:color="CCCCCC"/>
              <w:right w:val="single" w:sz="4" w:space="0" w:color="CCCCCC"/>
            </w:tcBorders>
            <w:shd w:fill="F5F3FF" w:val="clear"/>
          </w:tcPr>
          <w:p>
            <w:pPr>
              <w:pStyle w:val="Normal"/>
              <w:rPr/>
            </w:pPr>
            <w:r>
              <w:rPr>
                <w:rFonts w:eastAsia="Arial" w:cs="Arial"/>
                <w:b/>
                <w:bCs/>
                <w:color w:val="2A2A5A"/>
                <w:sz w:val="20"/>
                <w:szCs w:val="20"/>
              </w:rPr>
              <w:t>Tech Stack</w:t>
            </w:r>
          </w:p>
        </w:tc>
        <w:tc>
          <w:tcPr>
            <w:tcW w:w="400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color w:val="1A1A1A"/>
                <w:sz w:val="20"/>
                <w:szCs w:val="20"/>
              </w:rPr>
              <w:t>Rust, SurrealDB, Clap, Tokio</w:t>
            </w:r>
          </w:p>
        </w:tc>
      </w:tr>
      <w:tr>
        <w:trPr/>
        <w:tc>
          <w:tcPr>
            <w:tcW w:w="1999" w:type="dxa"/>
            <w:tcBorders>
              <w:top w:val="single" w:sz="4" w:space="0" w:color="CCCCCC"/>
              <w:left w:val="single" w:sz="4" w:space="0" w:color="CCCCCC"/>
              <w:bottom w:val="single" w:sz="4" w:space="0" w:color="CCCCCC"/>
              <w:right w:val="single" w:sz="4" w:space="0" w:color="CCCCCC"/>
            </w:tcBorders>
            <w:shd w:fill="F5F3FF" w:val="clear"/>
          </w:tcPr>
          <w:p>
            <w:pPr>
              <w:pStyle w:val="Normal"/>
              <w:rPr/>
            </w:pPr>
            <w:r>
              <w:rPr>
                <w:rFonts w:eastAsia="Arial" w:cs="Arial"/>
                <w:b/>
                <w:bCs/>
                <w:color w:val="2A2A5A"/>
                <w:sz w:val="20"/>
                <w:szCs w:val="20"/>
              </w:rPr>
              <w:t>Date</w:t>
            </w:r>
          </w:p>
        </w:tc>
        <w:tc>
          <w:tcPr>
            <w:tcW w:w="400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color w:val="1A1A1A"/>
                <w:sz w:val="20"/>
                <w:szCs w:val="20"/>
              </w:rPr>
              <w:t>March 2026</w:t>
            </w:r>
          </w:p>
        </w:tc>
      </w:tr>
    </w:tbl>
    <w:p>
      <w:pPr>
        <w:pStyle w:val="Normal"/>
        <w:spacing w:before="0" w:after="200"/>
        <w:rPr/>
      </w:pPr>
      <w:r>
        <w:rPr/>
      </w:r>
    </w:p>
    <w:p>
      <w:pPr>
        <w:pStyle w:val="Normal"/>
        <w:rPr/>
      </w:pPr>
      <w:r>
        <w:rPr/>
      </w:r>
      <w:r>
        <w:br w:type="page"/>
      </w:r>
    </w:p>
    <w:p>
      <w:pPr>
        <w:pStyle w:val="Heading1"/>
        <w:spacing w:before="0" w:after="160"/>
        <w:rPr/>
      </w:pPr>
      <w:r>
        <w:rPr>
          <w:rFonts w:eastAsia="Arial" w:cs="Arial" w:ascii="Arial" w:hAnsi="Arial"/>
          <w:b/>
          <w:bCs/>
          <w:color w:val="1A1A2E"/>
          <w:sz w:val="36"/>
          <w:szCs w:val="36"/>
        </w:rPr>
        <w:t>1. Design Principles Applied</w:t>
      </w:r>
    </w:p>
    <w:p>
      <w:pPr>
        <w:pStyle w:val="Normal"/>
        <w:spacing w:lineRule="exact" w:line="340" w:before="60" w:after="120"/>
        <w:jc w:val="both"/>
        <w:rPr/>
      </w:pPr>
      <w:r>
        <w:rPr>
          <w:rFonts w:eastAsia="Arial" w:cs="Arial"/>
          <w:color w:val="1A1A1A"/>
          <w:sz w:val="22"/>
          <w:szCs w:val="22"/>
        </w:rPr>
        <w:t>DUMBIT was designed with four core software engineering principles at its foundation. Every architectural decision was evaluated against these principles to ensure the system remains maintainable, extensible, and correct.</w:t>
      </w:r>
    </w:p>
    <w:p>
      <w:pPr>
        <w:pStyle w:val="Normal"/>
        <w:spacing w:before="0" w:after="100"/>
        <w:rPr/>
      </w:pPr>
      <w:r>
        <w:rPr/>
      </w:r>
    </w:p>
    <w:tbl>
      <w:tblPr>
        <w:tblW w:w="9360" w:type="dxa"/>
        <w:jc w:val="left"/>
        <w:tblInd w:w="0" w:type="dxa"/>
        <w:tblLayout w:type="fixed"/>
        <w:tblCellMar>
          <w:top w:w="100" w:type="dxa"/>
          <w:left w:w="150" w:type="dxa"/>
          <w:bottom w:w="100" w:type="dxa"/>
          <w:right w:w="150" w:type="dxa"/>
        </w:tblCellMar>
      </w:tblPr>
      <w:tblGrid>
        <w:gridCol w:w="1799"/>
        <w:gridCol w:w="7560"/>
      </w:tblGrid>
      <w:tr>
        <w:trPr/>
        <w:tc>
          <w:tcPr>
            <w:tcW w:w="1799" w:type="dxa"/>
            <w:tcBorders>
              <w:top w:val="single" w:sz="4" w:space="0" w:color="7B68EE"/>
              <w:left w:val="single" w:sz="4" w:space="0" w:color="7B68EE"/>
              <w:bottom w:val="single" w:sz="4" w:space="0" w:color="7B68EE"/>
              <w:right w:val="single" w:sz="4" w:space="0" w:color="7B68EE"/>
            </w:tcBorders>
            <w:shd w:fill="1A1A2E" w:val="clear"/>
            <w:vAlign w:val="center"/>
          </w:tcPr>
          <w:p>
            <w:pPr>
              <w:pStyle w:val="Normal"/>
              <w:jc w:val="left"/>
              <w:rPr/>
            </w:pPr>
            <w:r>
              <w:rPr>
                <w:rFonts w:eastAsia="Arial" w:cs="Arial"/>
                <w:b/>
                <w:bCs/>
                <w:color w:val="FFFFFF"/>
                <w:sz w:val="20"/>
                <w:szCs w:val="20"/>
              </w:rPr>
              <w:t>Principle</w:t>
            </w:r>
          </w:p>
        </w:tc>
        <w:tc>
          <w:tcPr>
            <w:tcW w:w="7560" w:type="dxa"/>
            <w:tcBorders>
              <w:top w:val="single" w:sz="4" w:space="0" w:color="7B68EE"/>
              <w:left w:val="single" w:sz="4" w:space="0" w:color="7B68EE"/>
              <w:bottom w:val="single" w:sz="4" w:space="0" w:color="7B68EE"/>
              <w:right w:val="single" w:sz="4" w:space="0" w:color="7B68EE"/>
            </w:tcBorders>
            <w:shd w:fill="1A1A2E" w:val="clear"/>
            <w:vAlign w:val="center"/>
          </w:tcPr>
          <w:p>
            <w:pPr>
              <w:pStyle w:val="Normal"/>
              <w:jc w:val="left"/>
              <w:rPr/>
            </w:pPr>
            <w:r>
              <w:rPr>
                <w:rFonts w:eastAsia="Arial" w:cs="Arial"/>
                <w:b/>
                <w:bCs/>
                <w:color w:val="FFFFFF"/>
                <w:sz w:val="20"/>
                <w:szCs w:val="20"/>
              </w:rPr>
              <w:t>How DUMBIT Applies It</w:t>
            </w:r>
          </w:p>
        </w:tc>
      </w:tr>
      <w:tr>
        <w:trPr/>
        <w:tc>
          <w:tcPr>
            <w:tcW w:w="1799" w:type="dxa"/>
            <w:tcBorders>
              <w:top w:val="single" w:sz="4" w:space="0" w:color="CCCCCC"/>
              <w:left w:val="single" w:sz="4" w:space="0" w:color="CCCCCC"/>
              <w:bottom w:val="single" w:sz="4" w:space="0" w:color="CCCCCC"/>
              <w:right w:val="single" w:sz="4" w:space="0" w:color="CCCCCC"/>
            </w:tcBorders>
            <w:shd w:fill="F5F3FF" w:val="clear"/>
          </w:tcPr>
          <w:p>
            <w:pPr>
              <w:pStyle w:val="Normal"/>
              <w:rPr/>
            </w:pPr>
            <w:r>
              <w:rPr>
                <w:rFonts w:eastAsia="Arial" w:cs="Arial"/>
                <w:b/>
                <w:bCs/>
                <w:color w:val="3A2A6A"/>
                <w:sz w:val="20"/>
                <w:szCs w:val="20"/>
              </w:rPr>
              <w:t>Abstraction</w:t>
            </w:r>
          </w:p>
        </w:tc>
        <w:tc>
          <w:tcPr>
            <w:tcW w:w="7560" w:type="dxa"/>
            <w:tcBorders>
              <w:top w:val="single" w:sz="4" w:space="0" w:color="CCCCCC"/>
              <w:left w:val="single" w:sz="4" w:space="0" w:color="CCCCCC"/>
              <w:bottom w:val="single" w:sz="4" w:space="0" w:color="CCCCCC"/>
              <w:right w:val="single" w:sz="4" w:space="0" w:color="CCCCCC"/>
            </w:tcBorders>
            <w:shd w:fill="F5F3FF" w:val="clear"/>
          </w:tcPr>
          <w:p>
            <w:pPr>
              <w:pStyle w:val="Normal"/>
              <w:spacing w:lineRule="exact" w:line="300"/>
              <w:rPr/>
            </w:pPr>
            <w:r>
              <w:rPr>
                <w:rFonts w:eastAsia="Arial" w:cs="Arial"/>
                <w:color w:val="1A1A1A"/>
                <w:sz w:val="20"/>
                <w:szCs w:val="20"/>
              </w:rPr>
              <w:t>The CLI layer has no knowledge of how data is stored. It calls high-level functions like add_task() and get_today(). The SurrealDB layer has no knowledge of business rules — it only stores and retrieves records. Each layer works through a clean interface, hiding implementation details from the layers above and below it.</w:t>
            </w:r>
          </w:p>
        </w:tc>
      </w:tr>
      <w:tr>
        <w:trPr/>
        <w:tc>
          <w:tcPr>
            <w:tcW w:w="1799"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bCs/>
                <w:color w:val="3A2A6A"/>
                <w:sz w:val="20"/>
                <w:szCs w:val="20"/>
              </w:rPr>
              <w:t>Modularity</w:t>
            </w:r>
          </w:p>
        </w:tc>
        <w:tc>
          <w:tcPr>
            <w:tcW w:w="7560" w:type="dxa"/>
            <w:tcBorders>
              <w:top w:val="single" w:sz="4" w:space="0" w:color="CCCCCC"/>
              <w:left w:val="single" w:sz="4" w:space="0" w:color="CCCCCC"/>
              <w:bottom w:val="single" w:sz="4" w:space="0" w:color="CCCCCC"/>
              <w:right w:val="single" w:sz="4" w:space="0" w:color="CCCCCC"/>
            </w:tcBorders>
            <w:shd w:fill="FFFFFF" w:val="clear"/>
          </w:tcPr>
          <w:p>
            <w:pPr>
              <w:pStyle w:val="Normal"/>
              <w:spacing w:lineRule="exact" w:line="300"/>
              <w:rPr/>
            </w:pPr>
            <w:r>
              <w:rPr>
                <w:rFonts w:eastAsia="Arial" w:cs="Arial"/>
                <w:color w:val="1A1A1A"/>
                <w:sz w:val="20"/>
                <w:szCs w:val="20"/>
              </w:rPr>
              <w:t>The codebase is split into three distinct modules: Decision Engine (validates tasks), Business Logic (manages tasks and profiles), and Output Formatter (renders terminal output). Each module can be modified or replaced independently without affecting the others.</w:t>
            </w:r>
          </w:p>
        </w:tc>
      </w:tr>
      <w:tr>
        <w:trPr/>
        <w:tc>
          <w:tcPr>
            <w:tcW w:w="1799" w:type="dxa"/>
            <w:tcBorders>
              <w:top w:val="single" w:sz="4" w:space="0" w:color="CCCCCC"/>
              <w:left w:val="single" w:sz="4" w:space="0" w:color="CCCCCC"/>
              <w:bottom w:val="single" w:sz="4" w:space="0" w:color="CCCCCC"/>
              <w:right w:val="single" w:sz="4" w:space="0" w:color="CCCCCC"/>
            </w:tcBorders>
            <w:shd w:fill="F5F3FF" w:val="clear"/>
          </w:tcPr>
          <w:p>
            <w:pPr>
              <w:pStyle w:val="Normal"/>
              <w:rPr/>
            </w:pPr>
            <w:r>
              <w:rPr>
                <w:rFonts w:eastAsia="Arial" w:cs="Arial"/>
                <w:b/>
                <w:bCs/>
                <w:color w:val="3A2A6A"/>
                <w:sz w:val="20"/>
                <w:szCs w:val="20"/>
              </w:rPr>
              <w:t>High Cohesion</w:t>
            </w:r>
          </w:p>
        </w:tc>
        <w:tc>
          <w:tcPr>
            <w:tcW w:w="7560" w:type="dxa"/>
            <w:tcBorders>
              <w:top w:val="single" w:sz="4" w:space="0" w:color="CCCCCC"/>
              <w:left w:val="single" w:sz="4" w:space="0" w:color="CCCCCC"/>
              <w:bottom w:val="single" w:sz="4" w:space="0" w:color="CCCCCC"/>
              <w:right w:val="single" w:sz="4" w:space="0" w:color="CCCCCC"/>
            </w:tcBorders>
            <w:shd w:fill="F5F3FF" w:val="clear"/>
          </w:tcPr>
          <w:p>
            <w:pPr>
              <w:pStyle w:val="Normal"/>
              <w:spacing w:lineRule="exact" w:line="300"/>
              <w:rPr/>
            </w:pPr>
            <w:r>
              <w:rPr>
                <w:rFonts w:eastAsia="Arial" w:cs="Arial"/>
                <w:color w:val="1A1A1A"/>
                <w:sz w:val="20"/>
                <w:szCs w:val="20"/>
              </w:rPr>
              <w:t>Every module has a single, well-defined responsibility. The Decision Engine only validates — it does not store or display anything. The Output Formatter only renders — it does not compute or validate. This keeps each module focused and easy to reason about.</w:t>
            </w:r>
          </w:p>
        </w:tc>
      </w:tr>
      <w:tr>
        <w:trPr/>
        <w:tc>
          <w:tcPr>
            <w:tcW w:w="1799"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bCs/>
                <w:color w:val="3A2A6A"/>
                <w:sz w:val="20"/>
                <w:szCs w:val="20"/>
              </w:rPr>
              <w:t>Low Coupling</w:t>
            </w:r>
          </w:p>
        </w:tc>
        <w:tc>
          <w:tcPr>
            <w:tcW w:w="7560" w:type="dxa"/>
            <w:tcBorders>
              <w:top w:val="single" w:sz="4" w:space="0" w:color="CCCCCC"/>
              <w:left w:val="single" w:sz="4" w:space="0" w:color="CCCCCC"/>
              <w:bottom w:val="single" w:sz="4" w:space="0" w:color="CCCCCC"/>
              <w:right w:val="single" w:sz="4" w:space="0" w:color="CCCCCC"/>
            </w:tcBorders>
            <w:shd w:fill="FFFFFF" w:val="clear"/>
          </w:tcPr>
          <w:p>
            <w:pPr>
              <w:pStyle w:val="Normal"/>
              <w:spacing w:lineRule="exact" w:line="300"/>
              <w:rPr/>
            </w:pPr>
            <w:r>
              <w:rPr>
                <w:rFonts w:eastAsia="Arial" w:cs="Arial"/>
                <w:color w:val="1A1A1A"/>
                <w:sz w:val="20"/>
                <w:szCs w:val="20"/>
              </w:rPr>
              <w:t>Layers communicate strictly downward and only through defined interfaces. The CLI does not import database types directly. Replacing SurrealDB with SQLite would require changes in exactly one place: the data layer. There are no ripple effects across the codebase.</w:t>
            </w:r>
          </w:p>
        </w:tc>
      </w:tr>
    </w:tbl>
    <w:p>
      <w:pPr>
        <w:pStyle w:val="Normal"/>
        <w:spacing w:before="0" w:after="200"/>
        <w:rPr/>
      </w:pPr>
      <w:r>
        <w:rPr/>
      </w:r>
    </w:p>
    <w:p>
      <w:pPr>
        <w:pStyle w:val="Heading2"/>
        <w:spacing w:before="240" w:after="120"/>
        <w:rPr/>
      </w:pPr>
      <w:r>
        <w:rPr>
          <w:rFonts w:eastAsia="Arial" w:cs="Arial" w:ascii="Arial" w:hAnsi="Arial"/>
          <w:b/>
          <w:bCs/>
          <w:color w:val="2A2A5A"/>
          <w:sz w:val="28"/>
          <w:szCs w:val="28"/>
        </w:rPr>
        <w:t>How These Principles Work Together</w:t>
      </w:r>
    </w:p>
    <w:p>
      <w:pPr>
        <w:pStyle w:val="Normal"/>
        <w:spacing w:lineRule="exact" w:line="340" w:before="60" w:after="120"/>
        <w:jc w:val="both"/>
        <w:rPr/>
      </w:pPr>
      <w:r>
        <w:rPr>
          <w:rFonts w:eastAsia="Arial" w:cs="Arial"/>
          <w:color w:val="1A1A1A"/>
          <w:sz w:val="22"/>
          <w:szCs w:val="22"/>
        </w:rPr>
        <w:t xml:space="preserve">The four principles reinforce each other. </w:t>
      </w:r>
      <w:r>
        <w:rPr>
          <w:rFonts w:eastAsia="Arial" w:cs="Arial"/>
          <w:b/>
          <w:bCs/>
          <w:color w:val="1A1A1A"/>
          <w:sz w:val="22"/>
          <w:szCs w:val="22"/>
        </w:rPr>
        <w:t>Abstraction</w:t>
      </w:r>
      <w:r>
        <w:rPr>
          <w:rFonts w:eastAsia="Arial" w:cs="Arial"/>
          <w:color w:val="1A1A1A"/>
          <w:sz w:val="22"/>
          <w:szCs w:val="22"/>
        </w:rPr>
        <w:t xml:space="preserve"> defines the boundaries between layers. </w:t>
      </w:r>
      <w:r>
        <w:rPr>
          <w:rFonts w:eastAsia="Arial" w:cs="Arial"/>
          <w:b/>
          <w:bCs/>
          <w:color w:val="1A1A1A"/>
          <w:sz w:val="22"/>
          <w:szCs w:val="22"/>
        </w:rPr>
        <w:t>Modularity</w:t>
      </w:r>
      <w:r>
        <w:rPr>
          <w:rFonts w:eastAsia="Arial" w:cs="Arial"/>
          <w:color w:val="1A1A1A"/>
          <w:sz w:val="22"/>
          <w:szCs w:val="22"/>
        </w:rPr>
        <w:t xml:space="preserve"> enforces that each boundary contains exactly one concern. </w:t>
      </w:r>
      <w:r>
        <w:rPr>
          <w:rFonts w:eastAsia="Arial" w:cs="Arial"/>
          <w:b/>
          <w:bCs/>
          <w:color w:val="1A1A1A"/>
          <w:sz w:val="22"/>
          <w:szCs w:val="22"/>
        </w:rPr>
        <w:t>High Cohesion</w:t>
      </w:r>
      <w:r>
        <w:rPr>
          <w:rFonts w:eastAsia="Arial" w:cs="Arial"/>
          <w:color w:val="1A1A1A"/>
          <w:sz w:val="22"/>
          <w:szCs w:val="22"/>
        </w:rPr>
        <w:t xml:space="preserve"> keeps each module focused on its single responsibility. </w:t>
      </w:r>
      <w:r>
        <w:rPr>
          <w:rFonts w:eastAsia="Arial" w:cs="Arial"/>
          <w:b/>
          <w:bCs/>
          <w:color w:val="1A1A1A"/>
          <w:sz w:val="22"/>
          <w:szCs w:val="22"/>
        </w:rPr>
        <w:t>Low Coupling</w:t>
      </w:r>
      <w:r>
        <w:rPr>
          <w:rFonts w:eastAsia="Arial" w:cs="Arial"/>
          <w:color w:val="1A1A1A"/>
          <w:sz w:val="22"/>
          <w:szCs w:val="22"/>
        </w:rPr>
        <w:t xml:space="preserve"> ensures that changes within one module do not ripple outward — a new validation rule in the Decision Engine requires zero changes in the CLI or the database layer.</w:t>
      </w:r>
    </w:p>
    <w:p>
      <w:pPr>
        <w:pStyle w:val="Normal"/>
        <w:spacing w:lineRule="exact" w:line="340" w:before="60" w:after="120"/>
        <w:jc w:val="both"/>
        <w:rPr/>
      </w:pPr>
      <w:r>
        <w:rPr>
          <w:rFonts w:eastAsia="Arial" w:cs="Arial"/>
          <w:color w:val="1A1A1A"/>
          <w:sz w:val="22"/>
          <w:szCs w:val="22"/>
        </w:rPr>
        <w:t>This structure means future features — team collaboration, calendar integration, or a web interface — can be added as new layers or modules without touching the core engine. The reliability system is entirely contained within Business Logic and can be tuned independently of how tasks are displayed or stored.</w:t>
      </w:r>
    </w:p>
    <w:p>
      <w:pPr>
        <w:pStyle w:val="Normal"/>
        <w:rPr/>
      </w:pPr>
      <w:r>
        <w:rPr/>
      </w:r>
      <w:r>
        <w:br w:type="page"/>
      </w:r>
    </w:p>
    <w:p>
      <w:pPr>
        <w:pStyle w:val="Heading1"/>
        <w:spacing w:before="0" w:after="160"/>
        <w:rPr/>
      </w:pPr>
      <w:r>
        <w:rPr>
          <w:rFonts w:eastAsia="Arial" w:cs="Arial" w:ascii="Arial" w:hAnsi="Arial"/>
          <w:b/>
          <w:bCs/>
          <w:color w:val="1A1A2E"/>
          <w:sz w:val="36"/>
          <w:szCs w:val="36"/>
        </w:rPr>
        <w:t>2. High-Level Architecture</w:t>
      </w:r>
    </w:p>
    <w:p>
      <w:pPr>
        <w:pStyle w:val="Heading2"/>
        <w:spacing w:before="240" w:after="120"/>
        <w:rPr/>
      </w:pPr>
      <w:r>
        <w:rPr>
          <w:rFonts w:eastAsia="Arial" w:cs="Arial" w:ascii="Arial" w:hAnsi="Arial"/>
          <w:b/>
          <w:bCs/>
          <w:color w:val="2A2A5A"/>
          <w:sz w:val="28"/>
          <w:szCs w:val="28"/>
        </w:rPr>
        <w:t>Architecture Style: Layered Architecture</w:t>
      </w:r>
    </w:p>
    <w:p>
      <w:pPr>
        <w:pStyle w:val="Normal"/>
        <w:spacing w:lineRule="exact" w:line="340" w:before="60" w:after="120"/>
        <w:jc w:val="both"/>
        <w:rPr/>
      </w:pPr>
      <w:r>
        <w:rPr>
          <w:rFonts w:eastAsia="Arial" w:cs="Arial"/>
          <w:color w:val="1A1A1A"/>
          <w:sz w:val="22"/>
          <w:szCs w:val="22"/>
        </w:rPr>
        <w:t>DUMBIT uses a classic Layered (N-Tier) Architecture with strict downward communication. The three primary layers are: User Interface (CLI), Application Logic (Decision Engine + Business Logic + Output Formatter), and Data Persistence (SurrealDB over RocksDB). A separate Deployment layer handles build and containerization concerns.</w:t>
      </w:r>
    </w:p>
    <w:p>
      <w:pPr>
        <w:pStyle w:val="Normal"/>
        <w:spacing w:before="0" w:after="100"/>
        <w:rPr/>
      </w:pPr>
      <w:r>
        <w:rPr/>
      </w:r>
    </w:p>
    <w:p>
      <w:pPr>
        <w:pStyle w:val="Heading2"/>
        <w:spacing w:before="240" w:after="120"/>
        <w:rPr/>
      </w:pPr>
      <w:r>
        <w:rPr>
          <w:rFonts w:eastAsia="Arial" w:cs="Arial" w:ascii="Arial" w:hAnsi="Arial"/>
          <w:b/>
          <w:bCs/>
          <w:color w:val="2A2A5A"/>
          <w:sz w:val="28"/>
          <w:szCs w:val="28"/>
        </w:rPr>
        <w:t>Why Layered Architecture?</w:t>
      </w:r>
    </w:p>
    <w:p>
      <w:pPr>
        <w:pStyle w:val="ListParagraph"/>
        <w:numPr>
          <w:ilvl w:val="0"/>
          <w:numId w:val="3"/>
        </w:numPr>
        <w:spacing w:lineRule="exact" w:line="320" w:before="60" w:after="80"/>
        <w:rPr/>
      </w:pPr>
      <w:r>
        <w:rPr>
          <w:rFonts w:eastAsia="Arial" w:cs="Arial"/>
          <w:b/>
          <w:bCs/>
          <w:color w:val="1A1A1A"/>
          <w:sz w:val="22"/>
          <w:szCs w:val="22"/>
        </w:rPr>
        <w:t xml:space="preserve">Natural fit for CLI tools: </w:t>
      </w:r>
      <w:r>
        <w:rPr>
          <w:rFonts w:eastAsia="Arial" w:cs="Arial"/>
          <w:color w:val="1A1A1A"/>
          <w:sz w:val="22"/>
          <w:szCs w:val="22"/>
        </w:rPr>
        <w:t>A CLI has no GUI event loop. Input arrives as a command, flows through logic, and returns a formatted result — a perfect match for a linear layered model.</w:t>
      </w:r>
    </w:p>
    <w:p>
      <w:pPr>
        <w:pStyle w:val="ListParagraph"/>
        <w:numPr>
          <w:ilvl w:val="0"/>
          <w:numId w:val="1"/>
        </w:numPr>
        <w:spacing w:lineRule="exact" w:line="320" w:before="60" w:after="80"/>
        <w:rPr/>
      </w:pPr>
      <w:r>
        <w:rPr>
          <w:rFonts w:eastAsia="Arial" w:cs="Arial"/>
          <w:b/>
          <w:bCs/>
          <w:color w:val="1A1A1A"/>
          <w:sz w:val="22"/>
          <w:szCs w:val="22"/>
        </w:rPr>
        <w:t xml:space="preserve">Separation of concerns: </w:t>
      </w:r>
      <w:r>
        <w:rPr>
          <w:rFonts w:eastAsia="Arial" w:cs="Arial"/>
          <w:color w:val="1A1A1A"/>
          <w:sz w:val="22"/>
          <w:szCs w:val="22"/>
        </w:rPr>
        <w:t>Validation logic, storage logic, and rendering logic are completely independent. A bug in output formatting cannot affect task storage.</w:t>
      </w:r>
    </w:p>
    <w:p>
      <w:pPr>
        <w:pStyle w:val="ListParagraph"/>
        <w:numPr>
          <w:ilvl w:val="0"/>
          <w:numId w:val="1"/>
        </w:numPr>
        <w:spacing w:lineRule="exact" w:line="320" w:before="60" w:after="80"/>
        <w:rPr/>
      </w:pPr>
      <w:r>
        <w:rPr>
          <w:rFonts w:eastAsia="Arial" w:cs="Arial"/>
          <w:b/>
          <w:bCs/>
          <w:color w:val="1A1A1A"/>
          <w:sz w:val="22"/>
          <w:szCs w:val="22"/>
        </w:rPr>
        <w:t xml:space="preserve">Testability: </w:t>
      </w:r>
      <w:r>
        <w:rPr>
          <w:rFonts w:eastAsia="Arial" w:cs="Arial"/>
          <w:color w:val="1A1A1A"/>
          <w:sz w:val="22"/>
          <w:szCs w:val="22"/>
        </w:rPr>
        <w:t>Each layer can be tested in isolation by mocking the layer below it. The Decision Engine can be tested with in-memory data without touching SurrealDB.</w:t>
      </w:r>
    </w:p>
    <w:p>
      <w:pPr>
        <w:pStyle w:val="ListParagraph"/>
        <w:numPr>
          <w:ilvl w:val="0"/>
          <w:numId w:val="1"/>
        </w:numPr>
        <w:spacing w:lineRule="exact" w:line="320" w:before="60" w:after="80"/>
        <w:rPr/>
      </w:pPr>
      <w:r>
        <w:rPr>
          <w:rFonts w:eastAsia="Arial" w:cs="Arial"/>
          <w:b/>
          <w:bCs/>
          <w:color w:val="1A1A1A"/>
          <w:sz w:val="22"/>
          <w:szCs w:val="22"/>
        </w:rPr>
        <w:t xml:space="preserve">Replaceability: </w:t>
      </w:r>
      <w:r>
        <w:rPr>
          <w:rFonts w:eastAsia="Arial" w:cs="Arial"/>
          <w:color w:val="1A1A1A"/>
          <w:sz w:val="22"/>
          <w:szCs w:val="22"/>
        </w:rPr>
        <w:t>The data layer (SurrealDB) is the most likely component to change as the project scales. Layered architecture makes this swap a localized change in one place.</w:t>
      </w:r>
    </w:p>
    <w:p>
      <w:pPr>
        <w:pStyle w:val="Normal"/>
        <w:spacing w:before="0" w:after="200"/>
        <w:rPr/>
      </w:pPr>
      <w:r>
        <w:rPr/>
      </w:r>
    </w:p>
    <w:p>
      <w:pPr>
        <w:pStyle w:val="Heading2"/>
        <w:spacing w:before="240" w:after="120"/>
        <w:rPr/>
      </w:pPr>
      <w:r>
        <w:rPr>
          <w:rFonts w:eastAsia="Arial" w:cs="Arial" w:ascii="Arial" w:hAnsi="Arial"/>
          <w:b/>
          <w:bCs/>
          <w:color w:val="2A2A5A"/>
          <w:sz w:val="28"/>
          <w:szCs w:val="28"/>
        </w:rPr>
        <w:t>Architecture Diagram</w:t>
      </w:r>
    </w:p>
    <w:p>
      <w:pPr>
        <w:pStyle w:val="Normal"/>
        <w:spacing w:before="0" w:after="100"/>
        <w:jc w:val="center"/>
        <w:rPr/>
      </w:pPr>
      <w:r>
        <w:rPr/>
        <w:drawing>
          <wp:inline distT="0" distB="0" distL="0" distR="0">
            <wp:extent cx="5905500" cy="37052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05500" cy="3705225"/>
                    </a:xfrm>
                    <a:prstGeom prst="rect">
                      <a:avLst/>
                    </a:prstGeom>
                  </pic:spPr>
                </pic:pic>
              </a:graphicData>
            </a:graphic>
          </wp:inline>
        </w:drawing>
      </w:r>
    </w:p>
    <w:p>
      <w:pPr>
        <w:pStyle w:val="Normal"/>
        <w:spacing w:before="60" w:after="200"/>
        <w:jc w:val="center"/>
        <w:rPr/>
      </w:pPr>
      <w:r>
        <w:rPr>
          <w:rFonts w:eastAsia="Arial" w:cs="Arial"/>
          <w:i/>
          <w:iCs/>
          <w:color w:val="666666"/>
          <w:sz w:val="18"/>
          <w:szCs w:val="18"/>
        </w:rPr>
        <w:t>Figure 1 — DUMBIT System Architecture (Draw.io)</w:t>
      </w:r>
    </w:p>
    <w:p>
      <w:pPr>
        <w:pStyle w:val="Normal"/>
        <w:spacing w:before="0" w:after="100"/>
        <w:rPr/>
      </w:pPr>
      <w:r>
        <w:rPr/>
      </w:r>
    </w:p>
    <w:tbl>
      <w:tblPr>
        <w:tblW w:w="9360" w:type="dxa"/>
        <w:jc w:val="left"/>
        <w:tblInd w:w="0" w:type="dxa"/>
        <w:tblLayout w:type="fixed"/>
        <w:tblCellMar>
          <w:top w:w="100" w:type="dxa"/>
          <w:left w:w="150" w:type="dxa"/>
          <w:bottom w:w="100" w:type="dxa"/>
          <w:right w:w="150" w:type="dxa"/>
        </w:tblCellMar>
      </w:tblPr>
      <w:tblGrid>
        <w:gridCol w:w="2199"/>
        <w:gridCol w:w="2600"/>
        <w:gridCol w:w="4561"/>
      </w:tblGrid>
      <w:tr>
        <w:trPr/>
        <w:tc>
          <w:tcPr>
            <w:tcW w:w="2199" w:type="dxa"/>
            <w:tcBorders>
              <w:top w:val="single" w:sz="4" w:space="0" w:color="7B68EE"/>
              <w:left w:val="single" w:sz="4" w:space="0" w:color="7B68EE"/>
              <w:bottom w:val="single" w:sz="4" w:space="0" w:color="7B68EE"/>
              <w:right w:val="single" w:sz="4" w:space="0" w:color="7B68EE"/>
            </w:tcBorders>
            <w:shd w:fill="1A1A2E" w:val="clear"/>
            <w:vAlign w:val="center"/>
          </w:tcPr>
          <w:p>
            <w:pPr>
              <w:pStyle w:val="Normal"/>
              <w:jc w:val="left"/>
              <w:rPr/>
            </w:pPr>
            <w:r>
              <w:rPr>
                <w:rFonts w:eastAsia="Arial" w:cs="Arial"/>
                <w:b/>
                <w:bCs/>
                <w:color w:val="FFFFFF"/>
                <w:sz w:val="20"/>
                <w:szCs w:val="20"/>
              </w:rPr>
              <w:t>Layer</w:t>
            </w:r>
          </w:p>
        </w:tc>
        <w:tc>
          <w:tcPr>
            <w:tcW w:w="2600" w:type="dxa"/>
            <w:tcBorders>
              <w:top w:val="single" w:sz="4" w:space="0" w:color="7B68EE"/>
              <w:left w:val="single" w:sz="4" w:space="0" w:color="7B68EE"/>
              <w:bottom w:val="single" w:sz="4" w:space="0" w:color="7B68EE"/>
              <w:right w:val="single" w:sz="4" w:space="0" w:color="7B68EE"/>
            </w:tcBorders>
            <w:shd w:fill="1A1A2E" w:val="clear"/>
            <w:vAlign w:val="center"/>
          </w:tcPr>
          <w:p>
            <w:pPr>
              <w:pStyle w:val="Normal"/>
              <w:jc w:val="left"/>
              <w:rPr/>
            </w:pPr>
            <w:r>
              <w:rPr>
                <w:rFonts w:eastAsia="Arial" w:cs="Arial"/>
                <w:b/>
                <w:bCs/>
                <w:color w:val="FFFFFF"/>
                <w:sz w:val="20"/>
                <w:szCs w:val="20"/>
              </w:rPr>
              <w:t>Components</w:t>
            </w:r>
          </w:p>
        </w:tc>
        <w:tc>
          <w:tcPr>
            <w:tcW w:w="4561" w:type="dxa"/>
            <w:tcBorders>
              <w:top w:val="single" w:sz="4" w:space="0" w:color="7B68EE"/>
              <w:left w:val="single" w:sz="4" w:space="0" w:color="7B68EE"/>
              <w:bottom w:val="single" w:sz="4" w:space="0" w:color="7B68EE"/>
              <w:right w:val="single" w:sz="4" w:space="0" w:color="7B68EE"/>
            </w:tcBorders>
            <w:shd w:fill="1A1A2E" w:val="clear"/>
            <w:vAlign w:val="center"/>
          </w:tcPr>
          <w:p>
            <w:pPr>
              <w:pStyle w:val="Normal"/>
              <w:jc w:val="left"/>
              <w:rPr/>
            </w:pPr>
            <w:r>
              <w:rPr>
                <w:rFonts w:eastAsia="Arial" w:cs="Arial"/>
                <w:b/>
                <w:bCs/>
                <w:color w:val="FFFFFF"/>
                <w:sz w:val="20"/>
                <w:szCs w:val="20"/>
              </w:rPr>
              <w:t>Responsibility</w:t>
            </w:r>
          </w:p>
        </w:tc>
      </w:tr>
      <w:tr>
        <w:trPr/>
        <w:tc>
          <w:tcPr>
            <w:tcW w:w="2199" w:type="dxa"/>
            <w:tcBorders>
              <w:top w:val="single" w:sz="4" w:space="0" w:color="CCCCCC"/>
              <w:left w:val="single" w:sz="4" w:space="0" w:color="CCCCCC"/>
              <w:bottom w:val="single" w:sz="4" w:space="0" w:color="CCCCCC"/>
              <w:right w:val="single" w:sz="4" w:space="0" w:color="CCCCCC"/>
            </w:tcBorders>
            <w:shd w:fill="F5F3FF" w:val="clear"/>
          </w:tcPr>
          <w:p>
            <w:pPr>
              <w:pStyle w:val="Normal"/>
              <w:spacing w:lineRule="exact" w:line="300"/>
              <w:rPr/>
            </w:pPr>
            <w:r>
              <w:rPr>
                <w:rFonts w:eastAsia="Arial" w:cs="Arial"/>
                <w:b/>
                <w:bCs/>
                <w:color w:val="2A1A5A"/>
                <w:sz w:val="20"/>
                <w:szCs w:val="20"/>
              </w:rPr>
              <w:t>User Interface</w:t>
            </w:r>
          </w:p>
        </w:tc>
        <w:tc>
          <w:tcPr>
            <w:tcW w:w="2600" w:type="dxa"/>
            <w:tcBorders>
              <w:top w:val="single" w:sz="4" w:space="0" w:color="CCCCCC"/>
              <w:left w:val="single" w:sz="4" w:space="0" w:color="CCCCCC"/>
              <w:bottom w:val="single" w:sz="4" w:space="0" w:color="CCCCCC"/>
              <w:right w:val="single" w:sz="4" w:space="0" w:color="CCCCCC"/>
            </w:tcBorders>
            <w:shd w:fill="F5F3FF" w:val="clear"/>
          </w:tcPr>
          <w:p>
            <w:pPr>
              <w:pStyle w:val="Normal"/>
              <w:spacing w:lineRule="exact" w:line="300"/>
              <w:rPr/>
            </w:pPr>
            <w:r>
              <w:rPr>
                <w:rFonts w:eastAsia="Arial" w:cs="Arial"/>
                <w:b w:val="false"/>
                <w:bCs w:val="false"/>
                <w:color w:val="1A1A1A"/>
                <w:sz w:val="20"/>
                <w:szCs w:val="20"/>
              </w:rPr>
              <w:t>CLI (Clap Framework)</w:t>
            </w:r>
          </w:p>
        </w:tc>
        <w:tc>
          <w:tcPr>
            <w:tcW w:w="4561" w:type="dxa"/>
            <w:tcBorders>
              <w:top w:val="single" w:sz="4" w:space="0" w:color="CCCCCC"/>
              <w:left w:val="single" w:sz="4" w:space="0" w:color="CCCCCC"/>
              <w:bottom w:val="single" w:sz="4" w:space="0" w:color="CCCCCC"/>
              <w:right w:val="single" w:sz="4" w:space="0" w:color="CCCCCC"/>
            </w:tcBorders>
            <w:shd w:fill="F5F3FF" w:val="clear"/>
          </w:tcPr>
          <w:p>
            <w:pPr>
              <w:pStyle w:val="Normal"/>
              <w:spacing w:lineRule="exact" w:line="300"/>
              <w:rPr/>
            </w:pPr>
            <w:r>
              <w:rPr>
                <w:rFonts w:eastAsia="Arial" w:cs="Arial"/>
                <w:b w:val="false"/>
                <w:bCs w:val="false"/>
                <w:color w:val="1A1A1A"/>
                <w:sz w:val="20"/>
                <w:szCs w:val="20"/>
              </w:rPr>
              <w:t>Parse commands, display results, route to application logic</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Pr>
          <w:p>
            <w:pPr>
              <w:pStyle w:val="Normal"/>
              <w:spacing w:lineRule="exact" w:line="300"/>
              <w:rPr/>
            </w:pPr>
            <w:r>
              <w:rPr>
                <w:rFonts w:eastAsia="Arial" w:cs="Arial"/>
                <w:b/>
                <w:bCs/>
                <w:color w:val="2A1A5A"/>
                <w:sz w:val="20"/>
                <w:szCs w:val="20"/>
              </w:rPr>
              <w:t>Application Logic</w:t>
            </w:r>
          </w:p>
        </w:tc>
        <w:tc>
          <w:tcPr>
            <w:tcW w:w="2600" w:type="dxa"/>
            <w:tcBorders>
              <w:top w:val="single" w:sz="4" w:space="0" w:color="CCCCCC"/>
              <w:left w:val="single" w:sz="4" w:space="0" w:color="CCCCCC"/>
              <w:bottom w:val="single" w:sz="4" w:space="0" w:color="CCCCCC"/>
              <w:right w:val="single" w:sz="4" w:space="0" w:color="CCCCCC"/>
            </w:tcBorders>
            <w:shd w:fill="FFFFFF" w:val="clear"/>
          </w:tcPr>
          <w:p>
            <w:pPr>
              <w:pStyle w:val="Normal"/>
              <w:spacing w:lineRule="exact" w:line="300"/>
              <w:rPr/>
            </w:pPr>
            <w:r>
              <w:rPr>
                <w:rFonts w:eastAsia="Arial" w:cs="Arial"/>
                <w:b w:val="false"/>
                <w:bCs w:val="false"/>
                <w:color w:val="1A1A1A"/>
                <w:sz w:val="20"/>
                <w:szCs w:val="20"/>
              </w:rPr>
              <w:t>Decision Engine, Business Logic, Formatter</w:t>
            </w:r>
          </w:p>
        </w:tc>
        <w:tc>
          <w:tcPr>
            <w:tcW w:w="4561" w:type="dxa"/>
            <w:tcBorders>
              <w:top w:val="single" w:sz="4" w:space="0" w:color="CCCCCC"/>
              <w:left w:val="single" w:sz="4" w:space="0" w:color="CCCCCC"/>
              <w:bottom w:val="single" w:sz="4" w:space="0" w:color="CCCCCC"/>
              <w:right w:val="single" w:sz="4" w:space="0" w:color="CCCCCC"/>
            </w:tcBorders>
            <w:shd w:fill="FFFFFF" w:val="clear"/>
          </w:tcPr>
          <w:p>
            <w:pPr>
              <w:pStyle w:val="Normal"/>
              <w:spacing w:lineRule="exact" w:line="300"/>
              <w:rPr/>
            </w:pPr>
            <w:r>
              <w:rPr>
                <w:rFonts w:eastAsia="Arial" w:cs="Arial"/>
                <w:b w:val="false"/>
                <w:bCs w:val="false"/>
                <w:color w:val="1A1A1A"/>
                <w:sz w:val="20"/>
                <w:szCs w:val="20"/>
              </w:rPr>
              <w:t>Validate capacity and dates, manage tasks and profiles, format terminal output</w:t>
            </w:r>
          </w:p>
        </w:tc>
      </w:tr>
      <w:tr>
        <w:trPr/>
        <w:tc>
          <w:tcPr>
            <w:tcW w:w="2199" w:type="dxa"/>
            <w:tcBorders>
              <w:top w:val="single" w:sz="4" w:space="0" w:color="CCCCCC"/>
              <w:left w:val="single" w:sz="4" w:space="0" w:color="CCCCCC"/>
              <w:bottom w:val="single" w:sz="4" w:space="0" w:color="CCCCCC"/>
              <w:right w:val="single" w:sz="4" w:space="0" w:color="CCCCCC"/>
            </w:tcBorders>
            <w:shd w:fill="F5F3FF" w:val="clear"/>
          </w:tcPr>
          <w:p>
            <w:pPr>
              <w:pStyle w:val="Normal"/>
              <w:spacing w:lineRule="exact" w:line="300"/>
              <w:rPr/>
            </w:pPr>
            <w:r>
              <w:rPr>
                <w:rFonts w:eastAsia="Arial" w:cs="Arial"/>
                <w:b/>
                <w:bCs/>
                <w:color w:val="2A1A5A"/>
                <w:sz w:val="20"/>
                <w:szCs w:val="20"/>
              </w:rPr>
              <w:t>Data Persistence</w:t>
            </w:r>
          </w:p>
        </w:tc>
        <w:tc>
          <w:tcPr>
            <w:tcW w:w="2600" w:type="dxa"/>
            <w:tcBorders>
              <w:top w:val="single" w:sz="4" w:space="0" w:color="CCCCCC"/>
              <w:left w:val="single" w:sz="4" w:space="0" w:color="CCCCCC"/>
              <w:bottom w:val="single" w:sz="4" w:space="0" w:color="CCCCCC"/>
              <w:right w:val="single" w:sz="4" w:space="0" w:color="CCCCCC"/>
            </w:tcBorders>
            <w:shd w:fill="F5F3FF" w:val="clear"/>
          </w:tcPr>
          <w:p>
            <w:pPr>
              <w:pStyle w:val="Normal"/>
              <w:spacing w:lineRule="exact" w:line="300"/>
              <w:rPr/>
            </w:pPr>
            <w:r>
              <w:rPr>
                <w:rFonts w:eastAsia="Arial" w:cs="Arial"/>
                <w:b w:val="false"/>
                <w:bCs w:val="false"/>
                <w:color w:val="1A1A1A"/>
                <w:sz w:val="20"/>
                <w:szCs w:val="20"/>
              </w:rPr>
              <w:t>SurrealDB + RocksDB</w:t>
            </w:r>
          </w:p>
        </w:tc>
        <w:tc>
          <w:tcPr>
            <w:tcW w:w="4561" w:type="dxa"/>
            <w:tcBorders>
              <w:top w:val="single" w:sz="4" w:space="0" w:color="CCCCCC"/>
              <w:left w:val="single" w:sz="4" w:space="0" w:color="CCCCCC"/>
              <w:bottom w:val="single" w:sz="4" w:space="0" w:color="CCCCCC"/>
              <w:right w:val="single" w:sz="4" w:space="0" w:color="CCCCCC"/>
            </w:tcBorders>
            <w:shd w:fill="F5F3FF" w:val="clear"/>
          </w:tcPr>
          <w:p>
            <w:pPr>
              <w:pStyle w:val="Normal"/>
              <w:spacing w:lineRule="exact" w:line="300"/>
              <w:rPr/>
            </w:pPr>
            <w:r>
              <w:rPr>
                <w:rFonts w:eastAsia="Arial" w:cs="Arial"/>
                <w:b w:val="false"/>
                <w:bCs w:val="false"/>
                <w:color w:val="1A1A1A"/>
                <w:sz w:val="20"/>
                <w:szCs w:val="20"/>
              </w:rPr>
              <w:t>Store and retrieve tasks and settings from local disk</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Pr>
          <w:p>
            <w:pPr>
              <w:pStyle w:val="Normal"/>
              <w:spacing w:lineRule="exact" w:line="300"/>
              <w:rPr/>
            </w:pPr>
            <w:r>
              <w:rPr>
                <w:rFonts w:eastAsia="Arial" w:cs="Arial"/>
                <w:b/>
                <w:bCs/>
                <w:color w:val="2A1A5A"/>
                <w:sz w:val="20"/>
                <w:szCs w:val="20"/>
              </w:rPr>
              <w:t>Deployment</w:t>
            </w:r>
          </w:p>
        </w:tc>
        <w:tc>
          <w:tcPr>
            <w:tcW w:w="2600" w:type="dxa"/>
            <w:tcBorders>
              <w:top w:val="single" w:sz="4" w:space="0" w:color="CCCCCC"/>
              <w:left w:val="single" w:sz="4" w:space="0" w:color="CCCCCC"/>
              <w:bottom w:val="single" w:sz="4" w:space="0" w:color="CCCCCC"/>
              <w:right w:val="single" w:sz="4" w:space="0" w:color="CCCCCC"/>
            </w:tcBorders>
            <w:shd w:fill="FFFFFF" w:val="clear"/>
          </w:tcPr>
          <w:p>
            <w:pPr>
              <w:pStyle w:val="Normal"/>
              <w:spacing w:lineRule="exact" w:line="300"/>
              <w:rPr/>
            </w:pPr>
            <w:r>
              <w:rPr>
                <w:rFonts w:eastAsia="Arial" w:cs="Arial"/>
                <w:b w:val="false"/>
                <w:bCs w:val="false"/>
                <w:color w:val="1A1A1A"/>
                <w:sz w:val="20"/>
                <w:szCs w:val="20"/>
              </w:rPr>
              <w:t>Cargo Build, Docker</w:t>
            </w:r>
          </w:p>
        </w:tc>
        <w:tc>
          <w:tcPr>
            <w:tcW w:w="4561" w:type="dxa"/>
            <w:tcBorders>
              <w:top w:val="single" w:sz="4" w:space="0" w:color="CCCCCC"/>
              <w:left w:val="single" w:sz="4" w:space="0" w:color="CCCCCC"/>
              <w:bottom w:val="single" w:sz="4" w:space="0" w:color="CCCCCC"/>
              <w:right w:val="single" w:sz="4" w:space="0" w:color="CCCCCC"/>
            </w:tcBorders>
            <w:shd w:fill="FFFFFF" w:val="clear"/>
          </w:tcPr>
          <w:p>
            <w:pPr>
              <w:pStyle w:val="Normal"/>
              <w:spacing w:lineRule="exact" w:line="300"/>
              <w:rPr/>
            </w:pPr>
            <w:r>
              <w:rPr>
                <w:rFonts w:eastAsia="Arial" w:cs="Arial"/>
                <w:b w:val="false"/>
                <w:bCs w:val="false"/>
                <w:color w:val="1A1A1A"/>
                <w:sz w:val="20"/>
                <w:szCs w:val="20"/>
              </w:rPr>
              <w:t>Compile binary, containerize for consistent cross-platform delivery</w:t>
            </w:r>
          </w:p>
        </w:tc>
      </w:tr>
    </w:tbl>
    <w:p>
      <w:pPr>
        <w:pStyle w:val="Normal"/>
        <w:spacing w:before="0" w:after="100"/>
        <w:rPr/>
      </w:pPr>
      <w:r>
        <w:rPr/>
      </w:r>
    </w:p>
    <w:p>
      <w:pPr>
        <w:pStyle w:val="Normal"/>
        <w:rPr/>
      </w:pPr>
      <w:r>
        <w:rPr/>
      </w:r>
      <w:r>
        <w:br w:type="page"/>
      </w:r>
    </w:p>
    <w:p>
      <w:pPr>
        <w:pStyle w:val="Heading1"/>
        <w:spacing w:before="0" w:after="160"/>
        <w:rPr/>
      </w:pPr>
      <w:r>
        <w:rPr>
          <w:rFonts w:eastAsia="Arial" w:cs="Arial" w:ascii="Arial" w:hAnsi="Arial"/>
          <w:b/>
          <w:bCs/>
          <w:color w:val="1A1A2E"/>
          <w:sz w:val="36"/>
          <w:szCs w:val="36"/>
        </w:rPr>
        <w:t>3. User Interface Design</w:t>
      </w:r>
    </w:p>
    <w:p>
      <w:pPr>
        <w:pStyle w:val="Normal"/>
        <w:spacing w:lineRule="exact" w:line="340" w:before="60" w:after="120"/>
        <w:jc w:val="both"/>
        <w:rPr/>
      </w:pPr>
      <w:r>
        <w:rPr>
          <w:rFonts w:eastAsia="Arial" w:cs="Arial"/>
          <w:color w:val="1A1A1A"/>
          <w:sz w:val="22"/>
          <w:szCs w:val="22"/>
        </w:rPr>
        <w:t>DUMBIT is a CLI tool — the terminal is the interface. UI design decisions focus on terminal UX: how information is structured, how feedback is communicated, and how errors are presented. The screens below represent the six primary interaction states of the tool.</w:t>
      </w:r>
    </w:p>
    <w:p>
      <w:pPr>
        <w:pStyle w:val="Normal"/>
        <w:spacing w:before="0" w:after="100"/>
        <w:rPr/>
      </w:pPr>
      <w:r>
        <w:rPr/>
      </w:r>
    </w:p>
    <w:p>
      <w:pPr>
        <w:pStyle w:val="Heading2"/>
        <w:spacing w:before="240" w:after="120"/>
        <w:rPr/>
      </w:pPr>
      <w:r>
        <w:rPr>
          <w:rFonts w:eastAsia="Arial" w:cs="Arial" w:ascii="Arial" w:hAnsi="Arial"/>
          <w:b/>
          <w:bCs/>
          <w:color w:val="2A2A5A"/>
          <w:sz w:val="28"/>
          <w:szCs w:val="28"/>
        </w:rPr>
        <w:t>CLI UX Design Decisions</w:t>
      </w:r>
    </w:p>
    <w:p>
      <w:pPr>
        <w:pStyle w:val="ListParagraph"/>
        <w:numPr>
          <w:ilvl w:val="0"/>
          <w:numId w:val="1"/>
        </w:numPr>
        <w:spacing w:lineRule="exact" w:line="320" w:before="60" w:after="80"/>
        <w:rPr/>
      </w:pPr>
      <w:r>
        <w:rPr>
          <w:rFonts w:eastAsia="Arial" w:cs="Arial"/>
          <w:b/>
          <w:bCs/>
          <w:color w:val="1A1A1A"/>
          <w:sz w:val="22"/>
          <w:szCs w:val="22"/>
        </w:rPr>
        <w:t xml:space="preserve">Consistent color language: </w:t>
      </w:r>
      <w:r>
        <w:rPr>
          <w:rFonts w:eastAsia="Arial" w:cs="Arial"/>
          <w:color w:val="1A1A1A"/>
          <w:sz w:val="22"/>
          <w:szCs w:val="22"/>
        </w:rPr>
        <w:t>Green = accepted/success, Red = rejected/error, Yellow = pending/warning, Blue = commands, Purple = headings. Applied consistently across all screens.</w:t>
      </w:r>
    </w:p>
    <w:p>
      <w:pPr>
        <w:pStyle w:val="ListParagraph"/>
        <w:numPr>
          <w:ilvl w:val="0"/>
          <w:numId w:val="1"/>
        </w:numPr>
        <w:spacing w:lineRule="exact" w:line="320" w:before="60" w:after="80"/>
        <w:rPr/>
      </w:pPr>
      <w:r>
        <w:rPr>
          <w:rFonts w:eastAsia="Arial" w:cs="Arial"/>
          <w:b/>
          <w:bCs/>
          <w:color w:val="1A1A1A"/>
          <w:sz w:val="22"/>
          <w:szCs w:val="22"/>
        </w:rPr>
        <w:t xml:space="preserve">Immediate, explicit feedback: </w:t>
      </w:r>
      <w:r>
        <w:rPr>
          <w:rFonts w:eastAsia="Arial" w:cs="Arial"/>
          <w:color w:val="1A1A1A"/>
          <w:sz w:val="22"/>
          <w:szCs w:val="22"/>
        </w:rPr>
        <w:t>Every command returns a clear ACCEPTED or REJECTED result with a specific reason. The user never has to guess why something failed.</w:t>
      </w:r>
    </w:p>
    <w:p>
      <w:pPr>
        <w:pStyle w:val="ListParagraph"/>
        <w:numPr>
          <w:ilvl w:val="0"/>
          <w:numId w:val="1"/>
        </w:numPr>
        <w:spacing w:lineRule="exact" w:line="320" w:before="60" w:after="80"/>
        <w:rPr/>
      </w:pPr>
      <w:r>
        <w:rPr>
          <w:rFonts w:eastAsia="Arial" w:cs="Arial"/>
          <w:b/>
          <w:bCs/>
          <w:color w:val="1A1A1A"/>
          <w:sz w:val="22"/>
          <w:szCs w:val="22"/>
        </w:rPr>
        <w:t xml:space="preserve">Capacity bars: </w:t>
      </w:r>
      <w:r>
        <w:rPr>
          <w:rFonts w:eastAsia="Arial" w:cs="Arial"/>
          <w:color w:val="1A1A1A"/>
          <w:sz w:val="22"/>
          <w:szCs w:val="22"/>
        </w:rPr>
        <w:t>The today and week views show visual progress bars for daily and weekly load, giving users an at-a-glance sense of remaining capacity without mental arithmetic.</w:t>
      </w:r>
    </w:p>
    <w:p>
      <w:pPr>
        <w:pStyle w:val="ListParagraph"/>
        <w:numPr>
          <w:ilvl w:val="0"/>
          <w:numId w:val="1"/>
        </w:numPr>
        <w:spacing w:lineRule="exact" w:line="320" w:before="60" w:after="80"/>
        <w:rPr/>
      </w:pPr>
      <w:r>
        <w:rPr>
          <w:rFonts w:eastAsia="Arial" w:cs="Arial"/>
          <w:b/>
          <w:bCs/>
          <w:color w:val="1A1A1A"/>
          <w:sz w:val="22"/>
          <w:szCs w:val="22"/>
        </w:rPr>
        <w:t xml:space="preserve">Pattern detection: </w:t>
      </w:r>
      <w:r>
        <w:rPr>
          <w:rFonts w:eastAsia="Arial" w:cs="Arial"/>
          <w:color w:val="1A1A1A"/>
          <w:sz w:val="22"/>
          <w:szCs w:val="22"/>
        </w:rPr>
        <w:t>The rejected view includes an automatically generated warning when multiple rejections share a cause, helping users learn from their commitment patterns.</w:t>
      </w:r>
    </w:p>
    <w:p>
      <w:pPr>
        <w:pStyle w:val="ListParagraph"/>
        <w:numPr>
          <w:ilvl w:val="0"/>
          <w:numId w:val="1"/>
        </w:numPr>
        <w:spacing w:lineRule="exact" w:line="320" w:before="60" w:after="80"/>
        <w:rPr/>
      </w:pPr>
      <w:r>
        <w:rPr>
          <w:rFonts w:eastAsia="Arial" w:cs="Arial"/>
          <w:b/>
          <w:bCs/>
          <w:color w:val="1A1A1A"/>
          <w:sz w:val="22"/>
          <w:szCs w:val="22"/>
        </w:rPr>
        <w:t xml:space="preserve">Structured tables: </w:t>
      </w:r>
      <w:r>
        <w:rPr>
          <w:rFonts w:eastAsia="Arial" w:cs="Arial"/>
          <w:color w:val="1A1A1A"/>
          <w:sz w:val="22"/>
          <w:szCs w:val="22"/>
        </w:rPr>
        <w:t>All multi-item views use aligned column tables via Comfy-table, making data scannable at a glance.</w:t>
      </w:r>
    </w:p>
    <w:p>
      <w:pPr>
        <w:pStyle w:val="ListParagraph"/>
        <w:numPr>
          <w:ilvl w:val="0"/>
          <w:numId w:val="1"/>
        </w:numPr>
        <w:spacing w:lineRule="exact" w:line="320" w:before="60" w:after="80"/>
        <w:rPr/>
      </w:pPr>
      <w:r>
        <w:rPr>
          <w:rFonts w:eastAsia="Arial" w:cs="Arial"/>
          <w:b/>
          <w:bCs/>
          <w:color w:val="1A1A1A"/>
          <w:sz w:val="22"/>
          <w:szCs w:val="22"/>
        </w:rPr>
        <w:t xml:space="preserve">Monospace consistency: </w:t>
      </w:r>
      <w:r>
        <w:rPr>
          <w:rFonts w:eastAsia="Arial" w:cs="Arial"/>
          <w:color w:val="1A1A1A"/>
          <w:sz w:val="22"/>
          <w:szCs w:val="22"/>
        </w:rPr>
        <w:t>Courier New is used throughout, matching the authentic terminal aesthetic and ensuring column alignment works correctly.</w:t>
      </w:r>
    </w:p>
    <w:p>
      <w:pPr>
        <w:pStyle w:val="Normal"/>
        <w:spacing w:before="0" w:after="200"/>
        <w:rPr/>
      </w:pPr>
      <w:r>
        <w:rPr/>
      </w:r>
    </w:p>
    <w:p>
      <w:pPr>
        <w:pStyle w:val="Heading2"/>
        <w:spacing w:before="240" w:after="120"/>
        <w:rPr/>
      </w:pPr>
      <w:r>
        <w:rPr>
          <w:rFonts w:eastAsia="Arial" w:cs="Arial" w:ascii="Arial" w:hAnsi="Arial"/>
          <w:b/>
          <w:bCs/>
          <w:color w:val="2A2A5A"/>
          <w:sz w:val="28"/>
          <w:szCs w:val="28"/>
        </w:rPr>
        <w:t>CLI Screens</w:t>
      </w:r>
    </w:p>
    <w:tbl>
      <w:tblPr>
        <w:tblW w:w="9360" w:type="dxa"/>
        <w:jc w:val="left"/>
        <w:tblInd w:w="0" w:type="dxa"/>
        <w:tblLayout w:type="fixed"/>
        <w:tblCellMar>
          <w:top w:w="80" w:type="dxa"/>
          <w:left w:w="80" w:type="dxa"/>
          <w:bottom w:w="80" w:type="dxa"/>
          <w:right w:w="80" w:type="dxa"/>
        </w:tblCellMar>
      </w:tblPr>
      <w:tblGrid>
        <w:gridCol w:w="4620"/>
        <w:gridCol w:w="4739"/>
      </w:tblGrid>
      <w:tr>
        <w:trPr/>
        <w:tc>
          <w:tcPr>
            <w:tcW w:w="4620" w:type="dxa"/>
            <w:tcBorders>
              <w:top w:val="single" w:sz="4" w:space="0" w:color="CCCCCC"/>
              <w:left w:val="single" w:sz="4" w:space="0" w:color="CCCCCC"/>
              <w:bottom w:val="single" w:sz="4" w:space="0" w:color="CCCCCC"/>
              <w:right w:val="single" w:sz="4" w:space="0" w:color="CCCCCC"/>
            </w:tcBorders>
            <w:shd w:fill="F8F7FF" w:val="clear"/>
            <w:vAlign w:val="center"/>
          </w:tcPr>
          <w:p>
            <w:pPr>
              <w:pStyle w:val="Normal"/>
              <w:jc w:val="center"/>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2832100" cy="1722120"/>
                  <wp:effectExtent l="0" t="0" r="0" b="0"/>
                  <wp:wrapSquare wrapText="largest"/>
                  <wp:docPr id="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8" descr=""/>
                          <pic:cNvPicPr>
                            <a:picLocks noChangeAspect="1" noChangeArrowheads="1"/>
                          </pic:cNvPicPr>
                        </pic:nvPicPr>
                        <pic:blipFill>
                          <a:blip r:embed="rId3"/>
                          <a:stretch>
                            <a:fillRect/>
                          </a:stretch>
                        </pic:blipFill>
                        <pic:spPr bwMode="auto">
                          <a:xfrm>
                            <a:off x="0" y="0"/>
                            <a:ext cx="2832100" cy="1722120"/>
                          </a:xfrm>
                          <a:prstGeom prst="rect">
                            <a:avLst/>
                          </a:prstGeom>
                        </pic:spPr>
                      </pic:pic>
                    </a:graphicData>
                  </a:graphic>
                </wp:anchor>
              </w:drawing>
            </w:r>
          </w:p>
        </w:tc>
        <w:tc>
          <w:tcPr>
            <w:tcW w:w="4739" w:type="dxa"/>
            <w:tcBorders>
              <w:top w:val="single" w:sz="4" w:space="0" w:color="CCCCCC"/>
              <w:left w:val="single" w:sz="4" w:space="0" w:color="CCCCCC"/>
              <w:bottom w:val="single" w:sz="4" w:space="0" w:color="CCCCCC"/>
              <w:right w:val="single" w:sz="4" w:space="0" w:color="CCCCCC"/>
            </w:tcBorders>
            <w:shd w:fill="F8F7FF" w:val="clear"/>
            <w:vAlign w:val="center"/>
          </w:tcPr>
          <w:p>
            <w:pPr>
              <w:pStyle w:val="Normal"/>
              <w:jc w:val="center"/>
              <w:rPr/>
            </w:pPr>
            <w:r>
              <w:rPr/>
              <w:drawing>
                <wp:inline distT="0" distB="0" distL="0" distR="0">
                  <wp:extent cx="2809875" cy="17526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2809875" cy="1752600"/>
                          </a:xfrm>
                          <a:prstGeom prst="rect">
                            <a:avLst/>
                          </a:prstGeom>
                        </pic:spPr>
                      </pic:pic>
                    </a:graphicData>
                  </a:graphic>
                </wp:inline>
              </w:drawing>
            </w:r>
          </w:p>
        </w:tc>
      </w:tr>
      <w:tr>
        <w:trPr/>
        <w:tc>
          <w:tcPr>
            <w:tcW w:w="4620" w:type="dxa"/>
            <w:tcBorders>
              <w:left w:val="single" w:sz="4" w:space="0" w:color="CCCCCC"/>
              <w:bottom w:val="single" w:sz="4" w:space="0" w:color="CCCCCC"/>
              <w:right w:val="single" w:sz="4" w:space="0" w:color="CCCCCC"/>
            </w:tcBorders>
            <w:shd w:fill="FFFFFF" w:val="clear"/>
            <w:tcMar>
              <w:top w:w="60" w:type="dxa"/>
              <w:bottom w:w="60" w:type="dxa"/>
            </w:tcMar>
          </w:tcPr>
          <w:p>
            <w:pPr>
              <w:pStyle w:val="Normal"/>
              <w:jc w:val="center"/>
              <w:rPr/>
            </w:pPr>
            <w:r>
              <w:rPr>
                <w:rFonts w:eastAsia="Arial" w:cs="Arial"/>
                <w:i/>
                <w:iCs/>
                <w:color w:val="666666"/>
                <w:sz w:val="18"/>
                <w:szCs w:val="18"/>
              </w:rPr>
              <w:t>Screen 1 — Home / Help</w:t>
            </w:r>
          </w:p>
        </w:tc>
        <w:tc>
          <w:tcPr>
            <w:tcW w:w="4739" w:type="dxa"/>
            <w:tcBorders>
              <w:left w:val="single" w:sz="4" w:space="0" w:color="CCCCCC"/>
              <w:bottom w:val="single" w:sz="4" w:space="0" w:color="CCCCCC"/>
              <w:right w:val="single" w:sz="4" w:space="0" w:color="CCCCCC"/>
            </w:tcBorders>
            <w:shd w:fill="FFFFFF" w:val="clear"/>
            <w:tcMar>
              <w:top w:w="60" w:type="dxa"/>
              <w:bottom w:w="60" w:type="dxa"/>
            </w:tcMar>
          </w:tcPr>
          <w:p>
            <w:pPr>
              <w:pStyle w:val="Normal"/>
              <w:jc w:val="center"/>
              <w:rPr/>
            </w:pPr>
            <w:r>
              <w:rPr>
                <w:rFonts w:eastAsia="Arial" w:cs="Arial"/>
                <w:i/>
                <w:iCs/>
                <w:color w:val="666666"/>
                <w:sz w:val="18"/>
                <w:szCs w:val="18"/>
              </w:rPr>
              <w:t>Screen 2 — dumbit today</w:t>
            </w:r>
          </w:p>
        </w:tc>
      </w:tr>
      <w:tr>
        <w:trPr/>
        <w:tc>
          <w:tcPr>
            <w:tcW w:w="4620" w:type="dxa"/>
            <w:tcBorders>
              <w:top w:val="single" w:sz="4" w:space="0" w:color="CCCCCC"/>
              <w:left w:val="single" w:sz="4" w:space="0" w:color="CCCCCC"/>
              <w:bottom w:val="single" w:sz="4" w:space="0" w:color="CCCCCC"/>
              <w:right w:val="single" w:sz="4" w:space="0" w:color="CCCCCC"/>
            </w:tcBorders>
            <w:shd w:fill="F8F7FF" w:val="clear"/>
            <w:vAlign w:val="center"/>
          </w:tcPr>
          <w:p>
            <w:pPr>
              <w:pStyle w:val="Normal"/>
              <w:jc w:val="center"/>
              <w:rPr/>
            </w:pPr>
            <w:r>
              <w:rPr/>
              <w:drawing>
                <wp:inline distT="0" distB="0" distL="0" distR="0">
                  <wp:extent cx="2809875" cy="175260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2809875" cy="1752600"/>
                          </a:xfrm>
                          <a:prstGeom prst="rect">
                            <a:avLst/>
                          </a:prstGeom>
                        </pic:spPr>
                      </pic:pic>
                    </a:graphicData>
                  </a:graphic>
                </wp:inline>
              </w:drawing>
            </w:r>
          </w:p>
        </w:tc>
        <w:tc>
          <w:tcPr>
            <w:tcW w:w="4739" w:type="dxa"/>
            <w:tcBorders>
              <w:top w:val="single" w:sz="4" w:space="0" w:color="CCCCCC"/>
              <w:left w:val="single" w:sz="4" w:space="0" w:color="CCCCCC"/>
              <w:bottom w:val="single" w:sz="4" w:space="0" w:color="CCCCCC"/>
              <w:right w:val="single" w:sz="4" w:space="0" w:color="CCCCCC"/>
            </w:tcBorders>
            <w:shd w:fill="F8F7FF" w:val="clear"/>
            <w:vAlign w:val="center"/>
          </w:tcPr>
          <w:p>
            <w:pPr>
              <w:pStyle w:val="Normal"/>
              <w:jc w:val="center"/>
              <w:rPr/>
            </w:pPr>
            <w:r>
              <w:rPr/>
              <w:drawing>
                <wp:inline distT="0" distB="0" distL="0" distR="0">
                  <wp:extent cx="2809875" cy="192405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2809875" cy="1924050"/>
                          </a:xfrm>
                          <a:prstGeom prst="rect">
                            <a:avLst/>
                          </a:prstGeom>
                        </pic:spPr>
                      </pic:pic>
                    </a:graphicData>
                  </a:graphic>
                </wp:inline>
              </w:drawing>
            </w:r>
          </w:p>
        </w:tc>
      </w:tr>
      <w:tr>
        <w:trPr/>
        <w:tc>
          <w:tcPr>
            <w:tcW w:w="4620" w:type="dxa"/>
            <w:tcBorders>
              <w:left w:val="single" w:sz="4" w:space="0" w:color="CCCCCC"/>
              <w:bottom w:val="single" w:sz="4" w:space="0" w:color="CCCCCC"/>
              <w:right w:val="single" w:sz="4" w:space="0" w:color="CCCCCC"/>
            </w:tcBorders>
            <w:shd w:fill="FFFFFF" w:val="clear"/>
            <w:tcMar>
              <w:top w:w="60" w:type="dxa"/>
              <w:bottom w:w="60" w:type="dxa"/>
            </w:tcMar>
          </w:tcPr>
          <w:p>
            <w:pPr>
              <w:pStyle w:val="Normal"/>
              <w:jc w:val="center"/>
              <w:rPr/>
            </w:pPr>
            <w:r>
              <w:rPr>
                <w:rFonts w:eastAsia="Arial" w:cs="Arial"/>
                <w:i/>
                <w:iCs/>
                <w:color w:val="666666"/>
                <w:sz w:val="18"/>
                <w:szCs w:val="18"/>
              </w:rPr>
              <w:t>Screen 3 — Task Add (Accept &amp; Reject)</w:t>
            </w:r>
          </w:p>
        </w:tc>
        <w:tc>
          <w:tcPr>
            <w:tcW w:w="4739" w:type="dxa"/>
            <w:tcBorders>
              <w:left w:val="single" w:sz="4" w:space="0" w:color="CCCCCC"/>
              <w:bottom w:val="single" w:sz="4" w:space="0" w:color="CCCCCC"/>
              <w:right w:val="single" w:sz="4" w:space="0" w:color="CCCCCC"/>
            </w:tcBorders>
            <w:shd w:fill="FFFFFF" w:val="clear"/>
            <w:tcMar>
              <w:top w:w="60" w:type="dxa"/>
              <w:bottom w:w="60" w:type="dxa"/>
            </w:tcMar>
          </w:tcPr>
          <w:p>
            <w:pPr>
              <w:pStyle w:val="Normal"/>
              <w:jc w:val="center"/>
              <w:rPr/>
            </w:pPr>
            <w:r>
              <w:rPr>
                <w:rFonts w:eastAsia="Arial" w:cs="Arial"/>
                <w:i/>
                <w:iCs/>
                <w:color w:val="666666"/>
                <w:sz w:val="18"/>
                <w:szCs w:val="18"/>
              </w:rPr>
              <w:t>Screen 4 — dumbit week</w:t>
            </w:r>
          </w:p>
        </w:tc>
      </w:tr>
      <w:tr>
        <w:trPr/>
        <w:tc>
          <w:tcPr>
            <w:tcW w:w="4620" w:type="dxa"/>
            <w:tcBorders>
              <w:top w:val="single" w:sz="4" w:space="0" w:color="CCCCCC"/>
              <w:left w:val="single" w:sz="4" w:space="0" w:color="CCCCCC"/>
              <w:bottom w:val="single" w:sz="4" w:space="0" w:color="CCCCCC"/>
              <w:right w:val="single" w:sz="4" w:space="0" w:color="CCCCCC"/>
            </w:tcBorders>
            <w:shd w:fill="F8F7FF" w:val="clear"/>
            <w:vAlign w:val="center"/>
          </w:tcPr>
          <w:p>
            <w:pPr>
              <w:pStyle w:val="Normal"/>
              <w:jc w:val="center"/>
              <w:rPr/>
            </w:pPr>
            <w:r>
              <w:rPr/>
              <w:drawing>
                <wp:inline distT="0" distB="0" distL="0" distR="0">
                  <wp:extent cx="2809875" cy="179070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2809875" cy="1790700"/>
                          </a:xfrm>
                          <a:prstGeom prst="rect">
                            <a:avLst/>
                          </a:prstGeom>
                        </pic:spPr>
                      </pic:pic>
                    </a:graphicData>
                  </a:graphic>
                </wp:inline>
              </w:drawing>
            </w:r>
          </w:p>
        </w:tc>
        <w:tc>
          <w:tcPr>
            <w:tcW w:w="4739" w:type="dxa"/>
            <w:tcBorders>
              <w:top w:val="single" w:sz="4" w:space="0" w:color="CCCCCC"/>
              <w:left w:val="single" w:sz="4" w:space="0" w:color="CCCCCC"/>
              <w:bottom w:val="single" w:sz="4" w:space="0" w:color="CCCCCC"/>
              <w:right w:val="single" w:sz="4" w:space="0" w:color="CCCCCC"/>
            </w:tcBorders>
            <w:shd w:fill="F8F7FF" w:val="clear"/>
            <w:vAlign w:val="center"/>
          </w:tcPr>
          <w:p>
            <w:pPr>
              <w:pStyle w:val="Normal"/>
              <w:jc w:val="center"/>
              <w:rPr/>
            </w:pPr>
            <w:r>
              <w:rPr/>
              <w:drawing>
                <wp:inline distT="0" distB="0" distL="0" distR="0">
                  <wp:extent cx="2809875" cy="175260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2809875" cy="1752600"/>
                          </a:xfrm>
                          <a:prstGeom prst="rect">
                            <a:avLst/>
                          </a:prstGeom>
                        </pic:spPr>
                      </pic:pic>
                    </a:graphicData>
                  </a:graphic>
                </wp:inline>
              </w:drawing>
            </w:r>
          </w:p>
        </w:tc>
      </w:tr>
      <w:tr>
        <w:trPr/>
        <w:tc>
          <w:tcPr>
            <w:tcW w:w="4620" w:type="dxa"/>
            <w:tcBorders>
              <w:left w:val="single" w:sz="4" w:space="0" w:color="CCCCCC"/>
              <w:bottom w:val="single" w:sz="4" w:space="0" w:color="CCCCCC"/>
              <w:right w:val="single" w:sz="4" w:space="0" w:color="CCCCCC"/>
            </w:tcBorders>
            <w:shd w:fill="FFFFFF" w:val="clear"/>
            <w:tcMar>
              <w:top w:w="60" w:type="dxa"/>
              <w:bottom w:w="60" w:type="dxa"/>
            </w:tcMar>
          </w:tcPr>
          <w:p>
            <w:pPr>
              <w:pStyle w:val="Normal"/>
              <w:jc w:val="center"/>
              <w:rPr/>
            </w:pPr>
            <w:r>
              <w:rPr>
                <w:rFonts w:eastAsia="Arial" w:cs="Arial"/>
                <w:i/>
                <w:iCs/>
                <w:color w:val="666666"/>
                <w:sz w:val="18"/>
                <w:szCs w:val="18"/>
              </w:rPr>
              <w:t>Screen 5 — dumbit rejected</w:t>
            </w:r>
          </w:p>
        </w:tc>
        <w:tc>
          <w:tcPr>
            <w:tcW w:w="4739" w:type="dxa"/>
            <w:tcBorders>
              <w:left w:val="single" w:sz="4" w:space="0" w:color="CCCCCC"/>
              <w:bottom w:val="single" w:sz="4" w:space="0" w:color="CCCCCC"/>
              <w:right w:val="single" w:sz="4" w:space="0" w:color="CCCCCC"/>
            </w:tcBorders>
            <w:shd w:fill="FFFFFF" w:val="clear"/>
            <w:tcMar>
              <w:top w:w="60" w:type="dxa"/>
              <w:bottom w:w="60" w:type="dxa"/>
            </w:tcMar>
          </w:tcPr>
          <w:p>
            <w:pPr>
              <w:pStyle w:val="Normal"/>
              <w:jc w:val="center"/>
              <w:rPr/>
            </w:pPr>
            <w:r>
              <w:rPr>
                <w:rFonts w:eastAsia="Arial" w:cs="Arial"/>
                <w:i/>
                <w:iCs/>
                <w:color w:val="666666"/>
                <w:sz w:val="18"/>
                <w:szCs w:val="18"/>
              </w:rPr>
              <w:t>Screen 6 — Complete &amp; Set-Profile</w:t>
            </w:r>
          </w:p>
        </w:tc>
      </w:tr>
    </w:tbl>
    <w:p>
      <w:pPr>
        <w:pStyle w:val="Normal"/>
        <w:spacing w:before="0" w:after="100"/>
        <w:rPr/>
      </w:pPr>
      <w:r>
        <w:rPr/>
      </w:r>
    </w:p>
    <w:p>
      <w:pPr>
        <w:pStyle w:val="Normal"/>
        <w:spacing w:before="60" w:after="200"/>
        <w:jc w:val="center"/>
        <w:rPr/>
      </w:pPr>
      <w:r>
        <w:rPr>
          <w:rFonts w:eastAsia="Arial" w:cs="Arial"/>
          <w:i/>
          <w:iCs/>
          <w:color w:val="666666"/>
          <w:sz w:val="18"/>
          <w:szCs w:val="18"/>
        </w:rPr>
        <w:t>Note: DUMBIT is a CLI tool. Screens above are terminal mockups accurately representing the real tool output.</w:t>
      </w:r>
    </w:p>
    <w:p>
      <w:pPr>
        <w:pStyle w:val="Normal"/>
        <w:rPr/>
      </w:pPr>
      <w:r>
        <w:rPr/>
      </w:r>
      <w:r>
        <w:br w:type="page"/>
      </w:r>
    </w:p>
    <w:p>
      <w:pPr>
        <w:pStyle w:val="Heading1"/>
        <w:spacing w:before="0" w:after="160"/>
        <w:rPr/>
      </w:pPr>
      <w:r>
        <w:rPr>
          <w:rFonts w:eastAsia="Arial" w:cs="Arial" w:ascii="Arial" w:hAnsi="Arial"/>
          <w:b/>
          <w:bCs/>
          <w:color w:val="1A1A2E"/>
          <w:sz w:val="36"/>
          <w:szCs w:val="36"/>
        </w:rPr>
        <w:t>4. Design Decisions &amp; Why</w:t>
      </w:r>
    </w:p>
    <w:p>
      <w:pPr>
        <w:pStyle w:val="Normal"/>
        <w:spacing w:lineRule="exact" w:line="340" w:before="60" w:after="120"/>
        <w:jc w:val="both"/>
        <w:rPr/>
      </w:pPr>
      <w:r>
        <w:rPr>
          <w:rFonts w:eastAsia="Arial" w:cs="Arial"/>
          <w:color w:val="1A1A1A"/>
          <w:sz w:val="22"/>
          <w:szCs w:val="22"/>
        </w:rPr>
        <w:t>The following table documents the five most significant design decisions made during DUMBIT's development, along with the reasoning behind each choice.</w:t>
      </w:r>
    </w:p>
    <w:p>
      <w:pPr>
        <w:pStyle w:val="Normal"/>
        <w:spacing w:before="0" w:after="100"/>
        <w:rPr/>
      </w:pPr>
      <w:r>
        <w:rPr/>
      </w:r>
    </w:p>
    <w:tbl>
      <w:tblPr>
        <w:tblW w:w="9360" w:type="dxa"/>
        <w:jc w:val="left"/>
        <w:tblInd w:w="0" w:type="dxa"/>
        <w:tblLayout w:type="fixed"/>
        <w:tblCellMar>
          <w:top w:w="100" w:type="dxa"/>
          <w:left w:w="150" w:type="dxa"/>
          <w:bottom w:w="100" w:type="dxa"/>
          <w:right w:w="150" w:type="dxa"/>
        </w:tblCellMar>
      </w:tblPr>
      <w:tblGrid>
        <w:gridCol w:w="499"/>
        <w:gridCol w:w="2500"/>
        <w:gridCol w:w="6361"/>
      </w:tblGrid>
      <w:tr>
        <w:trPr/>
        <w:tc>
          <w:tcPr>
            <w:tcW w:w="499" w:type="dxa"/>
            <w:tcBorders>
              <w:top w:val="single" w:sz="4" w:space="0" w:color="7B68EE"/>
              <w:left w:val="single" w:sz="4" w:space="0" w:color="7B68EE"/>
              <w:bottom w:val="single" w:sz="4" w:space="0" w:color="7B68EE"/>
              <w:right w:val="single" w:sz="4" w:space="0" w:color="7B68EE"/>
            </w:tcBorders>
            <w:shd w:fill="1A1A2E" w:val="clear"/>
            <w:vAlign w:val="center"/>
          </w:tcPr>
          <w:p>
            <w:pPr>
              <w:pStyle w:val="Normal"/>
              <w:jc w:val="left"/>
              <w:rPr/>
            </w:pPr>
            <w:r>
              <w:rPr>
                <w:rFonts w:eastAsia="Arial" w:cs="Arial"/>
                <w:b/>
                <w:bCs/>
                <w:color w:val="FFFFFF"/>
                <w:sz w:val="20"/>
                <w:szCs w:val="20"/>
              </w:rPr>
              <w:t>#</w:t>
            </w:r>
          </w:p>
        </w:tc>
        <w:tc>
          <w:tcPr>
            <w:tcW w:w="2500" w:type="dxa"/>
            <w:tcBorders>
              <w:top w:val="single" w:sz="4" w:space="0" w:color="7B68EE"/>
              <w:left w:val="single" w:sz="4" w:space="0" w:color="7B68EE"/>
              <w:bottom w:val="single" w:sz="4" w:space="0" w:color="7B68EE"/>
              <w:right w:val="single" w:sz="4" w:space="0" w:color="7B68EE"/>
            </w:tcBorders>
            <w:shd w:fill="1A1A2E" w:val="clear"/>
            <w:vAlign w:val="center"/>
          </w:tcPr>
          <w:p>
            <w:pPr>
              <w:pStyle w:val="Normal"/>
              <w:jc w:val="left"/>
              <w:rPr/>
            </w:pPr>
            <w:r>
              <w:rPr>
                <w:rFonts w:eastAsia="Arial" w:cs="Arial"/>
                <w:b/>
                <w:bCs/>
                <w:color w:val="FFFFFF"/>
                <w:sz w:val="20"/>
                <w:szCs w:val="20"/>
              </w:rPr>
              <w:t>Design Decision</w:t>
            </w:r>
          </w:p>
        </w:tc>
        <w:tc>
          <w:tcPr>
            <w:tcW w:w="6361" w:type="dxa"/>
            <w:tcBorders>
              <w:top w:val="single" w:sz="4" w:space="0" w:color="7B68EE"/>
              <w:left w:val="single" w:sz="4" w:space="0" w:color="7B68EE"/>
              <w:bottom w:val="single" w:sz="4" w:space="0" w:color="7B68EE"/>
              <w:right w:val="single" w:sz="4" w:space="0" w:color="7B68EE"/>
            </w:tcBorders>
            <w:shd w:fill="1A1A2E" w:val="clear"/>
            <w:vAlign w:val="center"/>
          </w:tcPr>
          <w:p>
            <w:pPr>
              <w:pStyle w:val="Normal"/>
              <w:jc w:val="left"/>
              <w:rPr/>
            </w:pPr>
            <w:r>
              <w:rPr>
                <w:rFonts w:eastAsia="Arial" w:cs="Arial"/>
                <w:b/>
                <w:bCs/>
                <w:color w:val="FFFFFF"/>
                <w:sz w:val="20"/>
                <w:szCs w:val="20"/>
              </w:rPr>
              <w:t>Rationale</w:t>
            </w:r>
          </w:p>
        </w:tc>
      </w:tr>
      <w:tr>
        <w:trPr/>
        <w:tc>
          <w:tcPr>
            <w:tcW w:w="499" w:type="dxa"/>
            <w:tcBorders>
              <w:top w:val="single" w:sz="4" w:space="0" w:color="CCCCCC"/>
              <w:left w:val="single" w:sz="4" w:space="0" w:color="CCCCCC"/>
              <w:bottom w:val="single" w:sz="4" w:space="0" w:color="CCCCCC"/>
              <w:right w:val="single" w:sz="4" w:space="0" w:color="CCCCCC"/>
            </w:tcBorders>
            <w:shd w:fill="F5F3FF" w:val="clear"/>
          </w:tcPr>
          <w:p>
            <w:pPr>
              <w:pStyle w:val="Normal"/>
              <w:spacing w:lineRule="exact" w:line="300"/>
              <w:rPr/>
            </w:pPr>
            <w:r>
              <w:rPr>
                <w:rFonts w:eastAsia="Arial" w:cs="Arial"/>
                <w:b/>
                <w:bCs/>
                <w:color w:val="7B68EE"/>
                <w:sz w:val="20"/>
                <w:szCs w:val="20"/>
              </w:rPr>
              <w:t>1</w:t>
            </w:r>
          </w:p>
        </w:tc>
        <w:tc>
          <w:tcPr>
            <w:tcW w:w="2500" w:type="dxa"/>
            <w:tcBorders>
              <w:top w:val="single" w:sz="4" w:space="0" w:color="CCCCCC"/>
              <w:left w:val="single" w:sz="4" w:space="0" w:color="CCCCCC"/>
              <w:bottom w:val="single" w:sz="4" w:space="0" w:color="CCCCCC"/>
              <w:right w:val="single" w:sz="4" w:space="0" w:color="CCCCCC"/>
            </w:tcBorders>
            <w:shd w:fill="F5F3FF" w:val="clear"/>
          </w:tcPr>
          <w:p>
            <w:pPr>
              <w:pStyle w:val="Normal"/>
              <w:spacing w:lineRule="exact" w:line="300"/>
              <w:rPr/>
            </w:pPr>
            <w:r>
              <w:rPr>
                <w:rFonts w:eastAsia="Arial" w:cs="Arial"/>
                <w:b/>
                <w:bCs/>
                <w:color w:val="2A1A4A"/>
                <w:sz w:val="20"/>
                <w:szCs w:val="20"/>
              </w:rPr>
              <w:t>Layered Architecture</w:t>
            </w:r>
          </w:p>
        </w:tc>
        <w:tc>
          <w:tcPr>
            <w:tcW w:w="6361" w:type="dxa"/>
            <w:tcBorders>
              <w:top w:val="single" w:sz="4" w:space="0" w:color="CCCCCC"/>
              <w:left w:val="single" w:sz="4" w:space="0" w:color="CCCCCC"/>
              <w:bottom w:val="single" w:sz="4" w:space="0" w:color="CCCCCC"/>
              <w:right w:val="single" w:sz="4" w:space="0" w:color="CCCCCC"/>
            </w:tcBorders>
            <w:shd w:fill="F5F3FF" w:val="clear"/>
          </w:tcPr>
          <w:p>
            <w:pPr>
              <w:pStyle w:val="Normal"/>
              <w:spacing w:lineRule="exact" w:line="300"/>
              <w:rPr/>
            </w:pPr>
            <w:r>
              <w:rPr>
                <w:rFonts w:eastAsia="Arial" w:cs="Arial"/>
                <w:b w:val="false"/>
                <w:bCs w:val="false"/>
                <w:color w:val="1A1A1A"/>
                <w:sz w:val="20"/>
                <w:szCs w:val="20"/>
              </w:rPr>
              <w:t>CLI tools have no traditional UI layer. Input parsing, business logic, and storage map cleanly to three independent layers — each with one job. This style also makes each layer independently testable.</w:t>
            </w:r>
          </w:p>
        </w:tc>
      </w:tr>
      <w:tr>
        <w:trPr/>
        <w:tc>
          <w:tcPr>
            <w:tcW w:w="499" w:type="dxa"/>
            <w:tcBorders>
              <w:top w:val="single" w:sz="4" w:space="0" w:color="CCCCCC"/>
              <w:left w:val="single" w:sz="4" w:space="0" w:color="CCCCCC"/>
              <w:bottom w:val="single" w:sz="4" w:space="0" w:color="CCCCCC"/>
              <w:right w:val="single" w:sz="4" w:space="0" w:color="CCCCCC"/>
            </w:tcBorders>
            <w:shd w:fill="FFFFFF" w:val="clear"/>
          </w:tcPr>
          <w:p>
            <w:pPr>
              <w:pStyle w:val="Normal"/>
              <w:spacing w:lineRule="exact" w:line="300"/>
              <w:rPr/>
            </w:pPr>
            <w:r>
              <w:rPr>
                <w:rFonts w:eastAsia="Arial" w:cs="Arial"/>
                <w:b/>
                <w:bCs/>
                <w:color w:val="7B68EE"/>
                <w:sz w:val="20"/>
                <w:szCs w:val="20"/>
              </w:rPr>
              <w:t>2</w:t>
            </w:r>
          </w:p>
        </w:tc>
        <w:tc>
          <w:tcPr>
            <w:tcW w:w="2500" w:type="dxa"/>
            <w:tcBorders>
              <w:top w:val="single" w:sz="4" w:space="0" w:color="CCCCCC"/>
              <w:left w:val="single" w:sz="4" w:space="0" w:color="CCCCCC"/>
              <w:bottom w:val="single" w:sz="4" w:space="0" w:color="CCCCCC"/>
              <w:right w:val="single" w:sz="4" w:space="0" w:color="CCCCCC"/>
            </w:tcBorders>
            <w:shd w:fill="FFFFFF" w:val="clear"/>
          </w:tcPr>
          <w:p>
            <w:pPr>
              <w:pStyle w:val="Normal"/>
              <w:spacing w:lineRule="exact" w:line="300"/>
              <w:rPr/>
            </w:pPr>
            <w:r>
              <w:rPr>
                <w:rFonts w:eastAsia="Arial" w:cs="Arial"/>
                <w:b/>
                <w:bCs/>
                <w:color w:val="2A1A4A"/>
                <w:sz w:val="20"/>
                <w:szCs w:val="20"/>
              </w:rPr>
              <w:t>Decision Engine as Isolated Module</w:t>
            </w:r>
          </w:p>
        </w:tc>
        <w:tc>
          <w:tcPr>
            <w:tcW w:w="6361" w:type="dxa"/>
            <w:tcBorders>
              <w:top w:val="single" w:sz="4" w:space="0" w:color="CCCCCC"/>
              <w:left w:val="single" w:sz="4" w:space="0" w:color="CCCCCC"/>
              <w:bottom w:val="single" w:sz="4" w:space="0" w:color="CCCCCC"/>
              <w:right w:val="single" w:sz="4" w:space="0" w:color="CCCCCC"/>
            </w:tcBorders>
            <w:shd w:fill="FFFFFF" w:val="clear"/>
          </w:tcPr>
          <w:p>
            <w:pPr>
              <w:pStyle w:val="Normal"/>
              <w:spacing w:lineRule="exact" w:line="300"/>
              <w:rPr/>
            </w:pPr>
            <w:r>
              <w:rPr>
                <w:rFonts w:eastAsia="Arial" w:cs="Arial"/>
                <w:b w:val="false"/>
                <w:bCs w:val="false"/>
                <w:color w:val="1A1A1A"/>
                <w:sz w:val="20"/>
                <w:szCs w:val="20"/>
              </w:rPr>
              <w:t>Centralizing all validation (capacity check, date validation, reliability tax) in one module means adding a new validation rule touches exactly one place in the codebase. This directly enforces low coupling and high cohesion.</w:t>
            </w:r>
          </w:p>
        </w:tc>
      </w:tr>
      <w:tr>
        <w:trPr/>
        <w:tc>
          <w:tcPr>
            <w:tcW w:w="499" w:type="dxa"/>
            <w:tcBorders>
              <w:top w:val="single" w:sz="4" w:space="0" w:color="CCCCCC"/>
              <w:left w:val="single" w:sz="4" w:space="0" w:color="CCCCCC"/>
              <w:bottom w:val="single" w:sz="4" w:space="0" w:color="CCCCCC"/>
              <w:right w:val="single" w:sz="4" w:space="0" w:color="CCCCCC"/>
            </w:tcBorders>
            <w:shd w:fill="F5F3FF" w:val="clear"/>
          </w:tcPr>
          <w:p>
            <w:pPr>
              <w:pStyle w:val="Normal"/>
              <w:spacing w:lineRule="exact" w:line="300"/>
              <w:rPr/>
            </w:pPr>
            <w:r>
              <w:rPr>
                <w:rFonts w:eastAsia="Arial" w:cs="Arial"/>
                <w:b/>
                <w:bCs/>
                <w:color w:val="7B68EE"/>
                <w:sz w:val="20"/>
                <w:szCs w:val="20"/>
              </w:rPr>
              <w:t>3</w:t>
            </w:r>
          </w:p>
        </w:tc>
        <w:tc>
          <w:tcPr>
            <w:tcW w:w="2500" w:type="dxa"/>
            <w:tcBorders>
              <w:top w:val="single" w:sz="4" w:space="0" w:color="CCCCCC"/>
              <w:left w:val="single" w:sz="4" w:space="0" w:color="CCCCCC"/>
              <w:bottom w:val="single" w:sz="4" w:space="0" w:color="CCCCCC"/>
              <w:right w:val="single" w:sz="4" w:space="0" w:color="CCCCCC"/>
            </w:tcBorders>
            <w:shd w:fill="F5F3FF" w:val="clear"/>
          </w:tcPr>
          <w:p>
            <w:pPr>
              <w:pStyle w:val="Normal"/>
              <w:spacing w:lineRule="exact" w:line="300"/>
              <w:rPr/>
            </w:pPr>
            <w:r>
              <w:rPr>
                <w:rFonts w:eastAsia="Arial" w:cs="Arial"/>
                <w:b/>
                <w:bCs/>
                <w:color w:val="2A1A4A"/>
                <w:sz w:val="20"/>
                <w:szCs w:val="20"/>
              </w:rPr>
              <w:t>Embedded SurrealDB over External Database</w:t>
            </w:r>
          </w:p>
        </w:tc>
        <w:tc>
          <w:tcPr>
            <w:tcW w:w="6361" w:type="dxa"/>
            <w:tcBorders>
              <w:top w:val="single" w:sz="4" w:space="0" w:color="CCCCCC"/>
              <w:left w:val="single" w:sz="4" w:space="0" w:color="CCCCCC"/>
              <w:bottom w:val="single" w:sz="4" w:space="0" w:color="CCCCCC"/>
              <w:right w:val="single" w:sz="4" w:space="0" w:color="CCCCCC"/>
            </w:tcBorders>
            <w:shd w:fill="F5F3FF" w:val="clear"/>
          </w:tcPr>
          <w:p>
            <w:pPr>
              <w:pStyle w:val="Normal"/>
              <w:spacing w:lineRule="exact" w:line="300"/>
              <w:rPr/>
            </w:pPr>
            <w:r>
              <w:rPr>
                <w:rFonts w:eastAsia="Arial" w:cs="Arial"/>
                <w:b w:val="false"/>
                <w:bCs w:val="false"/>
                <w:color w:val="1A1A1A"/>
                <w:sz w:val="20"/>
                <w:szCs w:val="20"/>
              </w:rPr>
              <w:t>No server to manage, no authentication complexity, zero infrastructure cost. Data is local and private by default. This was a deliberate product decision: local-first is a feature, not a limitation.</w:t>
            </w:r>
          </w:p>
        </w:tc>
      </w:tr>
      <w:tr>
        <w:trPr/>
        <w:tc>
          <w:tcPr>
            <w:tcW w:w="499" w:type="dxa"/>
            <w:tcBorders>
              <w:top w:val="single" w:sz="4" w:space="0" w:color="CCCCCC"/>
              <w:left w:val="single" w:sz="4" w:space="0" w:color="CCCCCC"/>
              <w:bottom w:val="single" w:sz="4" w:space="0" w:color="CCCCCC"/>
              <w:right w:val="single" w:sz="4" w:space="0" w:color="CCCCCC"/>
            </w:tcBorders>
            <w:shd w:fill="FFFFFF" w:val="clear"/>
          </w:tcPr>
          <w:p>
            <w:pPr>
              <w:pStyle w:val="Normal"/>
              <w:spacing w:lineRule="exact" w:line="300"/>
              <w:rPr/>
            </w:pPr>
            <w:r>
              <w:rPr>
                <w:rFonts w:eastAsia="Arial" w:cs="Arial"/>
                <w:b/>
                <w:bCs/>
                <w:color w:val="7B68EE"/>
                <w:sz w:val="20"/>
                <w:szCs w:val="20"/>
              </w:rPr>
              <w:t>4</w:t>
            </w:r>
          </w:p>
        </w:tc>
        <w:tc>
          <w:tcPr>
            <w:tcW w:w="2500" w:type="dxa"/>
            <w:tcBorders>
              <w:top w:val="single" w:sz="4" w:space="0" w:color="CCCCCC"/>
              <w:left w:val="single" w:sz="4" w:space="0" w:color="CCCCCC"/>
              <w:bottom w:val="single" w:sz="4" w:space="0" w:color="CCCCCC"/>
              <w:right w:val="single" w:sz="4" w:space="0" w:color="CCCCCC"/>
            </w:tcBorders>
            <w:shd w:fill="FFFFFF" w:val="clear"/>
          </w:tcPr>
          <w:p>
            <w:pPr>
              <w:pStyle w:val="Normal"/>
              <w:spacing w:lineRule="exact" w:line="300"/>
              <w:rPr/>
            </w:pPr>
            <w:r>
              <w:rPr>
                <w:rFonts w:eastAsia="Arial" w:cs="Arial"/>
                <w:b/>
                <w:bCs/>
                <w:color w:val="2A1A4A"/>
                <w:sz w:val="20"/>
                <w:szCs w:val="20"/>
              </w:rPr>
              <w:t>Reliability Tax System</w:t>
            </w:r>
          </w:p>
        </w:tc>
        <w:tc>
          <w:tcPr>
            <w:tcW w:w="6361" w:type="dxa"/>
            <w:tcBorders>
              <w:top w:val="single" w:sz="4" w:space="0" w:color="CCCCCC"/>
              <w:left w:val="single" w:sz="4" w:space="0" w:color="CCCCCC"/>
              <w:bottom w:val="single" w:sz="4" w:space="0" w:color="CCCCCC"/>
              <w:right w:val="single" w:sz="4" w:space="0" w:color="CCCCCC"/>
            </w:tcBorders>
            <w:shd w:fill="FFFFFF" w:val="clear"/>
          </w:tcPr>
          <w:p>
            <w:pPr>
              <w:pStyle w:val="Normal"/>
              <w:spacing w:lineRule="exact" w:line="300"/>
              <w:rPr/>
            </w:pPr>
            <w:r>
              <w:rPr>
                <w:rFonts w:eastAsia="Arial" w:cs="Arial"/>
                <w:b w:val="false"/>
                <w:bCs w:val="false"/>
                <w:color w:val="1A1A1A"/>
                <w:sz w:val="20"/>
                <w:szCs w:val="20"/>
              </w:rPr>
              <w:t>Instead of passively tracking completion, DUMBIT penalizes low reliability by shrinking effective capacity. This creates a behavioral feedback loop that enforces discipline at the decision point, not after the fact.</w:t>
            </w:r>
          </w:p>
        </w:tc>
      </w:tr>
      <w:tr>
        <w:trPr/>
        <w:tc>
          <w:tcPr>
            <w:tcW w:w="499" w:type="dxa"/>
            <w:tcBorders>
              <w:top w:val="single" w:sz="4" w:space="0" w:color="CCCCCC"/>
              <w:left w:val="single" w:sz="4" w:space="0" w:color="CCCCCC"/>
              <w:bottom w:val="single" w:sz="4" w:space="0" w:color="CCCCCC"/>
              <w:right w:val="single" w:sz="4" w:space="0" w:color="CCCCCC"/>
            </w:tcBorders>
            <w:shd w:fill="F5F3FF" w:val="clear"/>
          </w:tcPr>
          <w:p>
            <w:pPr>
              <w:pStyle w:val="Normal"/>
              <w:spacing w:lineRule="exact" w:line="300"/>
              <w:rPr/>
            </w:pPr>
            <w:r>
              <w:rPr>
                <w:rFonts w:eastAsia="Arial" w:cs="Arial"/>
                <w:b/>
                <w:bCs/>
                <w:color w:val="7B68EE"/>
                <w:sz w:val="20"/>
                <w:szCs w:val="20"/>
              </w:rPr>
              <w:t>5</w:t>
            </w:r>
          </w:p>
        </w:tc>
        <w:tc>
          <w:tcPr>
            <w:tcW w:w="2500" w:type="dxa"/>
            <w:tcBorders>
              <w:top w:val="single" w:sz="4" w:space="0" w:color="CCCCCC"/>
              <w:left w:val="single" w:sz="4" w:space="0" w:color="CCCCCC"/>
              <w:bottom w:val="single" w:sz="4" w:space="0" w:color="CCCCCC"/>
              <w:right w:val="single" w:sz="4" w:space="0" w:color="CCCCCC"/>
            </w:tcBorders>
            <w:shd w:fill="F5F3FF" w:val="clear"/>
          </w:tcPr>
          <w:p>
            <w:pPr>
              <w:pStyle w:val="Normal"/>
              <w:spacing w:lineRule="exact" w:line="300"/>
              <w:rPr/>
            </w:pPr>
            <w:r>
              <w:rPr>
                <w:rFonts w:eastAsia="Arial" w:cs="Arial"/>
                <w:b/>
                <w:bCs/>
                <w:color w:val="2A1A4A"/>
                <w:sz w:val="20"/>
                <w:szCs w:val="20"/>
              </w:rPr>
              <w:t>Rust over Python or Go</w:t>
            </w:r>
          </w:p>
        </w:tc>
        <w:tc>
          <w:tcPr>
            <w:tcW w:w="6361" w:type="dxa"/>
            <w:tcBorders>
              <w:top w:val="single" w:sz="4" w:space="0" w:color="CCCCCC"/>
              <w:left w:val="single" w:sz="4" w:space="0" w:color="CCCCCC"/>
              <w:bottom w:val="single" w:sz="4" w:space="0" w:color="CCCCCC"/>
              <w:right w:val="single" w:sz="4" w:space="0" w:color="CCCCCC"/>
            </w:tcBorders>
            <w:shd w:fill="F5F3FF" w:val="clear"/>
          </w:tcPr>
          <w:p>
            <w:pPr>
              <w:pStyle w:val="Normal"/>
              <w:spacing w:lineRule="exact" w:line="300"/>
              <w:rPr/>
            </w:pPr>
            <w:r>
              <w:rPr>
                <w:rFonts w:eastAsia="Arial" w:cs="Arial"/>
                <w:b w:val="false"/>
                <w:bCs w:val="false"/>
                <w:color w:val="1A1A1A"/>
                <w:sz w:val="20"/>
                <w:szCs w:val="20"/>
              </w:rPr>
              <w:t>Rust's type system eliminates null pointer and data race bugs at compile time. For a daily-use CLI tool, sub-second response time is non-negotiable. Rust delivers this without a runtime or garbage collector pauses.</w:t>
            </w:r>
          </w:p>
        </w:tc>
      </w:tr>
    </w:tbl>
    <w:p>
      <w:pPr>
        <w:pStyle w:val="Normal"/>
        <w:spacing w:before="0" w:after="300"/>
        <w:rPr/>
      </w:pPr>
      <w:r>
        <w:rPr/>
      </w:r>
    </w:p>
    <w:p>
      <w:pPr>
        <w:pStyle w:val="Heading2"/>
        <w:spacing w:before="240" w:after="120"/>
        <w:rPr/>
      </w:pPr>
      <w:r>
        <w:rPr>
          <w:rFonts w:eastAsia="Arial" w:cs="Arial" w:ascii="Arial" w:hAnsi="Arial"/>
          <w:b/>
          <w:bCs/>
          <w:color w:val="2A2A5A"/>
          <w:sz w:val="28"/>
          <w:szCs w:val="28"/>
        </w:rPr>
        <w:t>Future Design Considerations</w:t>
      </w:r>
    </w:p>
    <w:p>
      <w:pPr>
        <w:pStyle w:val="Normal"/>
        <w:spacing w:lineRule="exact" w:line="340" w:before="60" w:after="120"/>
        <w:jc w:val="both"/>
        <w:rPr/>
      </w:pPr>
      <w:r>
        <w:rPr>
          <w:rFonts w:eastAsia="Arial" w:cs="Arial"/>
          <w:color w:val="1A1A1A"/>
          <w:sz w:val="22"/>
          <w:szCs w:val="22"/>
        </w:rPr>
        <w:t>The current architecture is intentionally designed to accommodate future extensions without requiring structural changes. The layered model allows a web interface or mobile companion to be added as a new interface layer without touching the Decision Engine or data layer. The reliability scoring logic is encapsulated such that the algorithm can be upgraded (for example, to ML-based time estimates) by modifying a single module. The local-first data model can be extended with optional cloud sync as a new persistence backend, again isolated to one layer.</w:t>
      </w:r>
    </w:p>
    <w:p>
      <w:pPr>
        <w:pStyle w:val="Normal"/>
        <w:spacing w:before="0" w:after="200"/>
        <w:rPr/>
      </w:pPr>
      <w:r>
        <w:rPr/>
      </w:r>
    </w:p>
    <w:p>
      <w:pPr>
        <w:pStyle w:val="Normal"/>
        <w:pBdr>
          <w:top w:val="single" w:sz="4" w:space="1" w:color="CCCCCC"/>
        </w:pBdr>
        <w:spacing w:before="200" w:after="100"/>
        <w:jc w:val="center"/>
        <w:rPr/>
      </w:pPr>
      <w:r>
        <w:rPr>
          <w:rFonts w:eastAsia="Arial" w:cs="Arial"/>
          <w:i/>
          <w:iCs/>
          <w:color w:val="888888"/>
          <w:sz w:val="18"/>
          <w:szCs w:val="18"/>
        </w:rPr>
        <w:t>GitHub: github.com/</w:t>
      </w:r>
      <w:r>
        <w:rPr>
          <w:rFonts w:eastAsia="Arial" w:cs="Arial"/>
          <w:i/>
          <w:iCs/>
          <w:color w:val="888888"/>
          <w:sz w:val="18"/>
          <w:szCs w:val="18"/>
        </w:rPr>
        <w:t>magarmach-hash</w:t>
      </w:r>
      <w:r>
        <w:rPr>
          <w:rFonts w:eastAsia="Arial" w:cs="Arial"/>
          <w:i/>
          <w:iCs/>
          <w:color w:val="888888"/>
          <w:sz w:val="18"/>
          <w:szCs w:val="18"/>
        </w:rPr>
        <w:t>/</w:t>
      </w:r>
      <w:r>
        <w:rPr>
          <w:rFonts w:eastAsia="Arial" w:cs="Arial"/>
          <w:i/>
          <w:iCs/>
          <w:color w:val="888888"/>
          <w:sz w:val="18"/>
          <w:szCs w:val="18"/>
        </w:rPr>
        <w:t>DUMBIT</w:t>
      </w:r>
      <w:r>
        <w:rPr>
          <w:rFonts w:eastAsia="Arial" w:cs="Arial"/>
          <w:i/>
          <w:iCs/>
          <w:color w:val="888888"/>
          <w:sz w:val="18"/>
          <w:szCs w:val="18"/>
        </w:rPr>
        <w:t xml:space="preserve"> |  Stack: Rust 2021 · SurrealDB 2.0 · Clap 4.5 · Tokio 1.40</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60"/>
      <w:outlineLvl w:val="0"/>
    </w:pPr>
    <w:rPr>
      <w:rFonts w:ascii="Arial" w:hAnsi="Arial" w:eastAsia="Arial" w:cs="Arial"/>
      <w:b/>
      <w:bCs/>
      <w:color w:val="1A1A2E"/>
      <w:sz w:val="36"/>
      <w:szCs w:val="36"/>
    </w:rPr>
  </w:style>
  <w:style w:type="paragraph" w:styleId="Heading2">
    <w:name w:val="Heading 2"/>
    <w:basedOn w:val="Heading"/>
    <w:qFormat/>
    <w:pPr>
      <w:spacing w:before="240" w:after="120"/>
      <w:outlineLvl w:val="1"/>
    </w:pPr>
    <w:rPr>
      <w:rFonts w:ascii="Arial" w:hAnsi="Arial" w:eastAsia="Arial" w:cs="Arial"/>
      <w:b/>
      <w:bCs/>
      <w:color w:val="2A2A5A"/>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7</Pages>
  <Words>1158</Words>
  <Characters>6691</Characters>
  <CharactersWithSpaces>7760</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2026-03-23T07:09:42Z</dcterms:created>
  <dc:creator>Un-named</dc:creator>
  <dc:description/>
  <dc:language>en-US</dc:language>
  <cp:lastModifiedBy/>
  <dcterms:modified xsi:type="dcterms:W3CDTF">2026-03-23T12:45:02Z</dcterms:modified>
  <cp:revision>2</cp:revision>
  <dc:subject/>
  <dc:title/>
</cp:coreProperties>
</file>