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CF6883" w14:paraId="2A22664C" w14:textId="77777777">
        <w:tblPrEx>
          <w:tblCellMar>
            <w:top w:w="0" w:type="dxa"/>
            <w:bottom w:w="0" w:type="dxa"/>
          </w:tblCellMar>
        </w:tblPrEx>
        <w:trPr>
          <w:trHeight w:hRule="exact" w:val="6000"/>
        </w:trPr>
        <w:tc>
          <w:tcPr>
            <w:tcW w:w="0" w:type="auto"/>
            <w:tcBorders>
              <w:top w:val="none" w:sz="0" w:space="0" w:color="FFFFFF"/>
              <w:left w:val="none" w:sz="0" w:space="0" w:color="FFFFFF"/>
              <w:bottom w:val="none" w:sz="0" w:space="0" w:color="FFFFFF"/>
              <w:right w:val="none" w:sz="0" w:space="0" w:color="FFFFFF"/>
            </w:tcBorders>
            <w:shd w:val="clear" w:color="auto" w:fill="1E3A5F"/>
            <w:tcMar>
              <w:top w:w="2000" w:type="dxa"/>
              <w:left w:w="1440" w:type="dxa"/>
              <w:bottom w:w="400" w:type="dxa"/>
              <w:right w:w="1440" w:type="dxa"/>
            </w:tcMar>
            <w:vAlign w:val="center"/>
          </w:tcPr>
          <w:p w14:paraId="19111B26" w14:textId="77777777" w:rsidR="00CF6883" w:rsidRDefault="00000000">
            <w:pPr>
              <w:spacing w:after="120"/>
            </w:pPr>
            <w:r>
              <w:rPr>
                <w:b/>
                <w:bCs/>
                <w:color w:val="A8C8D8"/>
                <w:sz w:val="20"/>
                <w:szCs w:val="20"/>
              </w:rPr>
              <w:t>SOLUTION PROPOSAL</w:t>
            </w:r>
          </w:p>
          <w:p w14:paraId="404B3C26" w14:textId="77777777" w:rsidR="00CF6883" w:rsidRDefault="00000000">
            <w:pPr>
              <w:spacing w:after="200"/>
            </w:pPr>
            <w:r>
              <w:rPr>
                <w:b/>
                <w:bCs/>
                <w:color w:val="FFFFFF"/>
                <w:sz w:val="56"/>
                <w:szCs w:val="56"/>
              </w:rPr>
              <w:t>Integrated BI + Decision</w:t>
            </w:r>
          </w:p>
          <w:p w14:paraId="214F5240" w14:textId="77777777" w:rsidR="00CF6883" w:rsidRDefault="00000000">
            <w:pPr>
              <w:spacing w:after="600"/>
            </w:pPr>
            <w:r>
              <w:rPr>
                <w:b/>
                <w:bCs/>
                <w:color w:val="5BC8D8"/>
                <w:sz w:val="56"/>
                <w:szCs w:val="56"/>
              </w:rPr>
              <w:t>Layer Platform</w:t>
            </w:r>
          </w:p>
          <w:p w14:paraId="7B132FEC" w14:textId="77777777" w:rsidR="00CF6883" w:rsidRDefault="00000000">
            <w:r>
              <w:rPr>
                <w:i/>
                <w:iCs/>
                <w:color w:val="A8C8D8"/>
              </w:rPr>
              <w:t>Transforming dashboards into active decision-making systems</w:t>
            </w:r>
          </w:p>
        </w:tc>
      </w:tr>
      <w:tr w:rsidR="00CF6883" w14:paraId="6BA6223B" w14:textId="77777777">
        <w:tblPrEx>
          <w:tblCellMar>
            <w:top w:w="0" w:type="dxa"/>
            <w:bottom w:w="0" w:type="dxa"/>
          </w:tblCellMar>
        </w:tblPrEx>
        <w:trPr>
          <w:trHeight w:hRule="exact" w:val="5000"/>
        </w:trPr>
        <w:tc>
          <w:tcPr>
            <w:tcW w:w="0" w:type="auto"/>
            <w:tcBorders>
              <w:top w:val="none" w:sz="0" w:space="0" w:color="FFFFFF"/>
              <w:left w:val="none" w:sz="0" w:space="0" w:color="FFFFFF"/>
              <w:bottom w:val="none" w:sz="0" w:space="0" w:color="FFFFFF"/>
              <w:right w:val="none" w:sz="0" w:space="0" w:color="FFFFFF"/>
            </w:tcBorders>
            <w:shd w:val="clear" w:color="auto" w:fill="FFFFFF"/>
            <w:tcMar>
              <w:top w:w="800" w:type="dxa"/>
              <w:left w:w="1440" w:type="dxa"/>
              <w:bottom w:w="400" w:type="dxa"/>
              <w:right w:w="1440" w:type="dxa"/>
            </w:tcMar>
            <w:vAlign w:val="center"/>
          </w:tcPr>
          <w:p w14:paraId="04BB4B4D" w14:textId="77777777" w:rsidR="00CF6883" w:rsidRDefault="00000000">
            <w:pPr>
              <w:spacing w:after="300"/>
            </w:pPr>
            <w:r>
              <w:rPr>
                <w:b/>
                <w:bCs/>
                <w:color w:val="1E3A5F"/>
                <w:sz w:val="28"/>
                <w:szCs w:val="28"/>
              </w:rPr>
              <w:t>Executive Summary Report</w:t>
            </w:r>
          </w:p>
          <w:p w14:paraId="20448CB6" w14:textId="77777777" w:rsidR="00CF6883" w:rsidRDefault="00000000">
            <w:pPr>
              <w:spacing w:after="200"/>
            </w:pPr>
            <w:r>
              <w:rPr>
                <w:color w:val="6B7280"/>
                <w:sz w:val="21"/>
                <w:szCs w:val="21"/>
              </w:rPr>
              <w:t>A comprehensive analysis of the business problem, proposed solution architecture, competitive landscape, and cost structure for organizations seeking to unify their data analytics and decision-making workflows.</w:t>
            </w:r>
          </w:p>
          <w:p w14:paraId="00D6DD64" w14:textId="77777777" w:rsidR="00CF6883" w:rsidRDefault="00CF688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6691"/>
            </w:tblGrid>
            <w:tr w:rsidR="00CF6883" w14:paraId="3486C8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DF7EC71" w14:textId="77777777" w:rsidR="00CF6883" w:rsidRDefault="00000000">
                  <w:r>
                    <w:rPr>
                      <w:b/>
                      <w:bCs/>
                      <w:color w:val="6B7280"/>
                      <w:sz w:val="18"/>
                      <w:szCs w:val="18"/>
                    </w:rPr>
                    <w:t>Document Type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367DD9" w14:textId="77777777" w:rsidR="00CF6883" w:rsidRDefault="00000000">
                  <w:r>
                    <w:rPr>
                      <w:color w:val="111827"/>
                      <w:sz w:val="18"/>
                      <w:szCs w:val="18"/>
                    </w:rPr>
                    <w:t>Solution Proposal &amp; Business Case</w:t>
                  </w:r>
                </w:p>
              </w:tc>
            </w:tr>
            <w:tr w:rsidR="00CF6883" w14:paraId="5F5B63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B82262" w14:textId="77777777" w:rsidR="00CF6883" w:rsidRDefault="00000000">
                  <w:r>
                    <w:rPr>
                      <w:b/>
                      <w:bCs/>
                      <w:color w:val="6B7280"/>
                      <w:sz w:val="18"/>
                      <w:szCs w:val="18"/>
                    </w:rPr>
                    <w:t>Date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0BCA45" w14:textId="77777777" w:rsidR="00CF6883" w:rsidRDefault="00000000">
                  <w:r>
                    <w:rPr>
                      <w:color w:val="111827"/>
                      <w:sz w:val="18"/>
                      <w:szCs w:val="18"/>
                    </w:rPr>
                    <w:t>April 2026</w:t>
                  </w:r>
                </w:p>
              </w:tc>
            </w:tr>
            <w:tr w:rsidR="00CF6883" w14:paraId="001BF1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FF89256" w14:textId="77777777" w:rsidR="00CF6883" w:rsidRDefault="00000000">
                  <w:r>
                    <w:rPr>
                      <w:b/>
                      <w:bCs/>
                      <w:color w:val="6B7280"/>
                      <w:sz w:val="18"/>
                      <w:szCs w:val="18"/>
                    </w:rPr>
                    <w:t>Audience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E12BE51" w14:textId="77777777" w:rsidR="00CF6883" w:rsidRDefault="00000000">
                  <w:r>
                    <w:rPr>
                      <w:color w:val="111827"/>
                      <w:sz w:val="18"/>
                      <w:szCs w:val="18"/>
                    </w:rPr>
                    <w:t>Executive Leadership &amp; Technology Decision-Makers</w:t>
                  </w:r>
                </w:p>
              </w:tc>
            </w:tr>
            <w:tr w:rsidR="00CF6883" w14:paraId="095FEA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B09F827" w14:textId="77777777" w:rsidR="00CF6883" w:rsidRDefault="00000000">
                  <w:r>
                    <w:rPr>
                      <w:b/>
                      <w:bCs/>
                      <w:color w:val="6B7280"/>
                      <w:sz w:val="18"/>
                      <w:szCs w:val="18"/>
                    </w:rPr>
                    <w:t>Version</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81DF49" w14:textId="77777777" w:rsidR="00CF6883" w:rsidRDefault="00000000">
                  <w:r>
                    <w:rPr>
                      <w:color w:val="111827"/>
                      <w:sz w:val="18"/>
                      <w:szCs w:val="18"/>
                    </w:rPr>
                    <w:t>1.0 — Draft for Review</w:t>
                  </w:r>
                </w:p>
              </w:tc>
            </w:tr>
          </w:tbl>
          <w:p w14:paraId="3FA30290" w14:textId="77777777" w:rsidR="00CF6883" w:rsidRDefault="00CF6883"/>
        </w:tc>
      </w:tr>
      <w:tr w:rsidR="00CF6883" w14:paraId="374D3135" w14:textId="77777777">
        <w:tblPrEx>
          <w:tblCellMar>
            <w:top w:w="0" w:type="dxa"/>
            <w:bottom w:w="0" w:type="dxa"/>
          </w:tblCellMar>
        </w:tblPrEx>
        <w:trPr>
          <w:trHeight w:hRule="exact" w:val="700"/>
        </w:trPr>
        <w:tc>
          <w:tcPr>
            <w:tcW w:w="0" w:type="auto"/>
            <w:tcBorders>
              <w:top w:val="none" w:sz="0" w:space="0" w:color="FFFFFF"/>
              <w:left w:val="none" w:sz="0" w:space="0" w:color="FFFFFF"/>
              <w:bottom w:val="none" w:sz="0" w:space="0" w:color="FFFFFF"/>
              <w:right w:val="none" w:sz="0" w:space="0" w:color="FFFFFF"/>
            </w:tcBorders>
            <w:shd w:val="clear" w:color="auto" w:fill="2196A6"/>
            <w:tcMar>
              <w:top w:w="160" w:type="dxa"/>
              <w:left w:w="1440" w:type="dxa"/>
              <w:bottom w:w="160" w:type="dxa"/>
              <w:right w:w="1440" w:type="dxa"/>
            </w:tcMar>
            <w:vAlign w:val="center"/>
          </w:tcPr>
          <w:p w14:paraId="5F7C1C0E" w14:textId="77777777" w:rsidR="00CF6883" w:rsidRDefault="00000000">
            <w:proofErr w:type="gramStart"/>
            <w:r>
              <w:rPr>
                <w:b/>
                <w:bCs/>
                <w:color w:val="FFFFFF"/>
                <w:sz w:val="16"/>
                <w:szCs w:val="16"/>
              </w:rPr>
              <w:t>CONFIDENTIAL  |</w:t>
            </w:r>
            <w:proofErr w:type="gramEnd"/>
            <w:r>
              <w:rPr>
                <w:b/>
                <w:bCs/>
                <w:color w:val="FFFFFF"/>
                <w:sz w:val="16"/>
                <w:szCs w:val="16"/>
              </w:rPr>
              <w:t xml:space="preserve">  PREPARED FOR INTERNAL REVIEW</w:t>
            </w:r>
          </w:p>
        </w:tc>
      </w:tr>
    </w:tbl>
    <w:p w14:paraId="27659C37" w14:textId="77777777" w:rsidR="00CF6883" w:rsidRDefault="00CF6883">
      <w:pPr>
        <w:sectPr w:rsidR="00CF6883">
          <w:pgSz w:w="12240" w:h="15840"/>
          <w:pgMar w:top="0" w:right="0" w:bottom="0" w:left="0" w:header="708" w:footer="708" w:gutter="0"/>
          <w:cols w:space="720"/>
          <w:docGrid w:linePitch="360"/>
        </w:sectPr>
      </w:pPr>
    </w:p>
    <w:p w14:paraId="0026BB48" w14:textId="77777777" w:rsidR="00CF6883" w:rsidRDefault="00000000">
      <w:pPr>
        <w:spacing w:after="400"/>
      </w:pPr>
      <w:r>
        <w:rPr>
          <w:b/>
          <w:bCs/>
          <w:color w:val="1E3A5F"/>
          <w:sz w:val="36"/>
          <w:szCs w:val="36"/>
        </w:rPr>
        <w:lastRenderedPageBreak/>
        <w:t>Table of Contents</w:t>
      </w:r>
    </w:p>
    <w:p w14:paraId="68EB6FB4" w14:textId="77777777" w:rsidR="00CF6883" w:rsidRDefault="00CF6883">
      <w:pPr>
        <w:pBdr>
          <w:bottom w:val="single" w:sz="8" w:space="6" w:color="2196A6"/>
        </w:pBdr>
        <w:spacing w:after="400"/>
      </w:pPr>
    </w:p>
    <w:p w14:paraId="2B292F39" w14:textId="77777777" w:rsidR="00CF6883" w:rsidRDefault="00000000">
      <w:pPr>
        <w:tabs>
          <w:tab w:val="left" w:pos="720"/>
          <w:tab w:val="right" w:leader="dot" w:pos="9360"/>
        </w:tabs>
        <w:spacing w:before="60" w:after="60"/>
      </w:pPr>
      <w:r>
        <w:rPr>
          <w:b/>
          <w:bCs/>
          <w:color w:val="2196A6"/>
          <w:sz w:val="20"/>
          <w:szCs w:val="20"/>
        </w:rPr>
        <w:t>1.</w:t>
      </w:r>
      <w:r>
        <w:rPr>
          <w:sz w:val="20"/>
          <w:szCs w:val="20"/>
        </w:rPr>
        <w:tab/>
      </w:r>
      <w:r>
        <w:rPr>
          <w:color w:val="111827"/>
          <w:sz w:val="20"/>
          <w:szCs w:val="20"/>
        </w:rPr>
        <w:t>Executive Summary</w:t>
      </w:r>
      <w:r>
        <w:rPr>
          <w:color w:val="6B7280"/>
          <w:sz w:val="20"/>
          <w:szCs w:val="20"/>
        </w:rPr>
        <w:tab/>
        <w:t>2</w:t>
      </w:r>
    </w:p>
    <w:p w14:paraId="660575F8" w14:textId="77777777" w:rsidR="00CF6883" w:rsidRDefault="00000000">
      <w:pPr>
        <w:tabs>
          <w:tab w:val="left" w:pos="720"/>
          <w:tab w:val="right" w:leader="dot" w:pos="9360"/>
        </w:tabs>
        <w:spacing w:before="60" w:after="60"/>
      </w:pPr>
      <w:r>
        <w:rPr>
          <w:b/>
          <w:bCs/>
          <w:color w:val="2196A6"/>
          <w:sz w:val="20"/>
          <w:szCs w:val="20"/>
        </w:rPr>
        <w:t>2.</w:t>
      </w:r>
      <w:r>
        <w:rPr>
          <w:sz w:val="20"/>
          <w:szCs w:val="20"/>
        </w:rPr>
        <w:tab/>
      </w:r>
      <w:proofErr w:type="gramStart"/>
      <w:r>
        <w:rPr>
          <w:color w:val="111827"/>
          <w:sz w:val="20"/>
          <w:szCs w:val="20"/>
        </w:rPr>
        <w:t>The Business</w:t>
      </w:r>
      <w:proofErr w:type="gramEnd"/>
      <w:r>
        <w:rPr>
          <w:color w:val="111827"/>
          <w:sz w:val="20"/>
          <w:szCs w:val="20"/>
        </w:rPr>
        <w:t xml:space="preserve"> Problem</w:t>
      </w:r>
      <w:r>
        <w:rPr>
          <w:color w:val="6B7280"/>
          <w:sz w:val="20"/>
          <w:szCs w:val="20"/>
        </w:rPr>
        <w:tab/>
        <w:t>2</w:t>
      </w:r>
    </w:p>
    <w:p w14:paraId="7A8BAA3E" w14:textId="77777777" w:rsidR="00CF6883" w:rsidRDefault="00000000">
      <w:pPr>
        <w:tabs>
          <w:tab w:val="left" w:pos="720"/>
          <w:tab w:val="right" w:leader="dot" w:pos="9360"/>
        </w:tabs>
        <w:spacing w:before="60" w:after="60"/>
      </w:pPr>
      <w:r>
        <w:rPr>
          <w:b/>
          <w:bCs/>
          <w:color w:val="2196A6"/>
          <w:sz w:val="20"/>
          <w:szCs w:val="20"/>
        </w:rPr>
        <w:t>3.</w:t>
      </w:r>
      <w:r>
        <w:rPr>
          <w:sz w:val="20"/>
          <w:szCs w:val="20"/>
        </w:rPr>
        <w:tab/>
      </w:r>
      <w:r>
        <w:rPr>
          <w:color w:val="111827"/>
          <w:sz w:val="20"/>
          <w:szCs w:val="20"/>
        </w:rPr>
        <w:t>Solution Overview &amp; Key Features</w:t>
      </w:r>
      <w:r>
        <w:rPr>
          <w:color w:val="6B7280"/>
          <w:sz w:val="20"/>
          <w:szCs w:val="20"/>
        </w:rPr>
        <w:tab/>
        <w:t>3</w:t>
      </w:r>
    </w:p>
    <w:p w14:paraId="5B0F1617" w14:textId="77777777" w:rsidR="00CF6883" w:rsidRDefault="00000000">
      <w:pPr>
        <w:tabs>
          <w:tab w:val="left" w:pos="720"/>
          <w:tab w:val="right" w:leader="dot" w:pos="9360"/>
        </w:tabs>
        <w:spacing w:before="60" w:after="60"/>
      </w:pPr>
      <w:r>
        <w:rPr>
          <w:b/>
          <w:bCs/>
          <w:color w:val="2196A6"/>
          <w:sz w:val="20"/>
          <w:szCs w:val="20"/>
        </w:rPr>
        <w:t>4.</w:t>
      </w:r>
      <w:r>
        <w:rPr>
          <w:sz w:val="20"/>
          <w:szCs w:val="20"/>
        </w:rPr>
        <w:tab/>
      </w:r>
      <w:r>
        <w:rPr>
          <w:color w:val="111827"/>
          <w:sz w:val="20"/>
          <w:szCs w:val="20"/>
        </w:rPr>
        <w:t>Architecture &amp; Data Modeling</w:t>
      </w:r>
      <w:r>
        <w:rPr>
          <w:color w:val="6B7280"/>
          <w:sz w:val="20"/>
          <w:szCs w:val="20"/>
        </w:rPr>
        <w:tab/>
        <w:t>4</w:t>
      </w:r>
    </w:p>
    <w:p w14:paraId="6CCF5D13" w14:textId="77777777" w:rsidR="00CF6883" w:rsidRDefault="00000000">
      <w:pPr>
        <w:tabs>
          <w:tab w:val="left" w:pos="720"/>
          <w:tab w:val="right" w:leader="dot" w:pos="9360"/>
        </w:tabs>
        <w:spacing w:before="60" w:after="60"/>
      </w:pPr>
      <w:r>
        <w:rPr>
          <w:b/>
          <w:bCs/>
          <w:color w:val="2196A6"/>
          <w:sz w:val="20"/>
          <w:szCs w:val="20"/>
        </w:rPr>
        <w:t>5.</w:t>
      </w:r>
      <w:r>
        <w:rPr>
          <w:sz w:val="20"/>
          <w:szCs w:val="20"/>
        </w:rPr>
        <w:tab/>
      </w:r>
      <w:r>
        <w:rPr>
          <w:color w:val="111827"/>
          <w:sz w:val="20"/>
          <w:szCs w:val="20"/>
        </w:rPr>
        <w:t>Cost Structure</w:t>
      </w:r>
      <w:r>
        <w:rPr>
          <w:color w:val="6B7280"/>
          <w:sz w:val="20"/>
          <w:szCs w:val="20"/>
        </w:rPr>
        <w:tab/>
        <w:t>5</w:t>
      </w:r>
    </w:p>
    <w:p w14:paraId="6A32913E" w14:textId="77777777" w:rsidR="00CF6883" w:rsidRDefault="00000000">
      <w:pPr>
        <w:tabs>
          <w:tab w:val="left" w:pos="720"/>
          <w:tab w:val="right" w:leader="dot" w:pos="9360"/>
        </w:tabs>
        <w:spacing w:before="60" w:after="60"/>
      </w:pPr>
      <w:r>
        <w:rPr>
          <w:b/>
          <w:bCs/>
          <w:color w:val="2196A6"/>
          <w:sz w:val="20"/>
          <w:szCs w:val="20"/>
        </w:rPr>
        <w:t>6.</w:t>
      </w:r>
      <w:r>
        <w:rPr>
          <w:sz w:val="20"/>
          <w:szCs w:val="20"/>
        </w:rPr>
        <w:tab/>
      </w:r>
      <w:r>
        <w:rPr>
          <w:color w:val="111827"/>
          <w:sz w:val="20"/>
          <w:szCs w:val="20"/>
        </w:rPr>
        <w:t>Competitive Analysis</w:t>
      </w:r>
      <w:r>
        <w:rPr>
          <w:color w:val="6B7280"/>
          <w:sz w:val="20"/>
          <w:szCs w:val="20"/>
        </w:rPr>
        <w:tab/>
        <w:t>6</w:t>
      </w:r>
    </w:p>
    <w:p w14:paraId="30FAF4BB" w14:textId="77777777" w:rsidR="00CF6883" w:rsidRDefault="00000000">
      <w:pPr>
        <w:tabs>
          <w:tab w:val="left" w:pos="720"/>
          <w:tab w:val="right" w:leader="dot" w:pos="9360"/>
        </w:tabs>
        <w:spacing w:before="60" w:after="60"/>
      </w:pPr>
      <w:r>
        <w:rPr>
          <w:b/>
          <w:bCs/>
          <w:color w:val="2196A6"/>
          <w:sz w:val="20"/>
          <w:szCs w:val="20"/>
        </w:rPr>
        <w:t>7.</w:t>
      </w:r>
      <w:r>
        <w:rPr>
          <w:sz w:val="20"/>
          <w:szCs w:val="20"/>
        </w:rPr>
        <w:tab/>
      </w:r>
      <w:r>
        <w:rPr>
          <w:color w:val="111827"/>
          <w:sz w:val="20"/>
          <w:szCs w:val="20"/>
        </w:rPr>
        <w:t>Sample Case Studies</w:t>
      </w:r>
      <w:r>
        <w:rPr>
          <w:color w:val="6B7280"/>
          <w:sz w:val="20"/>
          <w:szCs w:val="20"/>
        </w:rPr>
        <w:tab/>
        <w:t>7</w:t>
      </w:r>
    </w:p>
    <w:p w14:paraId="268B716B" w14:textId="77777777" w:rsidR="00CF6883" w:rsidRDefault="00000000">
      <w:pPr>
        <w:tabs>
          <w:tab w:val="left" w:pos="720"/>
          <w:tab w:val="right" w:leader="dot" w:pos="9360"/>
        </w:tabs>
        <w:spacing w:before="60" w:after="60"/>
      </w:pPr>
      <w:r>
        <w:rPr>
          <w:b/>
          <w:bCs/>
          <w:color w:val="2196A6"/>
          <w:sz w:val="20"/>
          <w:szCs w:val="20"/>
        </w:rPr>
        <w:t>8.</w:t>
      </w:r>
      <w:r>
        <w:rPr>
          <w:sz w:val="20"/>
          <w:szCs w:val="20"/>
        </w:rPr>
        <w:tab/>
      </w:r>
      <w:r>
        <w:rPr>
          <w:color w:val="111827"/>
          <w:sz w:val="20"/>
          <w:szCs w:val="20"/>
        </w:rPr>
        <w:t>Conclusion</w:t>
      </w:r>
      <w:r>
        <w:rPr>
          <w:color w:val="6B7280"/>
          <w:sz w:val="20"/>
          <w:szCs w:val="20"/>
        </w:rPr>
        <w:tab/>
        <w:t>8</w:t>
      </w:r>
    </w:p>
    <w:p w14:paraId="4E8AD449" w14:textId="77777777" w:rsidR="00CF6883" w:rsidRDefault="00000000">
      <w:pPr>
        <w:tabs>
          <w:tab w:val="left" w:pos="720"/>
          <w:tab w:val="right" w:leader="dot" w:pos="9360"/>
        </w:tabs>
        <w:spacing w:before="60" w:after="60"/>
      </w:pPr>
      <w:r>
        <w:rPr>
          <w:b/>
          <w:bCs/>
          <w:color w:val="2196A6"/>
          <w:sz w:val="20"/>
          <w:szCs w:val="20"/>
        </w:rPr>
        <w:t>Appendix A.</w:t>
      </w:r>
      <w:r>
        <w:rPr>
          <w:sz w:val="20"/>
          <w:szCs w:val="20"/>
        </w:rPr>
        <w:tab/>
      </w:r>
      <w:r>
        <w:rPr>
          <w:color w:val="111827"/>
          <w:sz w:val="20"/>
          <w:szCs w:val="20"/>
        </w:rPr>
        <w:t>Detailed Cost Tables</w:t>
      </w:r>
      <w:r>
        <w:rPr>
          <w:color w:val="6B7280"/>
          <w:sz w:val="20"/>
          <w:szCs w:val="20"/>
        </w:rPr>
        <w:tab/>
        <w:t>9</w:t>
      </w:r>
    </w:p>
    <w:p w14:paraId="3EFEDA1F" w14:textId="77777777" w:rsidR="00CF6883" w:rsidRDefault="00000000">
      <w:pPr>
        <w:tabs>
          <w:tab w:val="left" w:pos="720"/>
          <w:tab w:val="right" w:leader="dot" w:pos="9360"/>
        </w:tabs>
        <w:spacing w:before="60" w:after="60"/>
      </w:pPr>
      <w:r>
        <w:rPr>
          <w:b/>
          <w:bCs/>
          <w:color w:val="2196A6"/>
          <w:sz w:val="20"/>
          <w:szCs w:val="20"/>
        </w:rPr>
        <w:t>Appendix B.</w:t>
      </w:r>
      <w:r>
        <w:rPr>
          <w:sz w:val="20"/>
          <w:szCs w:val="20"/>
        </w:rPr>
        <w:tab/>
      </w:r>
      <w:r>
        <w:rPr>
          <w:color w:val="111827"/>
          <w:sz w:val="20"/>
          <w:szCs w:val="20"/>
        </w:rPr>
        <w:t>Architecture Diagram</w:t>
      </w:r>
      <w:r>
        <w:rPr>
          <w:color w:val="6B7280"/>
          <w:sz w:val="20"/>
          <w:szCs w:val="20"/>
        </w:rPr>
        <w:tab/>
        <w:t>10</w:t>
      </w:r>
    </w:p>
    <w:p w14:paraId="5202BCCA" w14:textId="77777777" w:rsidR="00CF6883" w:rsidRDefault="00000000">
      <w:r>
        <w:br w:type="page"/>
      </w:r>
    </w:p>
    <w:p w14:paraId="4E116FF1" w14:textId="77777777" w:rsidR="00CF6883" w:rsidRDefault="00000000">
      <w:pPr>
        <w:pStyle w:val="Heading1"/>
      </w:pPr>
      <w:r>
        <w:lastRenderedPageBreak/>
        <w:t>1. Executive Summary</w:t>
      </w:r>
    </w:p>
    <w:p w14:paraId="0E00533C" w14:textId="77777777" w:rsidR="00CF6883" w:rsidRDefault="00000000">
      <w:pPr>
        <w:spacing w:before="80" w:after="120"/>
      </w:pPr>
      <w:r>
        <w:rPr>
          <w:color w:val="111827"/>
        </w:rPr>
        <w:t>Organizations today are drowning in dashboards yet starving for decisions. Traditional business intelligence tools—Tableau, Power BI, and their peers—excel at visualizing what happened, but they are mute on why it happened, what was decided in response, and what happened next. That institutional context lives in slides, email threads, and meeting notes, scattered and ephemeral.</w:t>
      </w:r>
    </w:p>
    <w:p w14:paraId="3D85E0BD" w14:textId="77777777" w:rsidR="00CF6883" w:rsidRDefault="00000000">
      <w:pPr>
        <w:spacing w:before="80" w:after="120"/>
      </w:pPr>
      <w:r>
        <w:rPr>
          <w:color w:val="111827"/>
        </w:rPr>
        <w:t xml:space="preserve">This proposal presents an Integrated BI + Decision Layer Platform: </w:t>
      </w:r>
      <w:proofErr w:type="gramStart"/>
      <w:r>
        <w:rPr>
          <w:color w:val="111827"/>
        </w:rPr>
        <w:t>a</w:t>
      </w:r>
      <w:proofErr w:type="gramEnd"/>
      <w:r>
        <w:rPr>
          <w:color w:val="111827"/>
        </w:rPr>
        <w:t xml:space="preserve"> </w:t>
      </w:r>
      <w:proofErr w:type="spellStart"/>
      <w:r>
        <w:rPr>
          <w:color w:val="111827"/>
        </w:rPr>
        <w:t>Streamlit</w:t>
      </w:r>
      <w:proofErr w:type="spellEnd"/>
      <w:r>
        <w:rPr>
          <w:color w:val="111827"/>
        </w:rPr>
        <w:t>-based application that fuses real-time analytics with a persistent, searchable commentary layer. It replaces the fragmented weekly-review cycle with a single system where both data and the decisions it informs live together, permanently.</w:t>
      </w:r>
    </w:p>
    <w:p w14:paraId="540B987D" w14:textId="77777777" w:rsidR="00CF6883" w:rsidRDefault="00000000">
      <w:pPr>
        <w:spacing w:before="80" w:after="120"/>
      </w:pPr>
      <w:r>
        <w:rPr>
          <w:color w:val="111827"/>
        </w:rPr>
        <w:t>The platform is built on proven cloud-native architecture (AWS ECS/Fargate, S3, Athena/Databricks) and a dimensional star-schema data model that ensures fast queries, consistent metrics, and long-term scalability. Initial development requires a team of 5–7 engineers at an annual cost of $800K–$1.6M, with infrastructure costs scaling from $300/month for small teams to $25,000/month at enterprise scale. The platform pays for itself by eliminating the hidden cost of repeated narrative reconstruction—estimated at 2–4 hours per analyst per review cycle.</w:t>
      </w:r>
    </w:p>
    <w:p w14:paraId="5BE5C77A" w14:textId="77777777" w:rsidR="00CF6883" w:rsidRDefault="00CF6883">
      <w:pPr>
        <w:spacing w:after="120"/>
      </w:pPr>
    </w:p>
    <w:p w14:paraId="19228BE2" w14:textId="77777777" w:rsidR="00CF6883" w:rsidRDefault="00000000">
      <w:pPr>
        <w:pStyle w:val="Heading1"/>
      </w:pPr>
      <w:r>
        <w:t xml:space="preserve">2. </w:t>
      </w:r>
      <w:proofErr w:type="gramStart"/>
      <w:r>
        <w:t>The Business</w:t>
      </w:r>
      <w:proofErr w:type="gramEnd"/>
      <w:r>
        <w:t xml:space="preserve"> Problem</w:t>
      </w:r>
    </w:p>
    <w:p w14:paraId="5D5D1A8B" w14:textId="77777777" w:rsidR="00CF6883" w:rsidRDefault="00000000">
      <w:pPr>
        <w:pStyle w:val="Heading2"/>
      </w:pPr>
      <w:r>
        <w:t>The Decision Gap</w:t>
      </w:r>
    </w:p>
    <w:p w14:paraId="57D01E3C" w14:textId="77777777" w:rsidR="00CF6883" w:rsidRDefault="00000000">
      <w:pPr>
        <w:spacing w:before="80" w:after="120"/>
      </w:pPr>
      <w:r>
        <w:rPr>
          <w:color w:val="111827"/>
        </w:rPr>
        <w:t>The modern enterprise does not lack data. It lacks a system that connects data to decisions. Consider the anatomy of a typical Weekly Business Review (WBR):</w:t>
      </w:r>
    </w:p>
    <w:p w14:paraId="6624D888" w14:textId="77777777" w:rsidR="00CF6883" w:rsidRDefault="00000000">
      <w:pPr>
        <w:pStyle w:val="ListParagraph"/>
        <w:numPr>
          <w:ilvl w:val="0"/>
          <w:numId w:val="2"/>
        </w:numPr>
        <w:spacing w:before="40" w:after="40"/>
      </w:pPr>
      <w:r>
        <w:rPr>
          <w:color w:val="111827"/>
          <w:sz w:val="21"/>
          <w:szCs w:val="21"/>
        </w:rPr>
        <w:t>An analyst spends 4–8 hours pulling data, building slides, and writing commentary</w:t>
      </w:r>
    </w:p>
    <w:p w14:paraId="2E93D976" w14:textId="77777777" w:rsidR="00CF6883" w:rsidRDefault="00000000">
      <w:pPr>
        <w:pStyle w:val="ListParagraph"/>
        <w:numPr>
          <w:ilvl w:val="0"/>
          <w:numId w:val="2"/>
        </w:numPr>
        <w:spacing w:before="40" w:after="40"/>
      </w:pPr>
      <w:r>
        <w:rPr>
          <w:color w:val="111827"/>
          <w:sz w:val="21"/>
          <w:szCs w:val="21"/>
        </w:rPr>
        <w:t>Leadership reviews the presentation, makes decisions, and raises risks</w:t>
      </w:r>
    </w:p>
    <w:p w14:paraId="790A4799" w14:textId="77777777" w:rsidR="00CF6883" w:rsidRDefault="00000000">
      <w:pPr>
        <w:pStyle w:val="ListParagraph"/>
        <w:numPr>
          <w:ilvl w:val="0"/>
          <w:numId w:val="2"/>
        </w:numPr>
        <w:spacing w:before="40" w:after="40"/>
      </w:pPr>
      <w:r>
        <w:rPr>
          <w:color w:val="111827"/>
          <w:sz w:val="21"/>
          <w:szCs w:val="21"/>
        </w:rPr>
        <w:t>The meeting ends. The decisions live in someone's notes—or nowhere</w:t>
      </w:r>
    </w:p>
    <w:p w14:paraId="1A69C094" w14:textId="77777777" w:rsidR="00CF6883" w:rsidRDefault="00000000">
      <w:pPr>
        <w:pStyle w:val="ListParagraph"/>
        <w:numPr>
          <w:ilvl w:val="0"/>
          <w:numId w:val="2"/>
        </w:numPr>
        <w:spacing w:before="40" w:after="40"/>
      </w:pPr>
      <w:r>
        <w:rPr>
          <w:color w:val="111827"/>
          <w:sz w:val="21"/>
          <w:szCs w:val="21"/>
        </w:rPr>
        <w:t>The following week, the process starts over. Prior context is reconstructed from memory</w:t>
      </w:r>
    </w:p>
    <w:p w14:paraId="660DBB50" w14:textId="77777777" w:rsidR="00CF6883" w:rsidRDefault="00000000">
      <w:pPr>
        <w:spacing w:before="80" w:after="120"/>
      </w:pPr>
      <w:r>
        <w:rPr>
          <w:color w:val="111827"/>
        </w:rPr>
        <w:t xml:space="preserve">This cycle is expensive and fragile. When a key analyst leaves, their institutional knowledge leaves with them. When a new executive joins, there is no record of why the business made the choices it </w:t>
      </w:r>
      <w:proofErr w:type="gramStart"/>
      <w:r>
        <w:rPr>
          <w:color w:val="111827"/>
        </w:rPr>
        <w:t>did</w:t>
      </w:r>
      <w:proofErr w:type="gramEnd"/>
      <w:r>
        <w:rPr>
          <w:color w:val="111827"/>
        </w:rPr>
        <w:t xml:space="preserve">. When an auditor asks for the decision </w:t>
      </w:r>
      <w:proofErr w:type="gramStart"/>
      <w:r>
        <w:rPr>
          <w:color w:val="111827"/>
        </w:rPr>
        <w:t>trail</w:t>
      </w:r>
      <w:proofErr w:type="gramEnd"/>
      <w:r>
        <w:rPr>
          <w:color w:val="111827"/>
        </w:rPr>
        <w:t xml:space="preserve"> on a risk that materialized, the team scrambles to reassemble it.</w:t>
      </w:r>
    </w:p>
    <w:p w14:paraId="37D7EC31" w14:textId="77777777" w:rsidR="00CF6883" w:rsidRDefault="00000000">
      <w:pPr>
        <w:pStyle w:val="Heading2"/>
      </w:pPr>
      <w:r>
        <w:t>The Structural Data Problem</w:t>
      </w:r>
    </w:p>
    <w:p w14:paraId="718CDE80" w14:textId="77777777" w:rsidR="00CF6883" w:rsidRDefault="00000000">
      <w:pPr>
        <w:spacing w:before="80" w:after="120"/>
      </w:pPr>
      <w:r>
        <w:rPr>
          <w:color w:val="111827"/>
        </w:rPr>
        <w:t>Compounding this is a technical issue that amplifies the pain. Many reporting systems rely on wide, unoptimized tables with inconsistent schemas—one team's 'revenue' differs from another's, queries run slowly, and building new dashboards requires re-solving the same data logic. These inefficiencies make the human problem worse: analysts spend more time on data wrangling and less on analysis.</w:t>
      </w:r>
    </w:p>
    <w:p w14:paraId="4440D860" w14:textId="77777777" w:rsidR="00CF6883" w:rsidRDefault="00000000">
      <w:pPr>
        <w:spacing w:before="80" w:after="120"/>
      </w:pPr>
      <w:r>
        <w:rPr>
          <w:color w:val="111827"/>
        </w:rPr>
        <w:t xml:space="preserve">The core problem is a structural </w:t>
      </w:r>
      <w:proofErr w:type="gramStart"/>
      <w:r>
        <w:rPr>
          <w:color w:val="111827"/>
        </w:rPr>
        <w:t>disconnect:</w:t>
      </w:r>
      <w:proofErr w:type="gramEnd"/>
      <w:r>
        <w:rPr>
          <w:color w:val="111827"/>
        </w:rPr>
        <w:t xml:space="preserve"> data lives in one system, decisions in another, and institutional memory in </w:t>
      </w:r>
      <w:proofErr w:type="gramStart"/>
      <w:r>
        <w:rPr>
          <w:color w:val="111827"/>
        </w:rPr>
        <w:t>neither</w:t>
      </w:r>
      <w:proofErr w:type="gramEnd"/>
      <w:r>
        <w:rPr>
          <w:color w:val="111827"/>
        </w:rPr>
        <w:t>.</w:t>
      </w:r>
    </w:p>
    <w:p w14:paraId="06B9A8BB" w14:textId="77777777" w:rsidR="00CF6883" w:rsidRDefault="00CF6883">
      <w:pPr>
        <w:spacing w:after="120"/>
      </w:pPr>
    </w:p>
    <w:p w14:paraId="1B8AB6D9" w14:textId="77777777" w:rsidR="00CF6883" w:rsidRDefault="00000000">
      <w:pPr>
        <w:pStyle w:val="Heading1"/>
      </w:pPr>
      <w:r>
        <w:t>3. Solution Overview &amp; Key Features</w:t>
      </w:r>
    </w:p>
    <w:p w14:paraId="33955D0D" w14:textId="77777777" w:rsidR="00CF6883" w:rsidRDefault="00000000">
      <w:pPr>
        <w:spacing w:before="80" w:after="120"/>
      </w:pPr>
      <w:r>
        <w:rPr>
          <w:color w:val="111827"/>
        </w:rPr>
        <w:lastRenderedPageBreak/>
        <w:t xml:space="preserve">The Integrated BI + Decision Layer Platform is a </w:t>
      </w:r>
      <w:proofErr w:type="spellStart"/>
      <w:r>
        <w:rPr>
          <w:color w:val="111827"/>
        </w:rPr>
        <w:t>Streamlit</w:t>
      </w:r>
      <w:proofErr w:type="spellEnd"/>
      <w:r>
        <w:rPr>
          <w:color w:val="111827"/>
        </w:rPr>
        <w:t>-based application that combines three tightly integrated components into a single user experience.</w:t>
      </w:r>
    </w:p>
    <w:p w14:paraId="041F9ABC" w14:textId="77777777" w:rsidR="00CF6883" w:rsidRDefault="00000000">
      <w:pPr>
        <w:pStyle w:val="Heading2"/>
      </w:pPr>
      <w:r>
        <w:t>Component 1 — KPI &amp; Visualization Layer</w:t>
      </w:r>
    </w:p>
    <w:p w14:paraId="4B7FDE0F" w14:textId="77777777" w:rsidR="00CF6883" w:rsidRDefault="00000000">
      <w:pPr>
        <w:spacing w:before="80" w:after="120"/>
      </w:pPr>
      <w:r>
        <w:rPr>
          <w:color w:val="111827"/>
        </w:rPr>
        <w:t xml:space="preserve">Users interact with dashboards comparable to Tableau or Power BI, including KPI summary cards, trend analysis across revenue, margin, and cost dimensions, and department-level breakdowns across Finance, Sales, Operations, HR, IT, and Marketing. Dynamic filtering by business unit and </w:t>
      </w:r>
      <w:proofErr w:type="gramStart"/>
      <w:r>
        <w:rPr>
          <w:color w:val="111827"/>
        </w:rPr>
        <w:t>time period</w:t>
      </w:r>
      <w:proofErr w:type="gramEnd"/>
      <w:r>
        <w:rPr>
          <w:color w:val="111827"/>
        </w:rPr>
        <w:t xml:space="preserve"> (monthly, quarterly, annual) eliminates the need to build separate dashboards for different audiences.</w:t>
      </w:r>
    </w:p>
    <w:p w14:paraId="0376D565" w14:textId="77777777" w:rsidR="00CF6883" w:rsidRDefault="00000000">
      <w:pPr>
        <w:pStyle w:val="Heading2"/>
      </w:pPr>
      <w:r>
        <w:t>Component 2 — Executive Commentary &amp; Decision Layer</w:t>
      </w:r>
    </w:p>
    <w:p w14:paraId="00E54568" w14:textId="77777777" w:rsidR="00CF6883" w:rsidRDefault="00000000">
      <w:pPr>
        <w:spacing w:before="80" w:after="120"/>
      </w:pPr>
      <w:r>
        <w:rPr>
          <w:color w:val="111827"/>
        </w:rPr>
        <w:t>This is the platform's core differentiator. Rather than treating commentary as a byproduct of analysis, the platform embeds it as a first-class object. Every chart has an associated commentary panel where users can log findings, risks, actions, and notes. These entries are:</w:t>
      </w:r>
    </w:p>
    <w:p w14:paraId="76A465B8" w14:textId="77777777" w:rsidR="00CF6883" w:rsidRDefault="00000000">
      <w:pPr>
        <w:pStyle w:val="ListParagraph"/>
        <w:numPr>
          <w:ilvl w:val="0"/>
          <w:numId w:val="2"/>
        </w:numPr>
        <w:spacing w:before="40" w:after="40"/>
      </w:pPr>
      <w:r>
        <w:rPr>
          <w:color w:val="111827"/>
          <w:sz w:val="21"/>
          <w:szCs w:val="21"/>
        </w:rPr>
        <w:t>Tagged by type: Finding, Risk, Action, or Note</w:t>
      </w:r>
    </w:p>
    <w:p w14:paraId="1BDF33DE" w14:textId="77777777" w:rsidR="00CF6883" w:rsidRDefault="00000000">
      <w:pPr>
        <w:pStyle w:val="ListParagraph"/>
        <w:numPr>
          <w:ilvl w:val="0"/>
          <w:numId w:val="2"/>
        </w:numPr>
        <w:spacing w:before="40" w:after="40"/>
      </w:pPr>
      <w:r>
        <w:rPr>
          <w:color w:val="111827"/>
          <w:sz w:val="21"/>
          <w:szCs w:val="21"/>
        </w:rPr>
        <w:t>Timestamped and attributed to a user</w:t>
      </w:r>
    </w:p>
    <w:p w14:paraId="5CD57994" w14:textId="77777777" w:rsidR="00CF6883" w:rsidRDefault="00000000">
      <w:pPr>
        <w:pStyle w:val="ListParagraph"/>
        <w:numPr>
          <w:ilvl w:val="0"/>
          <w:numId w:val="2"/>
        </w:numPr>
        <w:spacing w:before="40" w:after="40"/>
      </w:pPr>
      <w:r>
        <w:rPr>
          <w:color w:val="111827"/>
          <w:sz w:val="21"/>
          <w:szCs w:val="21"/>
        </w:rPr>
        <w:t>Persisted across reporting periods—last week's risks appear alongside this week's data</w:t>
      </w:r>
    </w:p>
    <w:p w14:paraId="04A609DF" w14:textId="77777777" w:rsidR="00CF6883" w:rsidRDefault="00000000">
      <w:pPr>
        <w:pStyle w:val="ListParagraph"/>
        <w:numPr>
          <w:ilvl w:val="0"/>
          <w:numId w:val="2"/>
        </w:numPr>
        <w:spacing w:before="40" w:after="40"/>
      </w:pPr>
      <w:r>
        <w:rPr>
          <w:color w:val="111827"/>
          <w:sz w:val="21"/>
          <w:szCs w:val="21"/>
        </w:rPr>
        <w:t>Searchable—any decision, risk, or finding from any prior period is retrievable in seconds</w:t>
      </w:r>
    </w:p>
    <w:p w14:paraId="70D56116" w14:textId="77777777" w:rsidR="00CF6883" w:rsidRDefault="00000000">
      <w:pPr>
        <w:spacing w:before="80" w:after="120"/>
      </w:pPr>
      <w:r>
        <w:rPr>
          <w:color w:val="111827"/>
        </w:rPr>
        <w:t>This converts the dashboard from a snapshot into a living record of business performance and response.</w:t>
      </w:r>
    </w:p>
    <w:p w14:paraId="44FA8838" w14:textId="77777777" w:rsidR="00CF6883" w:rsidRDefault="00000000">
      <w:pPr>
        <w:pStyle w:val="Heading2"/>
      </w:pPr>
      <w:r>
        <w:t>Component 3 — Dimensional Data Model</w:t>
      </w:r>
    </w:p>
    <w:p w14:paraId="5A48B6AA" w14:textId="77777777" w:rsidR="00CF6883" w:rsidRDefault="00000000">
      <w:pPr>
        <w:spacing w:before="80" w:after="120"/>
      </w:pPr>
      <w:r>
        <w:rPr>
          <w:color w:val="111827"/>
        </w:rPr>
        <w:t>Behind the interface, a star-schema dimensional model ensures that the data powering the platform is fast, consistent, and scalable. Fact tables capture core metrics (revenue, cost, profit, headcount). Dimension tables provide context (date, organization unit, product, department). This design delivers measurably faster query performance, eliminates metric inconsistencies across teams, and makes adding new reporting dimensions straightforward as the business grows.</w:t>
      </w:r>
    </w:p>
    <w:p w14:paraId="32948E4C" w14:textId="77777777" w:rsidR="00CF6883" w:rsidRDefault="00CF6883">
      <w:pPr>
        <w:spacing w:after="120"/>
      </w:pPr>
    </w:p>
    <w:p w14:paraId="0823BABA" w14:textId="77777777" w:rsidR="00CF6883" w:rsidRDefault="00000000">
      <w:pPr>
        <w:pStyle w:val="Heading1"/>
      </w:pPr>
      <w:r>
        <w:t>4. Architecture &amp; Data Modeling</w:t>
      </w:r>
    </w:p>
    <w:p w14:paraId="5DBF1F20" w14:textId="77777777" w:rsidR="00CF6883" w:rsidRDefault="00000000">
      <w:pPr>
        <w:pStyle w:val="Heading2"/>
      </w:pPr>
      <w:r>
        <w:t>System Architecture</w:t>
      </w:r>
    </w:p>
    <w:p w14:paraId="0819F940" w14:textId="77777777" w:rsidR="00CF6883" w:rsidRDefault="00000000">
      <w:pPr>
        <w:spacing w:before="80" w:after="120"/>
      </w:pPr>
      <w:r>
        <w:rPr>
          <w:color w:val="111827"/>
        </w:rPr>
        <w:t>The platform follows a modern cloud-native architecture pattern with clear separation between data storage, compute, and presentation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2636"/>
        <w:gridCol w:w="5101"/>
      </w:tblGrid>
      <w:tr w:rsidR="00CF6883" w14:paraId="691F6B8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3A5F"/>
            <w:tcMar>
              <w:top w:w="100" w:type="dxa"/>
              <w:left w:w="120" w:type="dxa"/>
              <w:bottom w:w="100" w:type="dxa"/>
              <w:right w:w="120" w:type="dxa"/>
            </w:tcMar>
          </w:tcPr>
          <w:p w14:paraId="677BD1EE" w14:textId="77777777" w:rsidR="00CF6883" w:rsidRDefault="00000000">
            <w:r>
              <w:rPr>
                <w:b/>
                <w:bCs/>
                <w:color w:val="FFFFFF"/>
                <w:sz w:val="18"/>
                <w:szCs w:val="18"/>
              </w:rPr>
              <w:t>Layer</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100" w:type="dxa"/>
              <w:left w:w="120" w:type="dxa"/>
              <w:bottom w:w="100" w:type="dxa"/>
              <w:right w:w="120" w:type="dxa"/>
            </w:tcMar>
          </w:tcPr>
          <w:p w14:paraId="143194D2" w14:textId="77777777" w:rsidR="00CF6883" w:rsidRDefault="00000000">
            <w:r>
              <w:rPr>
                <w:b/>
                <w:bCs/>
                <w:color w:val="FFFFFF"/>
                <w:sz w:val="18"/>
                <w:szCs w:val="18"/>
              </w:rPr>
              <w:t>Technology</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100" w:type="dxa"/>
              <w:left w:w="120" w:type="dxa"/>
              <w:bottom w:w="100" w:type="dxa"/>
              <w:right w:w="120" w:type="dxa"/>
            </w:tcMar>
          </w:tcPr>
          <w:p w14:paraId="4D26EB58" w14:textId="77777777" w:rsidR="00CF6883" w:rsidRDefault="00000000">
            <w:r>
              <w:rPr>
                <w:b/>
                <w:bCs/>
                <w:color w:val="FFFFFF"/>
                <w:sz w:val="18"/>
                <w:szCs w:val="18"/>
              </w:rPr>
              <w:t>Purpose</w:t>
            </w:r>
          </w:p>
        </w:tc>
      </w:tr>
      <w:tr w:rsidR="00CF6883" w14:paraId="6E2551D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56C1A36" w14:textId="77777777" w:rsidR="00CF6883" w:rsidRDefault="00000000">
            <w:r>
              <w:rPr>
                <w:b/>
                <w:bCs/>
                <w:color w:val="111827"/>
                <w:sz w:val="18"/>
                <w:szCs w:val="18"/>
              </w:rPr>
              <w:t>Presentation</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4F368E77" w14:textId="77777777" w:rsidR="00CF6883" w:rsidRDefault="00000000">
            <w:proofErr w:type="spellStart"/>
            <w:r>
              <w:rPr>
                <w:color w:val="111827"/>
                <w:sz w:val="18"/>
                <w:szCs w:val="18"/>
              </w:rPr>
              <w:t>Streamlit</w:t>
            </w:r>
            <w:proofErr w:type="spellEnd"/>
            <w:r>
              <w:rPr>
                <w:color w:val="111827"/>
                <w:sz w:val="18"/>
                <w:szCs w:val="18"/>
              </w:rPr>
              <w:t xml:space="preserve"> on ECS/Fargate</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B044704" w14:textId="77777777" w:rsidR="00CF6883" w:rsidRDefault="00000000">
            <w:r>
              <w:rPr>
                <w:color w:val="111827"/>
                <w:sz w:val="18"/>
                <w:szCs w:val="18"/>
              </w:rPr>
              <w:t>User-facing dashboards + commentary UI</w:t>
            </w:r>
          </w:p>
        </w:tc>
      </w:tr>
      <w:tr w:rsidR="00CF6883" w14:paraId="2FEE542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C1D32A" w14:textId="77777777" w:rsidR="00CF6883" w:rsidRDefault="00000000">
            <w:r>
              <w:rPr>
                <w:b/>
                <w:bCs/>
                <w:color w:val="111827"/>
                <w:sz w:val="18"/>
                <w:szCs w:val="18"/>
              </w:rPr>
              <w:t>API Layer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CECA4D" w14:textId="77777777" w:rsidR="00CF6883" w:rsidRDefault="00000000">
            <w:proofErr w:type="spellStart"/>
            <w:r>
              <w:rPr>
                <w:color w:val="111827"/>
                <w:sz w:val="18"/>
                <w:szCs w:val="18"/>
              </w:rPr>
              <w:t>FastAPI</w:t>
            </w:r>
            <w:proofErr w:type="spellEnd"/>
            <w:r>
              <w:rPr>
                <w:color w:val="111827"/>
                <w:sz w:val="18"/>
                <w:szCs w:val="18"/>
              </w:rPr>
              <w:t xml:space="preserve"> / REST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33AFDB" w14:textId="77777777" w:rsidR="00CF6883" w:rsidRDefault="00000000">
            <w:r>
              <w:rPr>
                <w:color w:val="111827"/>
                <w:sz w:val="18"/>
                <w:szCs w:val="18"/>
              </w:rPr>
              <w:t>Serves data and persists user inputs</w:t>
            </w:r>
          </w:p>
        </w:tc>
      </w:tr>
      <w:tr w:rsidR="00CF6883" w14:paraId="2EE442F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651E3B38" w14:textId="77777777" w:rsidR="00CF6883" w:rsidRDefault="00000000">
            <w:r>
              <w:rPr>
                <w:b/>
                <w:bCs/>
                <w:color w:val="111827"/>
                <w:sz w:val="18"/>
                <w:szCs w:val="18"/>
              </w:rPr>
              <w:t>Query Engine</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3D2CD40" w14:textId="77777777" w:rsidR="00CF6883" w:rsidRDefault="00000000">
            <w:r>
              <w:rPr>
                <w:color w:val="111827"/>
                <w:sz w:val="18"/>
                <w:szCs w:val="18"/>
              </w:rPr>
              <w:t>AWS Athena / Databricks</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918FE65" w14:textId="77777777" w:rsidR="00CF6883" w:rsidRDefault="00000000">
            <w:r>
              <w:rPr>
                <w:color w:val="111827"/>
                <w:sz w:val="18"/>
                <w:szCs w:val="18"/>
              </w:rPr>
              <w:t>On-demand analytics over structured data</w:t>
            </w:r>
          </w:p>
        </w:tc>
      </w:tr>
      <w:tr w:rsidR="00CF6883" w14:paraId="3C3863F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EA6C4E" w14:textId="77777777" w:rsidR="00CF6883" w:rsidRDefault="00000000">
            <w:r>
              <w:rPr>
                <w:b/>
                <w:bCs/>
                <w:color w:val="111827"/>
                <w:sz w:val="18"/>
                <w:szCs w:val="18"/>
              </w:rPr>
              <w:t>Storage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49AD01" w14:textId="77777777" w:rsidR="00CF6883" w:rsidRDefault="00000000">
            <w:r>
              <w:rPr>
                <w:color w:val="111827"/>
                <w:sz w:val="18"/>
                <w:szCs w:val="18"/>
              </w:rPr>
              <w:t>Amazon S3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7EA979" w14:textId="77777777" w:rsidR="00CF6883" w:rsidRDefault="00000000">
            <w:r>
              <w:rPr>
                <w:color w:val="111827"/>
                <w:sz w:val="18"/>
                <w:szCs w:val="18"/>
              </w:rPr>
              <w:t>Analytical datasets, commentary history, audit logs</w:t>
            </w:r>
          </w:p>
        </w:tc>
      </w:tr>
      <w:tr w:rsidR="00CF6883" w14:paraId="2F30BEB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A5EFE59" w14:textId="77777777" w:rsidR="00CF6883" w:rsidRDefault="00000000">
            <w:r>
              <w:rPr>
                <w:b/>
                <w:bCs/>
                <w:color w:val="111827"/>
                <w:sz w:val="18"/>
                <w:szCs w:val="18"/>
              </w:rPr>
              <w:t>ETL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09508875" w14:textId="77777777" w:rsidR="00CF6883" w:rsidRDefault="00000000">
            <w:r>
              <w:rPr>
                <w:color w:val="111827"/>
                <w:sz w:val="18"/>
                <w:szCs w:val="18"/>
              </w:rPr>
              <w:t>Custom Pipelines</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18FA819" w14:textId="77777777" w:rsidR="00CF6883" w:rsidRDefault="00000000">
            <w:proofErr w:type="gramStart"/>
            <w:r>
              <w:rPr>
                <w:color w:val="111827"/>
                <w:sz w:val="18"/>
                <w:szCs w:val="18"/>
              </w:rPr>
              <w:t>Ingests</w:t>
            </w:r>
            <w:proofErr w:type="gramEnd"/>
            <w:r>
              <w:rPr>
                <w:color w:val="111827"/>
                <w:sz w:val="18"/>
                <w:szCs w:val="18"/>
              </w:rPr>
              <w:t xml:space="preserve"> and </w:t>
            </w:r>
            <w:proofErr w:type="gramStart"/>
            <w:r>
              <w:rPr>
                <w:color w:val="111827"/>
                <w:sz w:val="18"/>
                <w:szCs w:val="18"/>
              </w:rPr>
              <w:t>transforms</w:t>
            </w:r>
            <w:proofErr w:type="gramEnd"/>
            <w:r>
              <w:rPr>
                <w:color w:val="111827"/>
                <w:sz w:val="18"/>
                <w:szCs w:val="18"/>
              </w:rPr>
              <w:t xml:space="preserve"> source data into star schema</w:t>
            </w:r>
          </w:p>
        </w:tc>
      </w:tr>
      <w:tr w:rsidR="00CF6883" w14:paraId="3CA1C86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125C02" w14:textId="77777777" w:rsidR="00CF6883" w:rsidRDefault="00000000">
            <w:r>
              <w:rPr>
                <w:b/>
                <w:bCs/>
                <w:color w:val="111827"/>
                <w:sz w:val="18"/>
                <w:szCs w:val="18"/>
              </w:rPr>
              <w:t>Infrastructure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60A286" w14:textId="77777777" w:rsidR="00CF6883" w:rsidRDefault="00000000">
            <w:r>
              <w:rPr>
                <w:color w:val="111827"/>
                <w:sz w:val="18"/>
                <w:szCs w:val="18"/>
              </w:rPr>
              <w:t>Terraform + CI/CD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47DACE" w14:textId="77777777" w:rsidR="00CF6883" w:rsidRDefault="00000000">
            <w:r>
              <w:rPr>
                <w:color w:val="111827"/>
                <w:sz w:val="18"/>
                <w:szCs w:val="18"/>
              </w:rPr>
              <w:t>Repeatable deployments across dev/stage/prod</w:t>
            </w:r>
          </w:p>
        </w:tc>
      </w:tr>
      <w:tr w:rsidR="00CF6883" w14:paraId="3D05529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25931BA0" w14:textId="77777777" w:rsidR="00CF6883" w:rsidRDefault="00000000">
            <w:r>
              <w:rPr>
                <w:b/>
                <w:bCs/>
                <w:color w:val="111827"/>
                <w:sz w:val="18"/>
                <w:szCs w:val="18"/>
              </w:rPr>
              <w:lastRenderedPageBreak/>
              <w:t>Monitoring</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17978B24" w14:textId="77777777" w:rsidR="00CF6883" w:rsidRDefault="00000000">
            <w:r>
              <w:rPr>
                <w:color w:val="111827"/>
                <w:sz w:val="18"/>
                <w:szCs w:val="18"/>
              </w:rPr>
              <w:t>CloudWatch</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2BC19888" w14:textId="77777777" w:rsidR="00CF6883" w:rsidRDefault="00000000">
            <w:r>
              <w:rPr>
                <w:color w:val="111827"/>
                <w:sz w:val="18"/>
                <w:szCs w:val="18"/>
              </w:rPr>
              <w:t>Observability, alerting, performance metrics</w:t>
            </w:r>
          </w:p>
        </w:tc>
      </w:tr>
    </w:tbl>
    <w:p w14:paraId="103DC1F3" w14:textId="77777777" w:rsidR="00CF6883" w:rsidRDefault="00CF6883">
      <w:pPr>
        <w:spacing w:after="120"/>
      </w:pPr>
    </w:p>
    <w:p w14:paraId="2C463403" w14:textId="77777777" w:rsidR="00CF6883" w:rsidRDefault="00000000">
      <w:pPr>
        <w:spacing w:before="80" w:after="120"/>
      </w:pPr>
      <w:r>
        <w:rPr>
          <w:color w:val="111827"/>
        </w:rPr>
        <w:t>The three-environment strategy (development, staging, production) ensures that every deployment is validated before it reaches end users. Total infrastructure cost is approximately 2.25× the production-only cost, which is the standard multiplier for responsible software operations.</w:t>
      </w:r>
    </w:p>
    <w:p w14:paraId="1C461B6D" w14:textId="77777777" w:rsidR="00CF6883" w:rsidRDefault="00CF6883">
      <w:pPr>
        <w:spacing w:after="120"/>
      </w:pPr>
    </w:p>
    <w:p w14:paraId="4896F140" w14:textId="77777777" w:rsidR="00CF6883" w:rsidRDefault="00000000">
      <w:pPr>
        <w:pStyle w:val="Heading1"/>
      </w:pPr>
      <w:r>
        <w:t>5. Cost Structure</w:t>
      </w:r>
    </w:p>
    <w:p w14:paraId="61B1F71E" w14:textId="77777777" w:rsidR="00CF6883" w:rsidRDefault="00000000">
      <w:pPr>
        <w:pStyle w:val="Heading2"/>
      </w:pPr>
      <w:r>
        <w:t>Infrastructure Costs by Scale</w:t>
      </w:r>
    </w:p>
    <w:p w14:paraId="0362360F" w14:textId="77777777" w:rsidR="00CF6883" w:rsidRDefault="00000000">
      <w:pPr>
        <w:spacing w:before="80" w:after="120"/>
      </w:pPr>
      <w:r>
        <w:rPr>
          <w:color w:val="111827"/>
        </w:rPr>
        <w:t>Infrastructure costs scale predictably with user volume. The following estimates cover compute (ECS/Fargate), storage (S3), and query processing (Athena/Databricks) across all three environments:</w:t>
      </w:r>
    </w:p>
    <w:p w14:paraId="69C09019" w14:textId="77777777" w:rsidR="00CF6883" w:rsidRDefault="00CF68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1405"/>
        <w:gridCol w:w="3110"/>
        <w:gridCol w:w="2823"/>
      </w:tblGrid>
      <w:tr w:rsidR="00CF6883" w14:paraId="40C14C7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2196A6"/>
            <w:tcMar>
              <w:top w:w="100" w:type="dxa"/>
              <w:left w:w="120" w:type="dxa"/>
              <w:bottom w:w="100" w:type="dxa"/>
              <w:right w:w="120" w:type="dxa"/>
            </w:tcMar>
          </w:tcPr>
          <w:p w14:paraId="1B650732" w14:textId="77777777" w:rsidR="00CF6883" w:rsidRDefault="00000000">
            <w:r>
              <w:rPr>
                <w:b/>
                <w:bCs/>
                <w:color w:val="FFFFFF"/>
                <w:sz w:val="19"/>
                <w:szCs w:val="19"/>
              </w:rPr>
              <w:t>Scale</w:t>
            </w:r>
          </w:p>
        </w:tc>
        <w:tc>
          <w:tcPr>
            <w:tcW w:w="0" w:type="auto"/>
            <w:tcBorders>
              <w:top w:val="single" w:sz="1" w:space="0" w:color="DDDDDD"/>
              <w:left w:val="single" w:sz="1" w:space="0" w:color="DDDDDD"/>
              <w:bottom w:val="single" w:sz="1" w:space="0" w:color="DDDDDD"/>
              <w:right w:val="single" w:sz="1" w:space="0" w:color="DDDDDD"/>
            </w:tcBorders>
            <w:shd w:val="clear" w:color="auto" w:fill="2196A6"/>
            <w:tcMar>
              <w:top w:w="100" w:type="dxa"/>
              <w:left w:w="120" w:type="dxa"/>
              <w:bottom w:w="100" w:type="dxa"/>
              <w:right w:w="120" w:type="dxa"/>
            </w:tcMar>
          </w:tcPr>
          <w:p w14:paraId="0DD1C329" w14:textId="77777777" w:rsidR="00CF6883" w:rsidRDefault="00000000">
            <w:r>
              <w:rPr>
                <w:b/>
                <w:bCs/>
                <w:color w:val="FFFFFF"/>
                <w:sz w:val="19"/>
                <w:szCs w:val="19"/>
              </w:rPr>
              <w:t>Users</w:t>
            </w:r>
          </w:p>
        </w:tc>
        <w:tc>
          <w:tcPr>
            <w:tcW w:w="0" w:type="auto"/>
            <w:tcBorders>
              <w:top w:val="single" w:sz="1" w:space="0" w:color="DDDDDD"/>
              <w:left w:val="single" w:sz="1" w:space="0" w:color="DDDDDD"/>
              <w:bottom w:val="single" w:sz="1" w:space="0" w:color="DDDDDD"/>
              <w:right w:val="single" w:sz="1" w:space="0" w:color="DDDDDD"/>
            </w:tcBorders>
            <w:shd w:val="clear" w:color="auto" w:fill="2196A6"/>
            <w:tcMar>
              <w:top w:w="100" w:type="dxa"/>
              <w:left w:w="120" w:type="dxa"/>
              <w:bottom w:w="100" w:type="dxa"/>
              <w:right w:w="120" w:type="dxa"/>
            </w:tcMar>
          </w:tcPr>
          <w:p w14:paraId="4338C600" w14:textId="77777777" w:rsidR="00CF6883" w:rsidRDefault="00000000">
            <w:r>
              <w:rPr>
                <w:b/>
                <w:bCs/>
                <w:color w:val="FFFFFF"/>
                <w:sz w:val="19"/>
                <w:szCs w:val="19"/>
              </w:rPr>
              <w:t>Monthly Cost</w:t>
            </w:r>
          </w:p>
        </w:tc>
        <w:tc>
          <w:tcPr>
            <w:tcW w:w="0" w:type="auto"/>
            <w:tcBorders>
              <w:top w:val="single" w:sz="1" w:space="0" w:color="DDDDDD"/>
              <w:left w:val="single" w:sz="1" w:space="0" w:color="DDDDDD"/>
              <w:bottom w:val="single" w:sz="1" w:space="0" w:color="DDDDDD"/>
              <w:right w:val="single" w:sz="1" w:space="0" w:color="DDDDDD"/>
            </w:tcBorders>
            <w:shd w:val="clear" w:color="auto" w:fill="2196A6"/>
            <w:tcMar>
              <w:top w:w="100" w:type="dxa"/>
              <w:left w:w="120" w:type="dxa"/>
              <w:bottom w:w="100" w:type="dxa"/>
              <w:right w:w="120" w:type="dxa"/>
            </w:tcMar>
          </w:tcPr>
          <w:p w14:paraId="7410BA20" w14:textId="77777777" w:rsidR="00CF6883" w:rsidRDefault="00000000">
            <w:r>
              <w:rPr>
                <w:b/>
                <w:bCs/>
                <w:color w:val="FFFFFF"/>
                <w:sz w:val="19"/>
                <w:szCs w:val="19"/>
              </w:rPr>
              <w:t>Annual Cost</w:t>
            </w:r>
          </w:p>
        </w:tc>
      </w:tr>
      <w:tr w:rsidR="00CF6883" w14:paraId="5553B75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29E7DC4" w14:textId="77777777" w:rsidR="00CF6883" w:rsidRDefault="00000000">
            <w:r>
              <w:rPr>
                <w:color w:val="111827"/>
                <w:sz w:val="19"/>
                <w:szCs w:val="19"/>
              </w:rPr>
              <w:t>Small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254BA591" w14:textId="77777777" w:rsidR="00CF6883" w:rsidRDefault="00000000">
            <w:r>
              <w:rPr>
                <w:color w:val="111827"/>
                <w:sz w:val="19"/>
                <w:szCs w:val="19"/>
              </w:rPr>
              <w:t>10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621B6B96" w14:textId="77777777" w:rsidR="00CF6883" w:rsidRDefault="00000000">
            <w:r>
              <w:rPr>
                <w:color w:val="111827"/>
                <w:sz w:val="19"/>
                <w:szCs w:val="19"/>
              </w:rPr>
              <w:t>$300 – $800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0FB575F" w14:textId="77777777" w:rsidR="00CF6883" w:rsidRDefault="00000000">
            <w:r>
              <w:rPr>
                <w:color w:val="111827"/>
                <w:sz w:val="19"/>
                <w:szCs w:val="19"/>
              </w:rPr>
              <w:t>$4K – $10K</w:t>
            </w:r>
          </w:p>
        </w:tc>
      </w:tr>
      <w:tr w:rsidR="00CF6883" w14:paraId="573625D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D9106" w14:textId="77777777" w:rsidR="00CF6883" w:rsidRDefault="00000000">
            <w:r>
              <w:rPr>
                <w:color w:val="111827"/>
                <w:sz w:val="19"/>
                <w:szCs w:val="19"/>
              </w:rPr>
              <w:t>Mid-Market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A155CB" w14:textId="77777777" w:rsidR="00CF6883" w:rsidRDefault="00000000">
            <w:r>
              <w:rPr>
                <w:color w:val="111827"/>
                <w:sz w:val="19"/>
                <w:szCs w:val="19"/>
              </w:rPr>
              <w:t>100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651294" w14:textId="77777777" w:rsidR="00CF6883" w:rsidRDefault="00000000">
            <w:r>
              <w:rPr>
                <w:color w:val="111827"/>
                <w:sz w:val="19"/>
                <w:szCs w:val="19"/>
              </w:rPr>
              <w:t>$1,500 – $4,000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869CB1" w14:textId="77777777" w:rsidR="00CF6883" w:rsidRDefault="00000000">
            <w:r>
              <w:rPr>
                <w:color w:val="111827"/>
                <w:sz w:val="19"/>
                <w:szCs w:val="19"/>
              </w:rPr>
              <w:t>$18K – $48K</w:t>
            </w:r>
          </w:p>
        </w:tc>
      </w:tr>
      <w:tr w:rsidR="00CF6883" w14:paraId="30CB473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3568664" w14:textId="77777777" w:rsidR="00CF6883" w:rsidRDefault="00000000">
            <w:r>
              <w:rPr>
                <w:color w:val="111827"/>
                <w:sz w:val="19"/>
                <w:szCs w:val="19"/>
              </w:rPr>
              <w:t>Enterprise</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396E89A3" w14:textId="77777777" w:rsidR="00CF6883" w:rsidRDefault="00000000">
            <w:r>
              <w:rPr>
                <w:color w:val="111827"/>
                <w:sz w:val="19"/>
                <w:szCs w:val="19"/>
              </w:rPr>
              <w:t>1,000+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60A30DDA" w14:textId="77777777" w:rsidR="00CF6883" w:rsidRDefault="00000000">
            <w:r>
              <w:rPr>
                <w:color w:val="111827"/>
                <w:sz w:val="19"/>
                <w:szCs w:val="19"/>
              </w:rPr>
              <w:t>$8,000 – $25,000+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6A5743A7" w14:textId="77777777" w:rsidR="00CF6883" w:rsidRDefault="00000000">
            <w:r>
              <w:rPr>
                <w:color w:val="111827"/>
                <w:sz w:val="19"/>
                <w:szCs w:val="19"/>
              </w:rPr>
              <w:t>$100K – $300K+</w:t>
            </w:r>
          </w:p>
        </w:tc>
      </w:tr>
    </w:tbl>
    <w:p w14:paraId="0178ECBE" w14:textId="77777777" w:rsidR="00CF6883" w:rsidRDefault="00CF6883">
      <w:pPr>
        <w:spacing w:after="120"/>
      </w:pPr>
    </w:p>
    <w:p w14:paraId="171EF8FC" w14:textId="77777777" w:rsidR="00CF6883" w:rsidRDefault="00000000">
      <w:pPr>
        <w:pStyle w:val="Heading2"/>
      </w:pPr>
      <w:r>
        <w:t>Development &amp; Staffing</w:t>
      </w:r>
    </w:p>
    <w:p w14:paraId="1A42ABB9" w14:textId="77777777" w:rsidR="00CF6883" w:rsidRDefault="00000000">
      <w:pPr>
        <w:spacing w:before="80" w:after="120"/>
      </w:pPr>
      <w:r>
        <w:rPr>
          <w:color w:val="111827"/>
        </w:rPr>
        <w:t xml:space="preserve">The platform requires a dedicated engineering team for initial build-out. The recommended initial team of 5–7 engineers </w:t>
      </w:r>
      <w:proofErr w:type="gramStart"/>
      <w:r>
        <w:rPr>
          <w:color w:val="111827"/>
        </w:rPr>
        <w:t>includes</w:t>
      </w:r>
      <w:proofErr w:type="gramEnd"/>
      <w:r>
        <w:rPr>
          <w:color w:val="111827"/>
        </w:rPr>
        <w:t xml:space="preserve"> frontend and backend developers, a data engineer, a DevOps engineer, and a product/tech lead, at an annual blended cost of $800K–$1.6M. Ongoing maintenance requires 3–4 engineers at $400K–$800K annually.</w:t>
      </w:r>
    </w:p>
    <w:p w14:paraId="0AC2A4D3" w14:textId="77777777" w:rsidR="00CF6883" w:rsidRDefault="00000000">
      <w:pPr>
        <w:spacing w:before="80" w:after="120"/>
      </w:pPr>
      <w:r>
        <w:rPr>
          <w:color w:val="111827"/>
        </w:rPr>
        <w:t>For context, comparable SaaS alternatives (Tableau Server Enterprise + Confluence + custom integration work) typically run $200–$500 per user per year, plus significant analyst labor costs. At 100 users, that is $20,000–$50,000 in licensing alone—before any custom development. This platform eliminates recurring per-seat costs while delivering capabilities no off-the-shelf tool provides.</w:t>
      </w:r>
    </w:p>
    <w:p w14:paraId="6839EEDB" w14:textId="77777777" w:rsidR="00CF6883" w:rsidRDefault="00CF6883">
      <w:pPr>
        <w:spacing w:after="120"/>
      </w:pPr>
    </w:p>
    <w:p w14:paraId="118D3299" w14:textId="77777777" w:rsidR="00CF6883" w:rsidRDefault="00000000">
      <w:pPr>
        <w:pStyle w:val="Heading1"/>
      </w:pPr>
      <w:r>
        <w:t>6. Competitive Analysis</w:t>
      </w:r>
    </w:p>
    <w:p w14:paraId="70DACA15" w14:textId="77777777" w:rsidR="00CF6883" w:rsidRDefault="00000000">
      <w:pPr>
        <w:spacing w:before="80" w:after="120"/>
      </w:pPr>
      <w:r>
        <w:rPr>
          <w:color w:val="111827"/>
        </w:rPr>
        <w:t>The platform occupies a unique position in the analytics and business intelligence landscape. No existing tool combines live dashboards, persistent structured commentary, and institutional decision memory in a single integrated system.</w:t>
      </w:r>
    </w:p>
    <w:p w14:paraId="148771CE" w14:textId="77777777" w:rsidR="00CF6883" w:rsidRDefault="00CF68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899"/>
        <w:gridCol w:w="1249"/>
        <w:gridCol w:w="1367"/>
        <w:gridCol w:w="1238"/>
        <w:gridCol w:w="1419"/>
      </w:tblGrid>
      <w:tr w:rsidR="00CF6883" w14:paraId="2A8D35A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2B25AE26" w14:textId="77777777" w:rsidR="00CF6883" w:rsidRDefault="00000000">
            <w:pPr>
              <w:jc w:val="center"/>
            </w:pPr>
            <w:r>
              <w:rPr>
                <w:b/>
                <w:bCs/>
                <w:color w:val="FFFFFF"/>
                <w:sz w:val="16"/>
                <w:szCs w:val="16"/>
              </w:rPr>
              <w:t>Capability</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5F96B820" w14:textId="77777777" w:rsidR="00CF6883" w:rsidRDefault="00000000">
            <w:pPr>
              <w:jc w:val="center"/>
            </w:pPr>
            <w:r>
              <w:rPr>
                <w:b/>
                <w:bCs/>
                <w:color w:val="FFFFFF"/>
                <w:sz w:val="16"/>
                <w:szCs w:val="16"/>
              </w:rPr>
              <w:t>Tableau / Power BI</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3422990A" w14:textId="77777777" w:rsidR="00CF6883" w:rsidRDefault="00000000">
            <w:pPr>
              <w:jc w:val="center"/>
            </w:pPr>
            <w:r>
              <w:rPr>
                <w:b/>
                <w:bCs/>
                <w:color w:val="FFFFFF"/>
                <w:sz w:val="16"/>
                <w:szCs w:val="16"/>
              </w:rPr>
              <w:t>PowerPoint</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2E55E050" w14:textId="77777777" w:rsidR="00CF6883" w:rsidRDefault="00000000">
            <w:pPr>
              <w:jc w:val="center"/>
            </w:pPr>
            <w:r>
              <w:rPr>
                <w:b/>
                <w:bCs/>
                <w:color w:val="FFFFFF"/>
                <w:sz w:val="16"/>
                <w:szCs w:val="16"/>
              </w:rPr>
              <w:t>Slack / Email</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2F8B2213" w14:textId="77777777" w:rsidR="00CF6883" w:rsidRDefault="00000000">
            <w:pPr>
              <w:jc w:val="center"/>
            </w:pPr>
            <w:r>
              <w:rPr>
                <w:b/>
                <w:bCs/>
                <w:color w:val="FFFFFF"/>
                <w:sz w:val="16"/>
                <w:szCs w:val="16"/>
              </w:rPr>
              <w:t>Confluence</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07A6F18C" w14:textId="77777777" w:rsidR="00CF6883" w:rsidRDefault="00000000">
            <w:pPr>
              <w:jc w:val="center"/>
            </w:pPr>
            <w:r>
              <w:rPr>
                <w:b/>
                <w:bCs/>
                <w:color w:val="FFFFFF"/>
                <w:sz w:val="16"/>
                <w:szCs w:val="16"/>
              </w:rPr>
              <w:t>This Platform</w:t>
            </w:r>
          </w:p>
        </w:tc>
      </w:tr>
      <w:tr w:rsidR="00CF6883" w14:paraId="0374A93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064FADBF" w14:textId="77777777" w:rsidR="00CF6883" w:rsidRDefault="00000000">
            <w:r>
              <w:rPr>
                <w:color w:val="111827"/>
                <w:sz w:val="16"/>
                <w:szCs w:val="16"/>
              </w:rPr>
              <w:t>Live data visualization</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39C931B5" w14:textId="77777777" w:rsidR="00CF6883" w:rsidRDefault="00000000">
            <w:pPr>
              <w:jc w:val="center"/>
            </w:pPr>
            <w:r>
              <w:rPr>
                <w:color w:val="16A34A"/>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7684C4DE"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E8169DD"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5C72ECF"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655B87C6" w14:textId="77777777" w:rsidR="00CF6883" w:rsidRDefault="00000000">
            <w:pPr>
              <w:jc w:val="center"/>
            </w:pPr>
            <w:r>
              <w:rPr>
                <w:b/>
                <w:bCs/>
                <w:color w:val="16A34A"/>
                <w:sz w:val="16"/>
                <w:szCs w:val="16"/>
              </w:rPr>
              <w:t>✓</w:t>
            </w:r>
          </w:p>
        </w:tc>
      </w:tr>
      <w:tr w:rsidR="00CF6883" w14:paraId="20A30D8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D8BBD14" w14:textId="77777777" w:rsidR="00CF6883" w:rsidRDefault="00000000">
            <w:r>
              <w:rPr>
                <w:color w:val="111827"/>
                <w:sz w:val="16"/>
                <w:szCs w:val="16"/>
              </w:rPr>
              <w:lastRenderedPageBreak/>
              <w:t>Dynamic filtering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4E180E7" w14:textId="77777777" w:rsidR="00CF6883" w:rsidRDefault="00000000">
            <w:pPr>
              <w:jc w:val="center"/>
            </w:pPr>
            <w:r>
              <w:rPr>
                <w:color w:val="16A34A"/>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A1B198D"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CB004D3"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7B5DAE2"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69AEDD7" w14:textId="77777777" w:rsidR="00CF6883" w:rsidRDefault="00000000">
            <w:pPr>
              <w:jc w:val="center"/>
            </w:pPr>
            <w:r>
              <w:rPr>
                <w:b/>
                <w:bCs/>
                <w:color w:val="16A34A"/>
                <w:sz w:val="16"/>
                <w:szCs w:val="16"/>
              </w:rPr>
              <w:t>✓</w:t>
            </w:r>
          </w:p>
        </w:tc>
      </w:tr>
      <w:tr w:rsidR="00CF6883" w14:paraId="6182EA7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A49AA6A" w14:textId="77777777" w:rsidR="00CF6883" w:rsidRDefault="00000000">
            <w:r>
              <w:rPr>
                <w:color w:val="111827"/>
                <w:sz w:val="16"/>
                <w:szCs w:val="16"/>
              </w:rPr>
              <w:t>Structured commentary</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671B5FD9"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03902A4" w14:textId="77777777" w:rsidR="00CF6883" w:rsidRDefault="00000000">
            <w:pPr>
              <w:jc w:val="center"/>
            </w:pPr>
            <w:r>
              <w:rPr>
                <w:color w:val="D97706"/>
                <w:sz w:val="16"/>
                <w:szCs w:val="16"/>
              </w:rPr>
              <w:t>Partial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46271C41" w14:textId="77777777" w:rsidR="00CF6883" w:rsidRDefault="00000000">
            <w:pPr>
              <w:jc w:val="center"/>
            </w:pPr>
            <w:r>
              <w:rPr>
                <w:color w:val="D97706"/>
                <w:sz w:val="16"/>
                <w:szCs w:val="16"/>
              </w:rPr>
              <w:t>Partial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6573B8CF" w14:textId="77777777" w:rsidR="00CF6883" w:rsidRDefault="00000000">
            <w:pPr>
              <w:jc w:val="center"/>
            </w:pPr>
            <w:r>
              <w:rPr>
                <w:color w:val="D97706"/>
                <w:sz w:val="16"/>
                <w:szCs w:val="16"/>
              </w:rPr>
              <w:t>Partial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385DD2E" w14:textId="77777777" w:rsidR="00CF6883" w:rsidRDefault="00000000">
            <w:pPr>
              <w:jc w:val="center"/>
            </w:pPr>
            <w:r>
              <w:rPr>
                <w:b/>
                <w:bCs/>
                <w:color w:val="16A34A"/>
                <w:sz w:val="16"/>
                <w:szCs w:val="16"/>
              </w:rPr>
              <w:t>✓</w:t>
            </w:r>
          </w:p>
        </w:tc>
      </w:tr>
      <w:tr w:rsidR="00CF6883" w14:paraId="6763105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66A3012" w14:textId="77777777" w:rsidR="00CF6883" w:rsidRDefault="00000000">
            <w:r>
              <w:rPr>
                <w:color w:val="111827"/>
                <w:sz w:val="16"/>
                <w:szCs w:val="16"/>
              </w:rPr>
              <w:t>Decision tracking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2C31600"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12FFAC1"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8B3A883"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F5480BA"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7DB6949" w14:textId="77777777" w:rsidR="00CF6883" w:rsidRDefault="00000000">
            <w:pPr>
              <w:jc w:val="center"/>
            </w:pPr>
            <w:r>
              <w:rPr>
                <w:b/>
                <w:bCs/>
                <w:color w:val="16A34A"/>
                <w:sz w:val="16"/>
                <w:szCs w:val="16"/>
              </w:rPr>
              <w:t>✓</w:t>
            </w:r>
          </w:p>
        </w:tc>
      </w:tr>
      <w:tr w:rsidR="00CF6883" w14:paraId="49E229D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E763530" w14:textId="77777777" w:rsidR="00CF6883" w:rsidRDefault="00000000">
            <w:r>
              <w:rPr>
                <w:color w:val="111827"/>
                <w:sz w:val="16"/>
                <w:szCs w:val="16"/>
              </w:rPr>
              <w:t>Persistent history</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77E367FF"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6A19A19D"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7459E72A"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38061C03" w14:textId="77777777" w:rsidR="00CF6883" w:rsidRDefault="00000000">
            <w:pPr>
              <w:jc w:val="center"/>
            </w:pPr>
            <w:r>
              <w:rPr>
                <w:color w:val="D97706"/>
                <w:sz w:val="16"/>
                <w:szCs w:val="16"/>
              </w:rPr>
              <w:t>Partial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D6D6C57" w14:textId="77777777" w:rsidR="00CF6883" w:rsidRDefault="00000000">
            <w:pPr>
              <w:jc w:val="center"/>
            </w:pPr>
            <w:r>
              <w:rPr>
                <w:b/>
                <w:bCs/>
                <w:color w:val="16A34A"/>
                <w:sz w:val="16"/>
                <w:szCs w:val="16"/>
              </w:rPr>
              <w:t>✓</w:t>
            </w:r>
          </w:p>
        </w:tc>
      </w:tr>
      <w:tr w:rsidR="00CF6883" w14:paraId="4A40A80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46CB81D" w14:textId="77777777" w:rsidR="00CF6883" w:rsidRDefault="00000000">
            <w:r>
              <w:rPr>
                <w:color w:val="111827"/>
                <w:sz w:val="16"/>
                <w:szCs w:val="16"/>
              </w:rPr>
              <w:t>Searchable insights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9DFE62F"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D8E7502"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D2BC90F"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3CD1DB0" w14:textId="77777777" w:rsidR="00CF6883" w:rsidRDefault="00000000">
            <w:pPr>
              <w:jc w:val="center"/>
            </w:pPr>
            <w:r>
              <w:rPr>
                <w:color w:val="16A34A"/>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EF8CF97" w14:textId="77777777" w:rsidR="00CF6883" w:rsidRDefault="00000000">
            <w:pPr>
              <w:jc w:val="center"/>
            </w:pPr>
            <w:r>
              <w:rPr>
                <w:b/>
                <w:bCs/>
                <w:color w:val="16A34A"/>
                <w:sz w:val="16"/>
                <w:szCs w:val="16"/>
              </w:rPr>
              <w:t>✓</w:t>
            </w:r>
          </w:p>
        </w:tc>
      </w:tr>
      <w:tr w:rsidR="00CF6883" w14:paraId="793104D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D79E12B" w14:textId="77777777" w:rsidR="00CF6883" w:rsidRDefault="00000000">
            <w:r>
              <w:rPr>
                <w:color w:val="111827"/>
                <w:sz w:val="16"/>
                <w:szCs w:val="16"/>
              </w:rPr>
              <w:t>Audit / governance trail</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37BFE7F1"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831E0AA"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0C84CAFA"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D6B9DE7"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049592E5" w14:textId="77777777" w:rsidR="00CF6883" w:rsidRDefault="00000000">
            <w:pPr>
              <w:jc w:val="center"/>
            </w:pPr>
            <w:r>
              <w:rPr>
                <w:b/>
                <w:bCs/>
                <w:color w:val="16A34A"/>
                <w:sz w:val="16"/>
                <w:szCs w:val="16"/>
              </w:rPr>
              <w:t>✓</w:t>
            </w:r>
          </w:p>
        </w:tc>
      </w:tr>
      <w:tr w:rsidR="00CF6883" w14:paraId="74A4564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893F8BC" w14:textId="77777777" w:rsidR="00CF6883" w:rsidRDefault="00000000">
            <w:r>
              <w:rPr>
                <w:color w:val="111827"/>
                <w:sz w:val="16"/>
                <w:szCs w:val="16"/>
              </w:rPr>
              <w:t>Single platform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FBA2089" w14:textId="77777777" w:rsidR="00CF6883" w:rsidRDefault="00000000">
            <w:pPr>
              <w:jc w:val="center"/>
            </w:pPr>
            <w:r>
              <w:rPr>
                <w:color w:val="D97706"/>
                <w:sz w:val="16"/>
                <w:szCs w:val="16"/>
              </w:rPr>
              <w:t>Partial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27EF23F"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B2049DC"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0BE30D8" w14:textId="77777777" w:rsidR="00CF6883" w:rsidRDefault="00000000">
            <w:pPr>
              <w:jc w:val="center"/>
            </w:pPr>
            <w:r>
              <w:rPr>
                <w:color w:val="DC2626"/>
                <w:sz w:val="16"/>
                <w:szCs w:val="16"/>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B64C9F3" w14:textId="77777777" w:rsidR="00CF6883" w:rsidRDefault="00000000">
            <w:pPr>
              <w:jc w:val="center"/>
            </w:pPr>
            <w:r>
              <w:rPr>
                <w:b/>
                <w:bCs/>
                <w:color w:val="16A34A"/>
                <w:sz w:val="16"/>
                <w:szCs w:val="16"/>
              </w:rPr>
              <w:t>✓</w:t>
            </w:r>
          </w:p>
        </w:tc>
      </w:tr>
    </w:tbl>
    <w:p w14:paraId="5F8FBECF" w14:textId="77777777" w:rsidR="00CF6883" w:rsidRDefault="00CF6883">
      <w:pPr>
        <w:spacing w:after="120"/>
      </w:pPr>
    </w:p>
    <w:p w14:paraId="2897E856" w14:textId="77777777" w:rsidR="00CF6883" w:rsidRDefault="00000000">
      <w:pPr>
        <w:spacing w:before="80" w:after="120"/>
      </w:pPr>
      <w:r>
        <w:rPr>
          <w:color w:val="111827"/>
        </w:rPr>
        <w:t xml:space="preserve">The key insight from this comparison: incumbent tools each solve one piece of the problem. Tableau shows the data. PowerPoint tells the story. Slack captures the reaction. Confluence stores the documentation. This platform replaces all four with a unified </w:t>
      </w:r>
      <w:proofErr w:type="gramStart"/>
      <w:r>
        <w:rPr>
          <w:color w:val="111827"/>
        </w:rPr>
        <w:t>system—eliminating</w:t>
      </w:r>
      <w:proofErr w:type="gramEnd"/>
      <w:r>
        <w:rPr>
          <w:color w:val="111827"/>
        </w:rPr>
        <w:t xml:space="preserve"> the integration cost and the inevitable gaps between them.</w:t>
      </w:r>
    </w:p>
    <w:p w14:paraId="66B8FC9D" w14:textId="77777777" w:rsidR="00CF6883" w:rsidRDefault="00CF6883">
      <w:pPr>
        <w:spacing w:after="120"/>
      </w:pPr>
    </w:p>
    <w:p w14:paraId="61BFF6EA" w14:textId="77777777" w:rsidR="00CF6883" w:rsidRDefault="00000000">
      <w:pPr>
        <w:pStyle w:val="Heading1"/>
      </w:pPr>
      <w:r>
        <w:t>7. Sample Case Studies</w:t>
      </w:r>
    </w:p>
    <w:p w14:paraId="1C704DB8" w14:textId="77777777" w:rsidR="00CF6883" w:rsidRDefault="00000000">
      <w:pPr>
        <w:pStyle w:val="Heading2"/>
      </w:pPr>
      <w:r>
        <w:t>Case Study 1: Reducing WBR Preparation Time by 60%</w:t>
      </w:r>
    </w:p>
    <w:p w14:paraId="1B62561A" w14:textId="77777777" w:rsidR="00CF6883" w:rsidRDefault="00000000">
      <w:pPr>
        <w:spacing w:before="80" w:after="120"/>
      </w:pPr>
      <w:r>
        <w:rPr>
          <w:color w:val="111827"/>
        </w:rPr>
        <w:t xml:space="preserve">A mid-market technology company with six business units was running Weekly Business Reviews that consumed an average of 32 </w:t>
      </w:r>
      <w:proofErr w:type="gramStart"/>
      <w:r>
        <w:rPr>
          <w:color w:val="111827"/>
        </w:rPr>
        <w:t>analyst-hours</w:t>
      </w:r>
      <w:proofErr w:type="gramEnd"/>
      <w:r>
        <w:rPr>
          <w:color w:val="111827"/>
        </w:rPr>
        <w:t xml:space="preserve"> per cycle. Each department prepared its own deck, summarized its own metrics, and delivered its own narrative—with no shared baseline and significant duplication.</w:t>
      </w:r>
    </w:p>
    <w:p w14:paraId="268DD726" w14:textId="77777777" w:rsidR="00CF6883" w:rsidRDefault="00000000">
      <w:pPr>
        <w:spacing w:before="80" w:after="120"/>
      </w:pPr>
      <w:r>
        <w:rPr>
          <w:color w:val="111827"/>
        </w:rPr>
        <w:t xml:space="preserve">After deploying the platform, analysts shifted from </w:t>
      </w:r>
      <w:proofErr w:type="gramStart"/>
      <w:r>
        <w:rPr>
          <w:color w:val="111827"/>
        </w:rPr>
        <w:t>deck-building</w:t>
      </w:r>
      <w:proofErr w:type="gramEnd"/>
      <w:r>
        <w:rPr>
          <w:color w:val="111827"/>
        </w:rPr>
        <w:t xml:space="preserve"> to insight-authoring. The live dashboard replaced the slide prep cycle. Commentary from the prior week loaded automatically, giving reviewers immediate context. Decision tags (Risk, Action, Finding) replaced the informal Slack thread that had previously followed each WBR.</w:t>
      </w:r>
    </w:p>
    <w:p w14:paraId="2A838D05" w14:textId="77777777" w:rsidR="00CF6883" w:rsidRDefault="00000000">
      <w:pPr>
        <w:spacing w:before="80" w:after="120"/>
      </w:pPr>
      <w:r>
        <w:rPr>
          <w:color w:val="111827"/>
        </w:rPr>
        <w:t>Outcome: Preparation time dropped from 32 hours to 12 hours per cycle. Executives reported higher confidence in cross-departmental data consistency. Three risks flagged in Month 1 were traced and resolved using the platform's decision history in Month 4—a traceability that would not have been possible under the previous workflow.</w:t>
      </w:r>
    </w:p>
    <w:p w14:paraId="13C5C5D9" w14:textId="77777777" w:rsidR="00CF6883" w:rsidRDefault="00CF6883">
      <w:pPr>
        <w:spacing w:after="120"/>
      </w:pPr>
    </w:p>
    <w:p w14:paraId="2543BED2" w14:textId="77777777" w:rsidR="00CF6883" w:rsidRDefault="00000000">
      <w:pPr>
        <w:pStyle w:val="Heading2"/>
      </w:pPr>
      <w:r>
        <w:t>Case Study 2: Audit Readiness at an Enterprise Financial Services Firm</w:t>
      </w:r>
    </w:p>
    <w:p w14:paraId="32FC3F7A" w14:textId="77777777" w:rsidR="00CF6883" w:rsidRDefault="00000000">
      <w:pPr>
        <w:spacing w:before="80" w:after="120"/>
      </w:pPr>
      <w:r>
        <w:rPr>
          <w:color w:val="111827"/>
        </w:rPr>
        <w:t>A financial services firm with 800 employees faced a regulatory audit requiring evidence of risk identification and escalation processes over an 18-month period. Under their previous system, this would have required collecting emails, meeting notes, and slide decks from dozens of stakeholders.</w:t>
      </w:r>
    </w:p>
    <w:p w14:paraId="121C0636" w14:textId="77777777" w:rsidR="00CF6883" w:rsidRDefault="00000000">
      <w:pPr>
        <w:spacing w:before="80" w:after="120"/>
      </w:pPr>
      <w:r>
        <w:rPr>
          <w:color w:val="111827"/>
        </w:rPr>
        <w:t xml:space="preserve">Because the firm had been running the Decision Layer Platform for 14 months, the audit team was able to generate a complete, </w:t>
      </w:r>
      <w:proofErr w:type="gramStart"/>
      <w:r>
        <w:rPr>
          <w:color w:val="111827"/>
        </w:rPr>
        <w:t>timestamped</w:t>
      </w:r>
      <w:proofErr w:type="gramEnd"/>
      <w:r>
        <w:rPr>
          <w:color w:val="111827"/>
        </w:rPr>
        <w:t xml:space="preserve"> history of every Risk tag logged by any user, along with the associated dashboard state, the user who logged it, and any follow-up Actions that were recorded. The audit documentation package was assembled in two days instead of the estimated three weeks.</w:t>
      </w:r>
    </w:p>
    <w:p w14:paraId="582705C1" w14:textId="77777777" w:rsidR="00CF6883" w:rsidRDefault="00000000">
      <w:pPr>
        <w:spacing w:before="80" w:after="120"/>
      </w:pPr>
      <w:r>
        <w:rPr>
          <w:color w:val="111827"/>
        </w:rPr>
        <w:t>Outcome: Full audit documentation delivered in 2 days. Zero gaps in risk escalation trail. Compliance team reported the system as a material improvement to governance posture.</w:t>
      </w:r>
    </w:p>
    <w:p w14:paraId="6C14A988" w14:textId="77777777" w:rsidR="00CF6883" w:rsidRDefault="00CF6883">
      <w:pPr>
        <w:spacing w:after="120"/>
      </w:pPr>
    </w:p>
    <w:p w14:paraId="6FB8C03D" w14:textId="77777777" w:rsidR="00CF6883" w:rsidRDefault="00000000">
      <w:pPr>
        <w:pStyle w:val="Heading2"/>
      </w:pPr>
      <w:r>
        <w:t>Case Study 3: Executive Onboarding at a Growth-Stage Company</w:t>
      </w:r>
    </w:p>
    <w:p w14:paraId="1DB3CB7D" w14:textId="77777777" w:rsidR="00CF6883" w:rsidRDefault="00000000">
      <w:pPr>
        <w:spacing w:before="80" w:after="120"/>
      </w:pPr>
      <w:r>
        <w:rPr>
          <w:color w:val="111827"/>
        </w:rPr>
        <w:t xml:space="preserve">A Series C company hired a new CFO who needed to develop a comprehensive view of the </w:t>
      </w:r>
      <w:proofErr w:type="gramStart"/>
      <w:r>
        <w:rPr>
          <w:color w:val="111827"/>
        </w:rPr>
        <w:t>business's</w:t>
      </w:r>
      <w:proofErr w:type="gramEnd"/>
      <w:r>
        <w:rPr>
          <w:color w:val="111827"/>
        </w:rPr>
        <w:t xml:space="preserve"> performance trajectory and historical decision-making. In prior periods, this onboarding process involved weeks of meetings with finance and operations leaders, reviewing slide archives, and piecing together context from multiple sources.</w:t>
      </w:r>
    </w:p>
    <w:p w14:paraId="15924079" w14:textId="77777777" w:rsidR="00CF6883" w:rsidRDefault="00000000">
      <w:pPr>
        <w:spacing w:before="80" w:after="120"/>
      </w:pPr>
      <w:r>
        <w:rPr>
          <w:color w:val="111827"/>
        </w:rPr>
        <w:t>The CFO used the Decision Layer Platform to review 12 months of business reviews, including all findings, risks, and actions logged by the prior leadership team. Cross-referencing the commentary with live trend data provided immediate context on why certain cost structures were in place, which risks had been actively monitored, and which opportunities had been deferred.</w:t>
      </w:r>
    </w:p>
    <w:p w14:paraId="26C00F11" w14:textId="77777777" w:rsidR="00CF6883" w:rsidRDefault="00000000">
      <w:pPr>
        <w:spacing w:before="80" w:after="120"/>
      </w:pPr>
      <w:r>
        <w:rPr>
          <w:color w:val="111827"/>
        </w:rPr>
        <w:t>Outcome: CFO onboarding time reduced from 6 weeks to 3 weeks. First MBR contribution delivered in Week 2 of tenure. The new CFO described the platform as 'the clearest business history I have ever had access to as an incoming executive.'</w:t>
      </w:r>
    </w:p>
    <w:p w14:paraId="310EBFFD" w14:textId="77777777" w:rsidR="00CF6883" w:rsidRDefault="00CF6883">
      <w:pPr>
        <w:spacing w:after="120"/>
      </w:pPr>
    </w:p>
    <w:p w14:paraId="1DE82B52" w14:textId="77777777" w:rsidR="00CF6883" w:rsidRDefault="00000000">
      <w:pPr>
        <w:pStyle w:val="Heading1"/>
      </w:pPr>
      <w:r>
        <w:t>8. Conclusion</w:t>
      </w:r>
    </w:p>
    <w:p w14:paraId="6ED2BD88" w14:textId="77777777" w:rsidR="00CF6883" w:rsidRDefault="00000000">
      <w:pPr>
        <w:spacing w:before="80" w:after="120"/>
      </w:pPr>
      <w:r>
        <w:rPr>
          <w:color w:val="111827"/>
        </w:rPr>
        <w:t>The Integrated BI + Decision Layer Platform addresses a problem that has persisted at the intersection of data and management for decades: the gap between what the numbers show and what the organization learned. Traditional BI tools close half the loop. This platform closes both halves.</w:t>
      </w:r>
    </w:p>
    <w:p w14:paraId="25BDF4F5" w14:textId="77777777" w:rsidR="00CF6883" w:rsidRDefault="00000000">
      <w:pPr>
        <w:spacing w:before="80" w:after="120"/>
      </w:pPr>
      <w:r>
        <w:rPr>
          <w:color w:val="111827"/>
        </w:rPr>
        <w:t>The investment is real. Initial development requires a dedicated team and a meaningful budget. But the alternative—continuing to lose institutional memory, spending analyst hours on manual narrative reconstruction, and operating without a decision audit trail—carries its own cost, one that compounds over time and becomes most painful precisely when clarity matters most.</w:t>
      </w:r>
    </w:p>
    <w:p w14:paraId="036B19DF" w14:textId="77777777" w:rsidR="00CF6883" w:rsidRDefault="00000000">
      <w:pPr>
        <w:spacing w:before="80" w:after="120"/>
      </w:pPr>
      <w:r>
        <w:rPr>
          <w:color w:val="111827"/>
        </w:rPr>
        <w:t xml:space="preserve">This platform is not simply a better dashboard. It is a </w:t>
      </w:r>
      <w:proofErr w:type="gramStart"/>
      <w:r>
        <w:rPr>
          <w:color w:val="111827"/>
        </w:rPr>
        <w:t>decision infrastructure—a</w:t>
      </w:r>
      <w:proofErr w:type="gramEnd"/>
      <w:r>
        <w:rPr>
          <w:color w:val="111827"/>
        </w:rPr>
        <w:t xml:space="preserve"> system that makes the organization smarter with every review cycle because it remembers what previous ones learned.</w:t>
      </w:r>
    </w:p>
    <w:p w14:paraId="3ECC42B3" w14:textId="77777777" w:rsidR="00CF6883" w:rsidRDefault="00CF6883">
      <w:pPr>
        <w:spacing w:after="240"/>
      </w:pPr>
    </w:p>
    <w:p w14:paraId="3D2799D4" w14:textId="77777777" w:rsidR="00CF6883" w:rsidRDefault="00000000">
      <w:r>
        <w:br w:type="page"/>
      </w:r>
    </w:p>
    <w:p w14:paraId="33453AD3" w14:textId="77777777" w:rsidR="00CF6883" w:rsidRDefault="00000000">
      <w:pPr>
        <w:spacing w:after="200"/>
      </w:pPr>
      <w:r>
        <w:rPr>
          <w:b/>
          <w:bCs/>
          <w:color w:val="1E3A5F"/>
          <w:sz w:val="32"/>
          <w:szCs w:val="32"/>
        </w:rPr>
        <w:lastRenderedPageBreak/>
        <w:t>Appendix A — Detailed Cost Tables</w:t>
      </w:r>
    </w:p>
    <w:p w14:paraId="01EE7E35" w14:textId="77777777" w:rsidR="00CF6883" w:rsidRDefault="00CF6883">
      <w:pPr>
        <w:pBdr>
          <w:bottom w:val="single" w:sz="8" w:space="6" w:color="2196A6"/>
        </w:pBdr>
        <w:spacing w:after="400"/>
      </w:pPr>
    </w:p>
    <w:p w14:paraId="356C6AA8" w14:textId="77777777" w:rsidR="00CF6883" w:rsidRDefault="00000000">
      <w:pPr>
        <w:pStyle w:val="Heading2"/>
      </w:pPr>
      <w:r>
        <w:t>Full Infrastructure Cost Breakdown</w:t>
      </w:r>
    </w:p>
    <w:p w14:paraId="1B4479BD" w14:textId="77777777" w:rsidR="00CF6883" w:rsidRDefault="00CF68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862"/>
        <w:gridCol w:w="1311"/>
        <w:gridCol w:w="1792"/>
        <w:gridCol w:w="1163"/>
        <w:gridCol w:w="1537"/>
      </w:tblGrid>
      <w:tr w:rsidR="00CF6883" w14:paraId="42D035A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2CFF15D0" w14:textId="77777777" w:rsidR="00CF6883" w:rsidRDefault="00000000">
            <w:r>
              <w:rPr>
                <w:b/>
                <w:bCs/>
                <w:color w:val="FFFFFF"/>
                <w:sz w:val="15"/>
                <w:szCs w:val="15"/>
              </w:rPr>
              <w:t>Cost Category</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50F49159" w14:textId="77777777" w:rsidR="00CF6883" w:rsidRDefault="00000000">
            <w:r>
              <w:rPr>
                <w:b/>
                <w:bCs/>
                <w:color w:val="FFFFFF"/>
                <w:sz w:val="15"/>
                <w:szCs w:val="15"/>
              </w:rPr>
              <w:t>Small (10 users)/</w:t>
            </w:r>
            <w:proofErr w:type="spellStart"/>
            <w:r>
              <w:rPr>
                <w:b/>
                <w:bCs/>
                <w:color w:val="FFFFFF"/>
                <w:sz w:val="15"/>
                <w:szCs w:val="15"/>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5178D36E" w14:textId="77777777" w:rsidR="00CF6883" w:rsidRDefault="00000000">
            <w:r>
              <w:rPr>
                <w:b/>
                <w:bCs/>
                <w:color w:val="FFFFFF"/>
                <w:sz w:val="15"/>
                <w:szCs w:val="15"/>
              </w:rPr>
              <w:t>Small Annual</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23540378" w14:textId="77777777" w:rsidR="00CF6883" w:rsidRDefault="00000000">
            <w:r>
              <w:rPr>
                <w:b/>
                <w:bCs/>
                <w:color w:val="FFFFFF"/>
                <w:sz w:val="15"/>
                <w:szCs w:val="15"/>
              </w:rPr>
              <w:t>Mid (100 users)/</w:t>
            </w:r>
            <w:proofErr w:type="spellStart"/>
            <w:r>
              <w:rPr>
                <w:b/>
                <w:bCs/>
                <w:color w:val="FFFFFF"/>
                <w:sz w:val="15"/>
                <w:szCs w:val="15"/>
              </w:rPr>
              <w:t>mo</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6915EAA2" w14:textId="77777777" w:rsidR="00CF6883" w:rsidRDefault="00000000">
            <w:r>
              <w:rPr>
                <w:b/>
                <w:bCs/>
                <w:color w:val="FFFFFF"/>
                <w:sz w:val="15"/>
                <w:szCs w:val="15"/>
              </w:rPr>
              <w:t>Mid Annual</w:t>
            </w:r>
          </w:p>
        </w:tc>
        <w:tc>
          <w:tcPr>
            <w:tcW w:w="0" w:type="auto"/>
            <w:tcBorders>
              <w:top w:val="single" w:sz="1" w:space="0" w:color="DDDDDD"/>
              <w:left w:val="single" w:sz="1" w:space="0" w:color="DDDDDD"/>
              <w:bottom w:val="single" w:sz="1" w:space="0" w:color="DDDDDD"/>
              <w:right w:val="single" w:sz="1" w:space="0" w:color="DDDDDD"/>
            </w:tcBorders>
            <w:shd w:val="clear" w:color="auto" w:fill="1E3A5F"/>
            <w:tcMar>
              <w:top w:w="80" w:type="dxa"/>
              <w:left w:w="80" w:type="dxa"/>
              <w:bottom w:w="80" w:type="dxa"/>
              <w:right w:w="80" w:type="dxa"/>
            </w:tcMar>
          </w:tcPr>
          <w:p w14:paraId="08D7331B" w14:textId="77777777" w:rsidR="00CF6883" w:rsidRDefault="00000000">
            <w:r>
              <w:rPr>
                <w:b/>
                <w:bCs/>
                <w:color w:val="FFFFFF"/>
                <w:sz w:val="15"/>
                <w:szCs w:val="15"/>
              </w:rPr>
              <w:t>Notes</w:t>
            </w:r>
          </w:p>
        </w:tc>
      </w:tr>
      <w:tr w:rsidR="00CF6883" w14:paraId="589E837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48A70CE7" w14:textId="77777777" w:rsidR="00CF6883" w:rsidRDefault="00000000">
            <w:proofErr w:type="gramStart"/>
            <w:r>
              <w:rPr>
                <w:color w:val="111827"/>
                <w:sz w:val="15"/>
                <w:szCs w:val="15"/>
              </w:rPr>
              <w:t>Compute</w:t>
            </w:r>
            <w:proofErr w:type="gramEnd"/>
            <w:r>
              <w:rPr>
                <w:color w:val="111827"/>
                <w:sz w:val="15"/>
                <w:szCs w:val="15"/>
              </w:rPr>
              <w:t xml:space="preserve"> (ECS)</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4BA6CD76" w14:textId="77777777" w:rsidR="00CF6883" w:rsidRDefault="00000000">
            <w:r>
              <w:rPr>
                <w:color w:val="111827"/>
                <w:sz w:val="15"/>
                <w:szCs w:val="15"/>
              </w:rPr>
              <w:t>$150–$300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9251603" w14:textId="77777777" w:rsidR="00CF6883" w:rsidRDefault="00000000">
            <w:r>
              <w:rPr>
                <w:color w:val="111827"/>
                <w:sz w:val="15"/>
                <w:szCs w:val="15"/>
              </w:rPr>
              <w:t>$1.8K–$3.6K</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7ECA4B60" w14:textId="77777777" w:rsidR="00CF6883" w:rsidRDefault="00000000">
            <w:r>
              <w:rPr>
                <w:color w:val="111827"/>
                <w:sz w:val="15"/>
                <w:szCs w:val="15"/>
              </w:rPr>
              <w:t>$600–$1,500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31BA9D5C" w14:textId="77777777" w:rsidR="00CF6883" w:rsidRDefault="00000000">
            <w:r>
              <w:rPr>
                <w:color w:val="111827"/>
                <w:sz w:val="15"/>
                <w:szCs w:val="15"/>
              </w:rPr>
              <w:t>$7.2K–$18K</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5F339315" w14:textId="77777777" w:rsidR="00CF6883" w:rsidRDefault="00000000">
            <w:r>
              <w:rPr>
                <w:color w:val="111827"/>
                <w:sz w:val="15"/>
                <w:szCs w:val="15"/>
              </w:rPr>
              <w:t>Auto-scaling</w:t>
            </w:r>
          </w:p>
        </w:tc>
      </w:tr>
      <w:tr w:rsidR="00CF6883" w14:paraId="6D40067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4264937" w14:textId="77777777" w:rsidR="00CF6883" w:rsidRDefault="00000000">
            <w:r>
              <w:rPr>
                <w:color w:val="111827"/>
                <w:sz w:val="15"/>
                <w:szCs w:val="15"/>
              </w:rPr>
              <w:t>Storage (S3)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BD3ACC7" w14:textId="77777777" w:rsidR="00CF6883" w:rsidRDefault="00000000">
            <w:r>
              <w:rPr>
                <w:color w:val="111827"/>
                <w:sz w:val="15"/>
                <w:szCs w:val="15"/>
              </w:rPr>
              <w:t>$10–$50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2983A6A" w14:textId="77777777" w:rsidR="00CF6883" w:rsidRDefault="00000000">
            <w:r>
              <w:rPr>
                <w:color w:val="111827"/>
                <w:sz w:val="15"/>
                <w:szCs w:val="15"/>
              </w:rPr>
              <w:t>$120–$600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505D279" w14:textId="77777777" w:rsidR="00CF6883" w:rsidRDefault="00000000">
            <w:r>
              <w:rPr>
                <w:color w:val="111827"/>
                <w:sz w:val="15"/>
                <w:szCs w:val="15"/>
              </w:rPr>
              <w:t>$100–$500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B6816E4" w14:textId="77777777" w:rsidR="00CF6883" w:rsidRDefault="00000000">
            <w:r>
              <w:rPr>
                <w:color w:val="111827"/>
                <w:sz w:val="15"/>
                <w:szCs w:val="15"/>
              </w:rPr>
              <w:t>$1.2K–$6K</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34305BD" w14:textId="77777777" w:rsidR="00CF6883" w:rsidRDefault="00000000">
            <w:r>
              <w:rPr>
                <w:color w:val="111827"/>
                <w:sz w:val="15"/>
                <w:szCs w:val="15"/>
              </w:rPr>
              <w:t>Incl. logs</w:t>
            </w:r>
          </w:p>
        </w:tc>
      </w:tr>
      <w:tr w:rsidR="00CF6883" w14:paraId="423E8A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4C45D9BA" w14:textId="77777777" w:rsidR="00CF6883" w:rsidRDefault="00000000">
            <w:r>
              <w:rPr>
                <w:color w:val="111827"/>
                <w:sz w:val="15"/>
                <w:szCs w:val="15"/>
              </w:rPr>
              <w:t>Query (Athena)</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2EBE9933" w14:textId="77777777" w:rsidR="00CF6883" w:rsidRDefault="00000000">
            <w:r>
              <w:rPr>
                <w:color w:val="111827"/>
                <w:sz w:val="15"/>
                <w:szCs w:val="15"/>
              </w:rPr>
              <w:t>$50–$200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61081131" w14:textId="77777777" w:rsidR="00CF6883" w:rsidRDefault="00000000">
            <w:r>
              <w:rPr>
                <w:color w:val="111827"/>
                <w:sz w:val="15"/>
                <w:szCs w:val="15"/>
              </w:rPr>
              <w:t>$600–$2.4K</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0D887293" w14:textId="77777777" w:rsidR="00CF6883" w:rsidRDefault="00000000">
            <w:r>
              <w:rPr>
                <w:color w:val="111827"/>
                <w:sz w:val="15"/>
                <w:szCs w:val="15"/>
              </w:rPr>
              <w:t>$300–$1,000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46A028D9" w14:textId="77777777" w:rsidR="00CF6883" w:rsidRDefault="00000000">
            <w:r>
              <w:rPr>
                <w:color w:val="111827"/>
                <w:sz w:val="15"/>
                <w:szCs w:val="15"/>
              </w:rPr>
              <w:t>$3.6K–$12K</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70" w:type="dxa"/>
              <w:left w:w="80" w:type="dxa"/>
              <w:bottom w:w="70" w:type="dxa"/>
              <w:right w:w="80" w:type="dxa"/>
            </w:tcMar>
          </w:tcPr>
          <w:p w14:paraId="094BF68F" w14:textId="77777777" w:rsidR="00CF6883" w:rsidRDefault="00000000">
            <w:r>
              <w:rPr>
                <w:color w:val="111827"/>
                <w:sz w:val="15"/>
                <w:szCs w:val="15"/>
              </w:rPr>
              <w:t>Per-query pricing</w:t>
            </w:r>
          </w:p>
        </w:tc>
      </w:tr>
      <w:tr w:rsidR="00CF6883" w14:paraId="042243B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45D56BD" w14:textId="77777777" w:rsidR="00CF6883" w:rsidRDefault="00000000">
            <w:r>
              <w:rPr>
                <w:color w:val="111827"/>
                <w:sz w:val="15"/>
                <w:szCs w:val="15"/>
              </w:rPr>
              <w:t>Multi-env overhead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BD587F2" w14:textId="77777777" w:rsidR="00CF6883" w:rsidRDefault="00000000">
            <w:r>
              <w:rPr>
                <w:color w:val="111827"/>
                <w:sz w:val="15"/>
                <w:szCs w:val="15"/>
              </w:rPr>
              <w:t>1.25× compute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9CD2F5A" w14:textId="77777777" w:rsidR="00CF6883" w:rsidRDefault="00000000">
            <w:r>
              <w:rPr>
                <w:color w:val="111827"/>
                <w:sz w:val="15"/>
                <w:szCs w:val="15"/>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F9E3A68" w14:textId="77777777" w:rsidR="00CF6883" w:rsidRDefault="00000000">
            <w:r>
              <w:rPr>
                <w:color w:val="111827"/>
                <w:sz w:val="15"/>
                <w:szCs w:val="15"/>
              </w:rPr>
              <w:t>1.25× compute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4336FCA" w14:textId="77777777" w:rsidR="00CF6883" w:rsidRDefault="00000000">
            <w:r>
              <w:rPr>
                <w:color w:val="111827"/>
                <w:sz w:val="15"/>
                <w:szCs w:val="15"/>
              </w:rPr>
              <w: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4546137" w14:textId="77777777" w:rsidR="00CF6883" w:rsidRDefault="00000000">
            <w:proofErr w:type="spellStart"/>
            <w:r>
              <w:rPr>
                <w:color w:val="111827"/>
                <w:sz w:val="15"/>
                <w:szCs w:val="15"/>
              </w:rPr>
              <w:t>Dev+Stage</w:t>
            </w:r>
            <w:proofErr w:type="spellEnd"/>
          </w:p>
        </w:tc>
      </w:tr>
      <w:tr w:rsidR="00CF6883" w14:paraId="79F7EE2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318D6B73" w14:textId="77777777" w:rsidR="00CF6883" w:rsidRDefault="00000000">
            <w:r>
              <w:rPr>
                <w:b/>
                <w:bCs/>
                <w:color w:val="111827"/>
                <w:sz w:val="15"/>
                <w:szCs w:val="15"/>
              </w:rPr>
              <w:t>TOTAL</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195FE0B0" w14:textId="77777777" w:rsidR="00CF6883" w:rsidRDefault="00000000">
            <w:r>
              <w:rPr>
                <w:b/>
                <w:bCs/>
                <w:color w:val="111827"/>
                <w:sz w:val="15"/>
                <w:szCs w:val="15"/>
              </w:rPr>
              <w:t>$300–$800</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0E3B8579" w14:textId="77777777" w:rsidR="00CF6883" w:rsidRDefault="00000000">
            <w:r>
              <w:rPr>
                <w:b/>
                <w:bCs/>
                <w:color w:val="111827"/>
                <w:sz w:val="15"/>
                <w:szCs w:val="15"/>
              </w:rPr>
              <w:t>$4K–$10K</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1C7C3C04" w14:textId="77777777" w:rsidR="00CF6883" w:rsidRDefault="00000000">
            <w:r>
              <w:rPr>
                <w:b/>
                <w:bCs/>
                <w:color w:val="111827"/>
                <w:sz w:val="15"/>
                <w:szCs w:val="15"/>
              </w:rPr>
              <w:t>$1,500–$4,000</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65171CC0" w14:textId="77777777" w:rsidR="00CF6883" w:rsidRDefault="00000000">
            <w:r>
              <w:rPr>
                <w:b/>
                <w:bCs/>
                <w:color w:val="111827"/>
                <w:sz w:val="15"/>
                <w:szCs w:val="15"/>
              </w:rPr>
              <w:t>$18K–$48K</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70" w:type="dxa"/>
              <w:left w:w="80" w:type="dxa"/>
              <w:bottom w:w="70" w:type="dxa"/>
              <w:right w:w="80" w:type="dxa"/>
            </w:tcMar>
          </w:tcPr>
          <w:p w14:paraId="42B6CD8A" w14:textId="77777777" w:rsidR="00CF6883" w:rsidRDefault="00CF6883"/>
        </w:tc>
      </w:tr>
    </w:tbl>
    <w:p w14:paraId="3778A297" w14:textId="77777777" w:rsidR="00CF6883" w:rsidRDefault="00CF6883">
      <w:pPr>
        <w:spacing w:after="240"/>
      </w:pPr>
    </w:p>
    <w:p w14:paraId="2A0252E6" w14:textId="77777777" w:rsidR="00CF6883" w:rsidRDefault="00000000">
      <w:pPr>
        <w:pStyle w:val="Heading2"/>
      </w:pPr>
      <w:r>
        <w:t>Enterprise Scale (1,000+ Users)</w:t>
      </w:r>
    </w:p>
    <w:p w14:paraId="36330571" w14:textId="77777777" w:rsidR="00CF6883" w:rsidRDefault="00CF68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4"/>
        <w:gridCol w:w="2674"/>
        <w:gridCol w:w="2412"/>
      </w:tblGrid>
      <w:tr w:rsidR="00CF6883" w14:paraId="711CD00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2196A6"/>
            <w:tcMar>
              <w:top w:w="80" w:type="dxa"/>
              <w:left w:w="120" w:type="dxa"/>
              <w:bottom w:w="80" w:type="dxa"/>
              <w:right w:w="120" w:type="dxa"/>
            </w:tcMar>
          </w:tcPr>
          <w:p w14:paraId="5E648941" w14:textId="77777777" w:rsidR="00CF6883" w:rsidRDefault="00000000">
            <w:r>
              <w:rPr>
                <w:b/>
                <w:bCs/>
                <w:color w:val="FFFFFF"/>
                <w:sz w:val="18"/>
                <w:szCs w:val="18"/>
              </w:rPr>
              <w:t>Category</w:t>
            </w:r>
          </w:p>
        </w:tc>
        <w:tc>
          <w:tcPr>
            <w:tcW w:w="0" w:type="auto"/>
            <w:tcBorders>
              <w:top w:val="single" w:sz="1" w:space="0" w:color="DDDDDD"/>
              <w:left w:val="single" w:sz="1" w:space="0" w:color="DDDDDD"/>
              <w:bottom w:val="single" w:sz="1" w:space="0" w:color="DDDDDD"/>
              <w:right w:val="single" w:sz="1" w:space="0" w:color="DDDDDD"/>
            </w:tcBorders>
            <w:shd w:val="clear" w:color="auto" w:fill="2196A6"/>
            <w:tcMar>
              <w:top w:w="80" w:type="dxa"/>
              <w:left w:w="120" w:type="dxa"/>
              <w:bottom w:w="80" w:type="dxa"/>
              <w:right w:w="120" w:type="dxa"/>
            </w:tcMar>
          </w:tcPr>
          <w:p w14:paraId="51F26E36" w14:textId="77777777" w:rsidR="00CF6883" w:rsidRDefault="00000000">
            <w:r>
              <w:rPr>
                <w:b/>
                <w:bCs/>
                <w:color w:val="FFFFFF"/>
                <w:sz w:val="18"/>
                <w:szCs w:val="18"/>
              </w:rPr>
              <w:t>Monthly</w:t>
            </w:r>
          </w:p>
        </w:tc>
        <w:tc>
          <w:tcPr>
            <w:tcW w:w="0" w:type="auto"/>
            <w:tcBorders>
              <w:top w:val="single" w:sz="1" w:space="0" w:color="DDDDDD"/>
              <w:left w:val="single" w:sz="1" w:space="0" w:color="DDDDDD"/>
              <w:bottom w:val="single" w:sz="1" w:space="0" w:color="DDDDDD"/>
              <w:right w:val="single" w:sz="1" w:space="0" w:color="DDDDDD"/>
            </w:tcBorders>
            <w:shd w:val="clear" w:color="auto" w:fill="2196A6"/>
            <w:tcMar>
              <w:top w:w="80" w:type="dxa"/>
              <w:left w:w="120" w:type="dxa"/>
              <w:bottom w:w="80" w:type="dxa"/>
              <w:right w:w="120" w:type="dxa"/>
            </w:tcMar>
          </w:tcPr>
          <w:p w14:paraId="5C7AE129" w14:textId="77777777" w:rsidR="00CF6883" w:rsidRDefault="00000000">
            <w:r>
              <w:rPr>
                <w:b/>
                <w:bCs/>
                <w:color w:val="FFFFFF"/>
                <w:sz w:val="18"/>
                <w:szCs w:val="18"/>
              </w:rPr>
              <w:t>Annual</w:t>
            </w:r>
          </w:p>
        </w:tc>
      </w:tr>
      <w:tr w:rsidR="00CF6883" w14:paraId="705F7DF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965E9EB" w14:textId="77777777" w:rsidR="00CF6883" w:rsidRDefault="00000000">
            <w:r>
              <w:rPr>
                <w:color w:val="111827"/>
                <w:sz w:val="18"/>
                <w:szCs w:val="18"/>
              </w:rPr>
              <w:t>Infrastructure &amp; Compute</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55CBD7ED" w14:textId="77777777" w:rsidR="00CF6883" w:rsidRDefault="00000000">
            <w:r>
              <w:rPr>
                <w:color w:val="111827"/>
                <w:sz w:val="18"/>
                <w:szCs w:val="18"/>
              </w:rPr>
              <w:t>$8,000 – $25,000+</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08278D2C" w14:textId="77777777" w:rsidR="00CF6883" w:rsidRDefault="00000000">
            <w:r>
              <w:rPr>
                <w:color w:val="111827"/>
                <w:sz w:val="18"/>
                <w:szCs w:val="18"/>
              </w:rPr>
              <w:t>$96K – $300K+</w:t>
            </w:r>
          </w:p>
        </w:tc>
      </w:tr>
      <w:tr w:rsidR="00CF6883" w14:paraId="53F825D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F5FCB" w14:textId="77777777" w:rsidR="00CF6883" w:rsidRDefault="00000000">
            <w:r>
              <w:rPr>
                <w:color w:val="111827"/>
                <w:sz w:val="18"/>
                <w:szCs w:val="18"/>
              </w:rPr>
              <w:t>Storage (data + history + logs)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BAAF1C" w14:textId="77777777" w:rsidR="00CF6883" w:rsidRDefault="00000000">
            <w:r>
              <w:rPr>
                <w:color w:val="111827"/>
                <w:sz w:val="18"/>
                <w:szCs w:val="18"/>
              </w:rPr>
              <w:t>$500 – $3,000</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DCA023" w14:textId="77777777" w:rsidR="00CF6883" w:rsidRDefault="00000000">
            <w:r>
              <w:rPr>
                <w:color w:val="111827"/>
                <w:sz w:val="18"/>
                <w:szCs w:val="18"/>
              </w:rPr>
              <w:t>$6K – $36K</w:t>
            </w:r>
          </w:p>
        </w:tc>
      </w:tr>
      <w:tr w:rsidR="00CF6883" w14:paraId="3C6C2A4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1CFD196" w14:textId="77777777" w:rsidR="00CF6883" w:rsidRDefault="00000000">
            <w:r>
              <w:rPr>
                <w:color w:val="111827"/>
                <w:sz w:val="18"/>
                <w:szCs w:val="18"/>
              </w:rPr>
              <w:t>Ongoing Engineering (3–4 FTE)</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4CA861B3" w14:textId="77777777" w:rsidR="00CF6883" w:rsidRDefault="00000000">
            <w:r>
              <w:rPr>
                <w:color w:val="111827"/>
                <w:sz w:val="18"/>
                <w:szCs w:val="18"/>
              </w:rPr>
              <w:t>~$33K – $67K</w:t>
            </w:r>
          </w:p>
        </w:tc>
        <w:tc>
          <w:tcPr>
            <w:tcW w:w="0" w:type="auto"/>
            <w:tcBorders>
              <w:top w:val="single" w:sz="1" w:space="0" w:color="DDDDDD"/>
              <w:left w:val="single" w:sz="1" w:space="0" w:color="DDDDDD"/>
              <w:bottom w:val="single" w:sz="1" w:space="0" w:color="DDDDDD"/>
              <w:right w:val="single" w:sz="1" w:space="0" w:color="DDDDDD"/>
            </w:tcBorders>
            <w:shd w:val="clear" w:color="auto" w:fill="EBF4F6"/>
            <w:tcMar>
              <w:top w:w="80" w:type="dxa"/>
              <w:left w:w="120" w:type="dxa"/>
              <w:bottom w:w="80" w:type="dxa"/>
              <w:right w:w="120" w:type="dxa"/>
            </w:tcMar>
          </w:tcPr>
          <w:p w14:paraId="72B8F3C1" w14:textId="77777777" w:rsidR="00CF6883" w:rsidRDefault="00000000">
            <w:r>
              <w:rPr>
                <w:color w:val="111827"/>
                <w:sz w:val="18"/>
                <w:szCs w:val="18"/>
              </w:rPr>
              <w:t>$400K – $800K</w:t>
            </w:r>
          </w:p>
        </w:tc>
      </w:tr>
      <w:tr w:rsidR="00CF6883" w14:paraId="0C829F9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1C9DABE6" w14:textId="77777777" w:rsidR="00CF6883" w:rsidRDefault="00000000">
            <w:r>
              <w:rPr>
                <w:b/>
                <w:bCs/>
                <w:color w:val="111827"/>
                <w:sz w:val="18"/>
                <w:szCs w:val="18"/>
              </w:rPr>
              <w:t>TOTAL (Infra + Maintenance)</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67D85771" w14:textId="77777777" w:rsidR="00CF6883" w:rsidRDefault="00000000">
            <w:r>
              <w:rPr>
                <w:b/>
                <w:bCs/>
                <w:color w:val="111827"/>
                <w:sz w:val="18"/>
                <w:szCs w:val="18"/>
              </w:rPr>
              <w:t>$41K – $95K+</w:t>
            </w:r>
          </w:p>
        </w:tc>
        <w:tc>
          <w:tcPr>
            <w:tcW w:w="0" w:type="auto"/>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719F6F6D" w14:textId="77777777" w:rsidR="00CF6883" w:rsidRDefault="00000000">
            <w:r>
              <w:rPr>
                <w:b/>
                <w:bCs/>
                <w:color w:val="111827"/>
                <w:sz w:val="18"/>
                <w:szCs w:val="18"/>
              </w:rPr>
              <w:t>$500K – $1.1M+</w:t>
            </w:r>
          </w:p>
        </w:tc>
      </w:tr>
    </w:tbl>
    <w:p w14:paraId="0A31020E" w14:textId="77777777" w:rsidR="00CF6883" w:rsidRDefault="00CF6883">
      <w:pPr>
        <w:spacing w:after="240"/>
      </w:pPr>
    </w:p>
    <w:p w14:paraId="15288E48" w14:textId="77777777" w:rsidR="00CF6883" w:rsidRDefault="00000000">
      <w:r>
        <w:br w:type="page"/>
      </w:r>
    </w:p>
    <w:p w14:paraId="4FE726AA" w14:textId="77777777" w:rsidR="00CF6883" w:rsidRDefault="00000000">
      <w:pPr>
        <w:spacing w:after="200"/>
      </w:pPr>
      <w:r>
        <w:rPr>
          <w:b/>
          <w:bCs/>
          <w:color w:val="1E3A5F"/>
          <w:sz w:val="32"/>
          <w:szCs w:val="32"/>
        </w:rPr>
        <w:lastRenderedPageBreak/>
        <w:t>Appendix B — Architecture Diagram</w:t>
      </w:r>
    </w:p>
    <w:p w14:paraId="71C31EAC" w14:textId="77777777" w:rsidR="00CF6883" w:rsidRDefault="00CF6883">
      <w:pPr>
        <w:pBdr>
          <w:bottom w:val="single" w:sz="8" w:space="6" w:color="2196A6"/>
        </w:pBdr>
        <w:spacing w:after="400"/>
      </w:pPr>
    </w:p>
    <w:p w14:paraId="657CA14C" w14:textId="77777777" w:rsidR="00CF6883" w:rsidRDefault="00000000">
      <w:pPr>
        <w:spacing w:before="80" w:after="120"/>
      </w:pPr>
      <w:r>
        <w:rPr>
          <w:color w:val="111827"/>
        </w:rPr>
        <w:t xml:space="preserve">The following diagram illustrates the logical data and application flow across the platform's key </w:t>
      </w:r>
      <w:proofErr w:type="spellStart"/>
      <w:r>
        <w:rPr>
          <w:color w:val="111827"/>
        </w:rPr>
        <w:t>layers</w:t>
      </w:r>
      <w:proofErr w:type="spellEnd"/>
      <w:r>
        <w:rPr>
          <w:color w:val="111827"/>
        </w:rPr>
        <w:t>:</w:t>
      </w:r>
    </w:p>
    <w:p w14:paraId="7944C157" w14:textId="77777777" w:rsidR="00CF6883" w:rsidRDefault="00CF68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883" w14:paraId="4E3A7C99" w14:textId="77777777">
        <w:tblPrEx>
          <w:tblCellMar>
            <w:top w:w="0" w:type="dxa"/>
            <w:bottom w:w="0" w:type="dxa"/>
          </w:tblCellMar>
        </w:tblPrEx>
        <w:tc>
          <w:tcPr>
            <w:tcW w:w="0" w:type="auto"/>
            <w:tcBorders>
              <w:top w:val="single" w:sz="2" w:space="0" w:color="2196A6"/>
              <w:left w:val="single" w:sz="2" w:space="0" w:color="2196A6"/>
              <w:bottom w:val="single" w:sz="2" w:space="0" w:color="2196A6"/>
              <w:right w:val="single" w:sz="2" w:space="0" w:color="2196A6"/>
            </w:tcBorders>
            <w:shd w:val="clear" w:color="auto" w:fill="F8FAFC"/>
            <w:tcMar>
              <w:top w:w="400" w:type="dxa"/>
              <w:left w:w="600" w:type="dxa"/>
              <w:bottom w:w="400" w:type="dxa"/>
              <w:right w:w="600" w:type="dxa"/>
            </w:tcMar>
          </w:tcPr>
          <w:p w14:paraId="5DBA138D" w14:textId="77777777" w:rsidR="00CF6883" w:rsidRDefault="00000000">
            <w:pPr>
              <w:spacing w:after="200"/>
              <w:jc w:val="center"/>
            </w:pPr>
            <w:r>
              <w:rPr>
                <w:rFonts w:ascii="Courier New" w:eastAsia="Courier New" w:hAnsi="Courier New" w:cs="Courier New"/>
                <w:b/>
                <w:bCs/>
                <w:color w:val="1E3A5F"/>
                <w:sz w:val="18"/>
                <w:szCs w:val="18"/>
              </w:rPr>
              <w:t>PRESENTATION LAYER</w:t>
            </w:r>
          </w:p>
          <w:p w14:paraId="468CE642" w14:textId="77777777" w:rsidR="00CF6883" w:rsidRDefault="00000000">
            <w:pPr>
              <w:spacing w:after="60"/>
              <w:jc w:val="center"/>
            </w:pPr>
            <w:r>
              <w:rPr>
                <w:rFonts w:ascii="Courier New" w:eastAsia="Courier New" w:hAnsi="Courier New" w:cs="Courier New"/>
                <w:color w:val="2196A6"/>
                <w:sz w:val="16"/>
                <w:szCs w:val="16"/>
              </w:rPr>
              <w:t>┌─────────────────────────────────────────────────────────┐</w:t>
            </w:r>
          </w:p>
          <w:p w14:paraId="266A4A3E" w14:textId="77777777" w:rsidR="00CF6883" w:rsidRDefault="00000000">
            <w:pPr>
              <w:spacing w:after="60"/>
              <w:jc w:val="center"/>
            </w:pPr>
            <w:r>
              <w:rPr>
                <w:rFonts w:ascii="Courier New" w:eastAsia="Courier New" w:hAnsi="Courier New" w:cs="Courier New"/>
                <w:color w:val="111827"/>
                <w:sz w:val="16"/>
                <w:szCs w:val="16"/>
              </w:rPr>
              <w:t xml:space="preserve">│   </w:t>
            </w:r>
            <w:proofErr w:type="spellStart"/>
            <w:r>
              <w:rPr>
                <w:rFonts w:ascii="Courier New" w:eastAsia="Courier New" w:hAnsi="Courier New" w:cs="Courier New"/>
                <w:color w:val="111827"/>
                <w:sz w:val="16"/>
                <w:szCs w:val="16"/>
              </w:rPr>
              <w:t>Streamlit</w:t>
            </w:r>
            <w:proofErr w:type="spellEnd"/>
            <w:r>
              <w:rPr>
                <w:rFonts w:ascii="Courier New" w:eastAsia="Courier New" w:hAnsi="Courier New" w:cs="Courier New"/>
                <w:color w:val="111827"/>
                <w:sz w:val="16"/>
                <w:szCs w:val="16"/>
              </w:rPr>
              <w:t xml:space="preserve"> Application (ECS / </w:t>
            </w:r>
            <w:proofErr w:type="gramStart"/>
            <w:r>
              <w:rPr>
                <w:rFonts w:ascii="Courier New" w:eastAsia="Courier New" w:hAnsi="Courier New" w:cs="Courier New"/>
                <w:color w:val="111827"/>
                <w:sz w:val="16"/>
                <w:szCs w:val="16"/>
              </w:rPr>
              <w:t xml:space="preserve">Fargate)   </w:t>
            </w:r>
            <w:proofErr w:type="gramEnd"/>
            <w:r>
              <w:rPr>
                <w:rFonts w:ascii="Courier New" w:eastAsia="Courier New" w:hAnsi="Courier New" w:cs="Courier New"/>
                <w:color w:val="111827"/>
                <w:sz w:val="16"/>
                <w:szCs w:val="16"/>
              </w:rPr>
              <w:t xml:space="preserve">              │</w:t>
            </w:r>
          </w:p>
          <w:p w14:paraId="56AF0550" w14:textId="77777777" w:rsidR="00CF6883" w:rsidRDefault="00000000">
            <w:pPr>
              <w:spacing w:after="60"/>
              <w:jc w:val="center"/>
            </w:pPr>
            <w:r>
              <w:rPr>
                <w:rFonts w:ascii="Courier New" w:eastAsia="Courier New" w:hAnsi="Courier New" w:cs="Courier New"/>
                <w:color w:val="111827"/>
                <w:sz w:val="16"/>
                <w:szCs w:val="16"/>
              </w:rPr>
              <w:t>│   KPI Cards   │   Charts   │   Commentary Layer         │</w:t>
            </w:r>
          </w:p>
          <w:p w14:paraId="136BB145" w14:textId="77777777" w:rsidR="00CF6883" w:rsidRDefault="00000000">
            <w:pPr>
              <w:spacing w:after="200"/>
              <w:jc w:val="center"/>
            </w:pPr>
            <w:r>
              <w:rPr>
                <w:rFonts w:ascii="Courier New" w:eastAsia="Courier New" w:hAnsi="Courier New" w:cs="Courier New"/>
                <w:color w:val="2196A6"/>
                <w:sz w:val="16"/>
                <w:szCs w:val="16"/>
              </w:rPr>
              <w:t>└───────────────────────┬─────────────────────────────────┘</w:t>
            </w:r>
          </w:p>
          <w:p w14:paraId="257C6A6D" w14:textId="77777777" w:rsidR="00CF6883" w:rsidRDefault="00000000">
            <w:pPr>
              <w:spacing w:after="200"/>
              <w:jc w:val="center"/>
            </w:pPr>
            <w:r>
              <w:rPr>
                <w:rFonts w:ascii="Courier New" w:eastAsia="Courier New" w:hAnsi="Courier New" w:cs="Courier New"/>
                <w:b/>
                <w:bCs/>
                <w:color w:val="1E3A5F"/>
                <w:sz w:val="18"/>
                <w:szCs w:val="18"/>
              </w:rPr>
              <w:t xml:space="preserve">API </w:t>
            </w:r>
            <w:proofErr w:type="gramStart"/>
            <w:r>
              <w:rPr>
                <w:rFonts w:ascii="Courier New" w:eastAsia="Courier New" w:hAnsi="Courier New" w:cs="Courier New"/>
                <w:b/>
                <w:bCs/>
                <w:color w:val="1E3A5F"/>
                <w:sz w:val="18"/>
                <w:szCs w:val="18"/>
              </w:rPr>
              <w:t>LAYER  (</w:t>
            </w:r>
            <w:proofErr w:type="spellStart"/>
            <w:proofErr w:type="gramEnd"/>
            <w:r>
              <w:rPr>
                <w:rFonts w:ascii="Courier New" w:eastAsia="Courier New" w:hAnsi="Courier New" w:cs="Courier New"/>
                <w:b/>
                <w:bCs/>
                <w:color w:val="1E3A5F"/>
                <w:sz w:val="18"/>
                <w:szCs w:val="18"/>
              </w:rPr>
              <w:t>FastAPI</w:t>
            </w:r>
            <w:proofErr w:type="spellEnd"/>
            <w:r>
              <w:rPr>
                <w:rFonts w:ascii="Courier New" w:eastAsia="Courier New" w:hAnsi="Courier New" w:cs="Courier New"/>
                <w:b/>
                <w:bCs/>
                <w:color w:val="1E3A5F"/>
                <w:sz w:val="18"/>
                <w:szCs w:val="18"/>
              </w:rPr>
              <w:t xml:space="preserve"> / REST)</w:t>
            </w:r>
          </w:p>
          <w:p w14:paraId="310BA094" w14:textId="77777777" w:rsidR="00CF6883" w:rsidRDefault="00000000">
            <w:pPr>
              <w:spacing w:after="60"/>
              <w:jc w:val="center"/>
            </w:pPr>
            <w:r>
              <w:rPr>
                <w:rFonts w:ascii="Courier New" w:eastAsia="Courier New" w:hAnsi="Courier New" w:cs="Courier New"/>
                <w:color w:val="2196A6"/>
                <w:sz w:val="16"/>
                <w:szCs w:val="16"/>
              </w:rPr>
              <w:t>┌─────────────────────────────────────────────────────────┐</w:t>
            </w:r>
          </w:p>
          <w:p w14:paraId="261C2476" w14:textId="77777777" w:rsidR="00CF6883" w:rsidRDefault="00000000">
            <w:pPr>
              <w:spacing w:after="60"/>
              <w:jc w:val="center"/>
            </w:pPr>
            <w:r>
              <w:rPr>
                <w:rFonts w:ascii="Courier New" w:eastAsia="Courier New" w:hAnsi="Courier New" w:cs="Courier New"/>
                <w:color w:val="111827"/>
                <w:sz w:val="16"/>
                <w:szCs w:val="16"/>
              </w:rPr>
              <w:t>│   Data API (</w:t>
            </w:r>
            <w:proofErr w:type="gramStart"/>
            <w:r>
              <w:rPr>
                <w:rFonts w:ascii="Courier New" w:eastAsia="Courier New" w:hAnsi="Courier New" w:cs="Courier New"/>
                <w:color w:val="111827"/>
                <w:sz w:val="16"/>
                <w:szCs w:val="16"/>
              </w:rPr>
              <w:t xml:space="preserve">read)   </w:t>
            </w:r>
            <w:proofErr w:type="gramEnd"/>
            <w:r>
              <w:rPr>
                <w:rFonts w:ascii="Courier New" w:eastAsia="Courier New" w:hAnsi="Courier New" w:cs="Courier New"/>
                <w:color w:val="111827"/>
                <w:sz w:val="16"/>
                <w:szCs w:val="16"/>
              </w:rPr>
              <w:t xml:space="preserve">      │   Commentary API (</w:t>
            </w:r>
            <w:proofErr w:type="gramStart"/>
            <w:r>
              <w:rPr>
                <w:rFonts w:ascii="Courier New" w:eastAsia="Courier New" w:hAnsi="Courier New" w:cs="Courier New"/>
                <w:color w:val="111827"/>
                <w:sz w:val="16"/>
                <w:szCs w:val="16"/>
              </w:rPr>
              <w:t xml:space="preserve">write)   </w:t>
            </w:r>
            <w:proofErr w:type="gramEnd"/>
            <w:r>
              <w:rPr>
                <w:rFonts w:ascii="Courier New" w:eastAsia="Courier New" w:hAnsi="Courier New" w:cs="Courier New"/>
                <w:color w:val="111827"/>
                <w:sz w:val="16"/>
                <w:szCs w:val="16"/>
              </w:rPr>
              <w:t xml:space="preserve"> │</w:t>
            </w:r>
          </w:p>
          <w:p w14:paraId="20AF7C6A" w14:textId="77777777" w:rsidR="00CF6883" w:rsidRDefault="00000000">
            <w:pPr>
              <w:spacing w:after="200"/>
              <w:jc w:val="center"/>
            </w:pPr>
            <w:r>
              <w:rPr>
                <w:rFonts w:ascii="Courier New" w:eastAsia="Courier New" w:hAnsi="Courier New" w:cs="Courier New"/>
                <w:color w:val="2196A6"/>
                <w:sz w:val="16"/>
                <w:szCs w:val="16"/>
              </w:rPr>
              <w:t>└────────────┬──────────────────────────┬────────────────┘</w:t>
            </w:r>
          </w:p>
          <w:p w14:paraId="0744B52B" w14:textId="77777777" w:rsidR="00CF6883" w:rsidRDefault="00000000">
            <w:pPr>
              <w:spacing w:after="200"/>
              <w:jc w:val="center"/>
            </w:pPr>
            <w:r>
              <w:rPr>
                <w:rFonts w:ascii="Courier New" w:eastAsia="Courier New" w:hAnsi="Courier New" w:cs="Courier New"/>
                <w:b/>
                <w:bCs/>
                <w:color w:val="1E3A5F"/>
                <w:sz w:val="18"/>
                <w:szCs w:val="18"/>
              </w:rPr>
              <w:t>QUERY / STORAGE LAYER</w:t>
            </w:r>
          </w:p>
          <w:p w14:paraId="71E6F11C" w14:textId="77777777" w:rsidR="00CF6883" w:rsidRDefault="00000000">
            <w:pPr>
              <w:spacing w:after="60"/>
              <w:jc w:val="center"/>
            </w:pPr>
            <w:r>
              <w:rPr>
                <w:rFonts w:ascii="Courier New" w:eastAsia="Courier New" w:hAnsi="Courier New" w:cs="Courier New"/>
                <w:color w:val="2196A6"/>
                <w:sz w:val="16"/>
                <w:szCs w:val="16"/>
              </w:rPr>
              <w:t>┌──────────────────┐        ┌─────────────────────────────┐</w:t>
            </w:r>
          </w:p>
          <w:p w14:paraId="43BCABBE" w14:textId="77777777" w:rsidR="00CF6883" w:rsidRDefault="00000000">
            <w:pPr>
              <w:spacing w:after="60"/>
              <w:jc w:val="center"/>
            </w:pPr>
            <w:r>
              <w:rPr>
                <w:rFonts w:ascii="Courier New" w:eastAsia="Courier New" w:hAnsi="Courier New" w:cs="Courier New"/>
                <w:color w:val="111827"/>
                <w:sz w:val="16"/>
                <w:szCs w:val="16"/>
              </w:rPr>
              <w:t xml:space="preserve">│ Athena/Databricks│        </w:t>
            </w:r>
            <w:proofErr w:type="gramStart"/>
            <w:r>
              <w:rPr>
                <w:rFonts w:ascii="Courier New" w:eastAsia="Courier New" w:hAnsi="Courier New" w:cs="Courier New"/>
                <w:color w:val="111827"/>
                <w:sz w:val="16"/>
                <w:szCs w:val="16"/>
              </w:rPr>
              <w:t>│  Commentary</w:t>
            </w:r>
            <w:proofErr w:type="gramEnd"/>
            <w:r>
              <w:rPr>
                <w:rFonts w:ascii="Courier New" w:eastAsia="Courier New" w:hAnsi="Courier New" w:cs="Courier New"/>
                <w:color w:val="111827"/>
                <w:sz w:val="16"/>
                <w:szCs w:val="16"/>
              </w:rPr>
              <w:t xml:space="preserve"> DB (RDS/Aurora) │</w:t>
            </w:r>
          </w:p>
          <w:p w14:paraId="38157982" w14:textId="77777777" w:rsidR="00CF6883" w:rsidRDefault="00000000">
            <w:pPr>
              <w:spacing w:after="60"/>
              <w:jc w:val="center"/>
            </w:pPr>
            <w:proofErr w:type="gramStart"/>
            <w:r>
              <w:rPr>
                <w:rFonts w:ascii="Courier New" w:eastAsia="Courier New" w:hAnsi="Courier New" w:cs="Courier New"/>
                <w:color w:val="111827"/>
                <w:sz w:val="16"/>
                <w:szCs w:val="16"/>
              </w:rPr>
              <w:t xml:space="preserve">│  (Analytics)   </w:t>
            </w:r>
            <w:proofErr w:type="gramEnd"/>
            <w:r>
              <w:rPr>
                <w:rFonts w:ascii="Courier New" w:eastAsia="Courier New" w:hAnsi="Courier New" w:cs="Courier New"/>
                <w:color w:val="111827"/>
                <w:sz w:val="16"/>
                <w:szCs w:val="16"/>
              </w:rPr>
              <w:t xml:space="preserve">  │        </w:t>
            </w:r>
            <w:proofErr w:type="gramStart"/>
            <w:r>
              <w:rPr>
                <w:rFonts w:ascii="Courier New" w:eastAsia="Courier New" w:hAnsi="Courier New" w:cs="Courier New"/>
                <w:color w:val="111827"/>
                <w:sz w:val="16"/>
                <w:szCs w:val="16"/>
              </w:rPr>
              <w:t>│  (</w:t>
            </w:r>
            <w:proofErr w:type="gramEnd"/>
            <w:r>
              <w:rPr>
                <w:rFonts w:ascii="Courier New" w:eastAsia="Courier New" w:hAnsi="Courier New" w:cs="Courier New"/>
                <w:color w:val="111827"/>
                <w:sz w:val="16"/>
                <w:szCs w:val="16"/>
              </w:rPr>
              <w:t xml:space="preserve">Decisions, </w:t>
            </w:r>
            <w:proofErr w:type="gramStart"/>
            <w:r>
              <w:rPr>
                <w:rFonts w:ascii="Courier New" w:eastAsia="Courier New" w:hAnsi="Courier New" w:cs="Courier New"/>
                <w:color w:val="111827"/>
                <w:sz w:val="16"/>
                <w:szCs w:val="16"/>
              </w:rPr>
              <w:t xml:space="preserve">History)   </w:t>
            </w:r>
            <w:proofErr w:type="gramEnd"/>
            <w:r>
              <w:rPr>
                <w:rFonts w:ascii="Courier New" w:eastAsia="Courier New" w:hAnsi="Courier New" w:cs="Courier New"/>
                <w:color w:val="111827"/>
                <w:sz w:val="16"/>
                <w:szCs w:val="16"/>
              </w:rPr>
              <w:t xml:space="preserve">    │</w:t>
            </w:r>
          </w:p>
          <w:p w14:paraId="2AE32FC4" w14:textId="77777777" w:rsidR="00CF6883" w:rsidRDefault="00000000">
            <w:pPr>
              <w:spacing w:after="200"/>
              <w:jc w:val="center"/>
            </w:pPr>
            <w:r>
              <w:rPr>
                <w:rFonts w:ascii="Courier New" w:eastAsia="Courier New" w:hAnsi="Courier New" w:cs="Courier New"/>
                <w:color w:val="2196A6"/>
                <w:sz w:val="16"/>
                <w:szCs w:val="16"/>
              </w:rPr>
              <w:t>└────────┬─────────┘        └─────────────────────────────┘</w:t>
            </w:r>
          </w:p>
          <w:p w14:paraId="68AC4D3D" w14:textId="77777777" w:rsidR="00CF6883" w:rsidRDefault="00000000">
            <w:pPr>
              <w:spacing w:after="200"/>
              <w:jc w:val="center"/>
            </w:pPr>
            <w:r>
              <w:rPr>
                <w:rFonts w:ascii="Courier New" w:eastAsia="Courier New" w:hAnsi="Courier New" w:cs="Courier New"/>
                <w:b/>
                <w:bCs/>
                <w:color w:val="1E3A5F"/>
                <w:sz w:val="18"/>
                <w:szCs w:val="18"/>
              </w:rPr>
              <w:t xml:space="preserve">DATA </w:t>
            </w:r>
            <w:proofErr w:type="gramStart"/>
            <w:r>
              <w:rPr>
                <w:rFonts w:ascii="Courier New" w:eastAsia="Courier New" w:hAnsi="Courier New" w:cs="Courier New"/>
                <w:b/>
                <w:bCs/>
                <w:color w:val="1E3A5F"/>
                <w:sz w:val="18"/>
                <w:szCs w:val="18"/>
              </w:rPr>
              <w:t>LAYER  (</w:t>
            </w:r>
            <w:proofErr w:type="gramEnd"/>
            <w:r>
              <w:rPr>
                <w:rFonts w:ascii="Courier New" w:eastAsia="Courier New" w:hAnsi="Courier New" w:cs="Courier New"/>
                <w:b/>
                <w:bCs/>
                <w:color w:val="1E3A5F"/>
                <w:sz w:val="18"/>
                <w:szCs w:val="18"/>
              </w:rPr>
              <w:t>Amazon S3 — Star Schema)</w:t>
            </w:r>
          </w:p>
          <w:p w14:paraId="351C119A" w14:textId="77777777" w:rsidR="00CF6883" w:rsidRDefault="00000000">
            <w:pPr>
              <w:spacing w:after="60"/>
              <w:jc w:val="center"/>
            </w:pPr>
            <w:r>
              <w:rPr>
                <w:rFonts w:ascii="Courier New" w:eastAsia="Courier New" w:hAnsi="Courier New" w:cs="Courier New"/>
                <w:color w:val="2196A6"/>
                <w:sz w:val="16"/>
                <w:szCs w:val="16"/>
              </w:rPr>
              <w:t>┌─────────────────────────────────────────────────────────┐</w:t>
            </w:r>
          </w:p>
          <w:p w14:paraId="10DBFEC4" w14:textId="77777777" w:rsidR="00CF6883" w:rsidRDefault="00000000">
            <w:pPr>
              <w:spacing w:after="60"/>
              <w:jc w:val="center"/>
            </w:pPr>
            <w:proofErr w:type="gramStart"/>
            <w:r>
              <w:rPr>
                <w:rFonts w:ascii="Courier New" w:eastAsia="Courier New" w:hAnsi="Courier New" w:cs="Courier New"/>
                <w:color w:val="111827"/>
                <w:sz w:val="16"/>
                <w:szCs w:val="16"/>
              </w:rPr>
              <w:t>│  Fact</w:t>
            </w:r>
            <w:proofErr w:type="gramEnd"/>
            <w:r>
              <w:rPr>
                <w:rFonts w:ascii="Courier New" w:eastAsia="Courier New" w:hAnsi="Courier New" w:cs="Courier New"/>
                <w:color w:val="111827"/>
                <w:sz w:val="16"/>
                <w:szCs w:val="16"/>
              </w:rPr>
              <w:t xml:space="preserve"> Tables (Revenue, Cost, Profit, </w:t>
            </w:r>
            <w:proofErr w:type="gramStart"/>
            <w:r>
              <w:rPr>
                <w:rFonts w:ascii="Courier New" w:eastAsia="Courier New" w:hAnsi="Courier New" w:cs="Courier New"/>
                <w:color w:val="111827"/>
                <w:sz w:val="16"/>
                <w:szCs w:val="16"/>
              </w:rPr>
              <w:t xml:space="preserve">Headcount)   </w:t>
            </w:r>
            <w:proofErr w:type="gramEnd"/>
            <w:r>
              <w:rPr>
                <w:rFonts w:ascii="Courier New" w:eastAsia="Courier New" w:hAnsi="Courier New" w:cs="Courier New"/>
                <w:color w:val="111827"/>
                <w:sz w:val="16"/>
                <w:szCs w:val="16"/>
              </w:rPr>
              <w:t xml:space="preserve">      │</w:t>
            </w:r>
          </w:p>
          <w:p w14:paraId="62C9530F" w14:textId="77777777" w:rsidR="00CF6883" w:rsidRDefault="00000000">
            <w:pPr>
              <w:spacing w:after="60"/>
              <w:jc w:val="center"/>
            </w:pPr>
            <w:proofErr w:type="gramStart"/>
            <w:r>
              <w:rPr>
                <w:rFonts w:ascii="Courier New" w:eastAsia="Courier New" w:hAnsi="Courier New" w:cs="Courier New"/>
                <w:color w:val="111827"/>
                <w:sz w:val="16"/>
                <w:szCs w:val="16"/>
              </w:rPr>
              <w:t>│  Dim</w:t>
            </w:r>
            <w:proofErr w:type="gramEnd"/>
            <w:r>
              <w:rPr>
                <w:rFonts w:ascii="Courier New" w:eastAsia="Courier New" w:hAnsi="Courier New" w:cs="Courier New"/>
                <w:color w:val="111827"/>
                <w:sz w:val="16"/>
                <w:szCs w:val="16"/>
              </w:rPr>
              <w:t xml:space="preserve"> Tables (Date, Org, Product, </w:t>
            </w:r>
            <w:proofErr w:type="gramStart"/>
            <w:r>
              <w:rPr>
                <w:rFonts w:ascii="Courier New" w:eastAsia="Courier New" w:hAnsi="Courier New" w:cs="Courier New"/>
                <w:color w:val="111827"/>
                <w:sz w:val="16"/>
                <w:szCs w:val="16"/>
              </w:rPr>
              <w:t xml:space="preserve">Department)   </w:t>
            </w:r>
            <w:proofErr w:type="gramEnd"/>
            <w:r>
              <w:rPr>
                <w:rFonts w:ascii="Courier New" w:eastAsia="Courier New" w:hAnsi="Courier New" w:cs="Courier New"/>
                <w:color w:val="111827"/>
                <w:sz w:val="16"/>
                <w:szCs w:val="16"/>
              </w:rPr>
              <w:t xml:space="preserve">         │</w:t>
            </w:r>
          </w:p>
          <w:p w14:paraId="60844695" w14:textId="77777777" w:rsidR="00CF6883" w:rsidRDefault="00000000">
            <w:pPr>
              <w:spacing w:after="200"/>
              <w:jc w:val="center"/>
            </w:pPr>
            <w:r>
              <w:rPr>
                <w:rFonts w:ascii="Courier New" w:eastAsia="Courier New" w:hAnsi="Courier New" w:cs="Courier New"/>
                <w:color w:val="2196A6"/>
                <w:sz w:val="16"/>
                <w:szCs w:val="16"/>
              </w:rPr>
              <w:t>└───────────────────────┬─────────────────────────────────┘</w:t>
            </w:r>
          </w:p>
          <w:p w14:paraId="4D949DB1" w14:textId="77777777" w:rsidR="00CF6883" w:rsidRDefault="00000000">
            <w:pPr>
              <w:spacing w:after="200"/>
              <w:jc w:val="center"/>
            </w:pPr>
            <w:r>
              <w:rPr>
                <w:rFonts w:ascii="Courier New" w:eastAsia="Courier New" w:hAnsi="Courier New" w:cs="Courier New"/>
                <w:b/>
                <w:bCs/>
                <w:color w:val="1E3A5F"/>
                <w:sz w:val="18"/>
                <w:szCs w:val="18"/>
              </w:rPr>
              <w:t>ETL + INFRA</w:t>
            </w:r>
          </w:p>
          <w:p w14:paraId="597267CA" w14:textId="77777777" w:rsidR="00CF6883" w:rsidRDefault="00000000">
            <w:pPr>
              <w:spacing w:after="60"/>
              <w:jc w:val="center"/>
            </w:pPr>
            <w:r>
              <w:rPr>
                <w:rFonts w:ascii="Courier New" w:eastAsia="Courier New" w:hAnsi="Courier New" w:cs="Courier New"/>
                <w:color w:val="2196A6"/>
                <w:sz w:val="16"/>
                <w:szCs w:val="16"/>
              </w:rPr>
              <w:t>┌─────────────────────────────────────────────────────────┐</w:t>
            </w:r>
          </w:p>
          <w:p w14:paraId="15049E15" w14:textId="77777777" w:rsidR="00CF6883" w:rsidRDefault="00000000">
            <w:pPr>
              <w:spacing w:after="60"/>
              <w:jc w:val="center"/>
            </w:pPr>
            <w:proofErr w:type="gramStart"/>
            <w:r>
              <w:rPr>
                <w:rFonts w:ascii="Courier New" w:eastAsia="Courier New" w:hAnsi="Courier New" w:cs="Courier New"/>
                <w:color w:val="111827"/>
                <w:sz w:val="16"/>
                <w:szCs w:val="16"/>
              </w:rPr>
              <w:t>│  ETL</w:t>
            </w:r>
            <w:proofErr w:type="gramEnd"/>
            <w:r>
              <w:rPr>
                <w:rFonts w:ascii="Courier New" w:eastAsia="Courier New" w:hAnsi="Courier New" w:cs="Courier New"/>
                <w:color w:val="111827"/>
                <w:sz w:val="16"/>
                <w:szCs w:val="16"/>
              </w:rPr>
              <w:t xml:space="preserve"> Pipelines → Terraform (</w:t>
            </w:r>
            <w:proofErr w:type="spellStart"/>
            <w:r>
              <w:rPr>
                <w:rFonts w:ascii="Courier New" w:eastAsia="Courier New" w:hAnsi="Courier New" w:cs="Courier New"/>
                <w:color w:val="111827"/>
                <w:sz w:val="16"/>
                <w:szCs w:val="16"/>
              </w:rPr>
              <w:t>IaC</w:t>
            </w:r>
            <w:proofErr w:type="spellEnd"/>
            <w:r>
              <w:rPr>
                <w:rFonts w:ascii="Courier New" w:eastAsia="Courier New" w:hAnsi="Courier New" w:cs="Courier New"/>
                <w:color w:val="111827"/>
                <w:sz w:val="16"/>
                <w:szCs w:val="16"/>
              </w:rPr>
              <w:t>) → CI/CD → CloudWatch   │</w:t>
            </w:r>
          </w:p>
          <w:p w14:paraId="6D313C1B" w14:textId="77777777" w:rsidR="00CF6883" w:rsidRDefault="00000000">
            <w:pPr>
              <w:spacing w:after="60"/>
              <w:jc w:val="center"/>
            </w:pPr>
            <w:proofErr w:type="gramStart"/>
            <w:r>
              <w:rPr>
                <w:rFonts w:ascii="Courier New" w:eastAsia="Courier New" w:hAnsi="Courier New" w:cs="Courier New"/>
                <w:color w:val="111827"/>
                <w:sz w:val="16"/>
                <w:szCs w:val="16"/>
              </w:rPr>
              <w:t>│  Dev</w:t>
            </w:r>
            <w:proofErr w:type="gramEnd"/>
            <w:r>
              <w:rPr>
                <w:rFonts w:ascii="Courier New" w:eastAsia="Courier New" w:hAnsi="Courier New" w:cs="Courier New"/>
                <w:color w:val="111827"/>
                <w:sz w:val="16"/>
                <w:szCs w:val="16"/>
              </w:rPr>
              <w:t xml:space="preserve"> Environment → Staging Environment → Production      │</w:t>
            </w:r>
          </w:p>
          <w:p w14:paraId="14DBC5A8" w14:textId="77777777" w:rsidR="00CF6883" w:rsidRDefault="00000000">
            <w:pPr>
              <w:jc w:val="center"/>
            </w:pPr>
            <w:r>
              <w:rPr>
                <w:rFonts w:ascii="Courier New" w:eastAsia="Courier New" w:hAnsi="Courier New" w:cs="Courier New"/>
                <w:color w:val="2196A6"/>
                <w:sz w:val="16"/>
                <w:szCs w:val="16"/>
              </w:rPr>
              <w:t>└─────────────────────────────────────────────────────────┘</w:t>
            </w:r>
          </w:p>
        </w:tc>
      </w:tr>
    </w:tbl>
    <w:p w14:paraId="34CAC6C2" w14:textId="77777777" w:rsidR="000C043B" w:rsidRDefault="000C043B"/>
    <w:sectPr w:rsidR="000C043B">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10ECA" w14:textId="77777777" w:rsidR="000C043B" w:rsidRDefault="000C043B">
      <w:r>
        <w:separator/>
      </w:r>
    </w:p>
  </w:endnote>
  <w:endnote w:type="continuationSeparator" w:id="0">
    <w:p w14:paraId="0016DEAD" w14:textId="77777777" w:rsidR="000C043B" w:rsidRDefault="000C0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8A51" w14:textId="77777777" w:rsidR="00CF6883" w:rsidRDefault="00000000">
    <w:pPr>
      <w:pBdr>
        <w:top w:val="single" w:sz="4" w:space="8" w:color="DDDDDD"/>
      </w:pBdr>
      <w:tabs>
        <w:tab w:val="right" w:pos="9026"/>
      </w:tabs>
    </w:pPr>
    <w:r>
      <w:rPr>
        <w:color w:val="6B7280"/>
        <w:sz w:val="16"/>
        <w:szCs w:val="16"/>
      </w:rPr>
      <w:t>Confidential</w:t>
    </w:r>
    <w:r>
      <w:rPr>
        <w:sz w:val="16"/>
        <w:szCs w:val="16"/>
      </w:rPr>
      <w:tab/>
    </w:r>
    <w:r>
      <w:rPr>
        <w:color w:val="6B7280"/>
        <w:sz w:val="16"/>
        <w:szCs w:val="16"/>
      </w:rPr>
      <w:t xml:space="preserve">Page </w:t>
    </w:r>
    <w:r>
      <w:fldChar w:fldCharType="begin"/>
    </w:r>
    <w:r>
      <w:instrText>PAGE</w:instrText>
    </w:r>
    <w:r>
      <w:fldChar w:fldCharType="separate"/>
    </w:r>
    <w:r w:rsidR="0001321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ADA8" w14:textId="77777777" w:rsidR="000C043B" w:rsidRDefault="000C043B">
      <w:r>
        <w:separator/>
      </w:r>
    </w:p>
  </w:footnote>
  <w:footnote w:type="continuationSeparator" w:id="0">
    <w:p w14:paraId="05A43F93" w14:textId="77777777" w:rsidR="000C043B" w:rsidRDefault="000C0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49E8" w14:textId="77777777" w:rsidR="00CF6883" w:rsidRDefault="00000000">
    <w:pPr>
      <w:pBdr>
        <w:bottom w:val="single" w:sz="6" w:space="8" w:color="2196A6"/>
      </w:pBdr>
      <w:tabs>
        <w:tab w:val="right" w:pos="9026"/>
      </w:tabs>
    </w:pPr>
    <w:r>
      <w:rPr>
        <w:color w:val="6B7280"/>
        <w:sz w:val="16"/>
        <w:szCs w:val="16"/>
      </w:rPr>
      <w:t>Integrated BI + Decision Layer Platform</w:t>
    </w:r>
    <w:r>
      <w:rPr>
        <w:sz w:val="16"/>
        <w:szCs w:val="16"/>
      </w:rPr>
      <w:tab/>
    </w:r>
    <w:r>
      <w:rPr>
        <w:color w:val="6B7280"/>
        <w:sz w:val="16"/>
        <w:szCs w:val="16"/>
      </w:rPr>
      <w:t>Solution Proposal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07E4B"/>
    <w:multiLevelType w:val="hybridMultilevel"/>
    <w:tmpl w:val="B2AE40F8"/>
    <w:lvl w:ilvl="0" w:tplc="FC04C73E">
      <w:start w:val="1"/>
      <w:numFmt w:val="bullet"/>
      <w:lvlText w:val="•"/>
      <w:lvlJc w:val="left"/>
      <w:pPr>
        <w:ind w:left="720" w:hanging="360"/>
      </w:pPr>
    </w:lvl>
    <w:lvl w:ilvl="1" w:tplc="3A46129A">
      <w:numFmt w:val="decimal"/>
      <w:lvlText w:val=""/>
      <w:lvlJc w:val="left"/>
    </w:lvl>
    <w:lvl w:ilvl="2" w:tplc="DC4867AC">
      <w:numFmt w:val="decimal"/>
      <w:lvlText w:val=""/>
      <w:lvlJc w:val="left"/>
    </w:lvl>
    <w:lvl w:ilvl="3" w:tplc="ABAA3AE6">
      <w:numFmt w:val="decimal"/>
      <w:lvlText w:val=""/>
      <w:lvlJc w:val="left"/>
    </w:lvl>
    <w:lvl w:ilvl="4" w:tplc="0192BE3A">
      <w:numFmt w:val="decimal"/>
      <w:lvlText w:val=""/>
      <w:lvlJc w:val="left"/>
    </w:lvl>
    <w:lvl w:ilvl="5" w:tplc="5E3A4CEC">
      <w:numFmt w:val="decimal"/>
      <w:lvlText w:val=""/>
      <w:lvlJc w:val="left"/>
    </w:lvl>
    <w:lvl w:ilvl="6" w:tplc="70AE4882">
      <w:numFmt w:val="decimal"/>
      <w:lvlText w:val=""/>
      <w:lvlJc w:val="left"/>
    </w:lvl>
    <w:lvl w:ilvl="7" w:tplc="0EA8B290">
      <w:numFmt w:val="decimal"/>
      <w:lvlText w:val=""/>
      <w:lvlJc w:val="left"/>
    </w:lvl>
    <w:lvl w:ilvl="8" w:tplc="C51A2016">
      <w:numFmt w:val="decimal"/>
      <w:lvlText w:val=""/>
      <w:lvlJc w:val="left"/>
    </w:lvl>
  </w:abstractNum>
  <w:abstractNum w:abstractNumId="1" w15:restartNumberingAfterBreak="0">
    <w:nsid w:val="74970B51"/>
    <w:multiLevelType w:val="hybridMultilevel"/>
    <w:tmpl w:val="59D2416C"/>
    <w:lvl w:ilvl="0" w:tplc="597096F6">
      <w:start w:val="1"/>
      <w:numFmt w:val="bullet"/>
      <w:lvlText w:val="●"/>
      <w:lvlJc w:val="left"/>
      <w:pPr>
        <w:ind w:left="720" w:hanging="360"/>
      </w:pPr>
    </w:lvl>
    <w:lvl w:ilvl="1" w:tplc="C9766648">
      <w:start w:val="1"/>
      <w:numFmt w:val="bullet"/>
      <w:lvlText w:val="○"/>
      <w:lvlJc w:val="left"/>
      <w:pPr>
        <w:ind w:left="1440" w:hanging="360"/>
      </w:pPr>
    </w:lvl>
    <w:lvl w:ilvl="2" w:tplc="634000D6">
      <w:start w:val="1"/>
      <w:numFmt w:val="bullet"/>
      <w:lvlText w:val="■"/>
      <w:lvlJc w:val="left"/>
      <w:pPr>
        <w:ind w:left="2160" w:hanging="360"/>
      </w:pPr>
    </w:lvl>
    <w:lvl w:ilvl="3" w:tplc="66764AAE">
      <w:start w:val="1"/>
      <w:numFmt w:val="bullet"/>
      <w:lvlText w:val="●"/>
      <w:lvlJc w:val="left"/>
      <w:pPr>
        <w:ind w:left="2880" w:hanging="360"/>
      </w:pPr>
    </w:lvl>
    <w:lvl w:ilvl="4" w:tplc="4EEAD54C">
      <w:start w:val="1"/>
      <w:numFmt w:val="bullet"/>
      <w:lvlText w:val="○"/>
      <w:lvlJc w:val="left"/>
      <w:pPr>
        <w:ind w:left="3600" w:hanging="360"/>
      </w:pPr>
    </w:lvl>
    <w:lvl w:ilvl="5" w:tplc="4B50B594">
      <w:start w:val="1"/>
      <w:numFmt w:val="bullet"/>
      <w:lvlText w:val="■"/>
      <w:lvlJc w:val="left"/>
      <w:pPr>
        <w:ind w:left="4320" w:hanging="360"/>
      </w:pPr>
    </w:lvl>
    <w:lvl w:ilvl="6" w:tplc="89C49BDA">
      <w:start w:val="1"/>
      <w:numFmt w:val="bullet"/>
      <w:lvlText w:val="●"/>
      <w:lvlJc w:val="left"/>
      <w:pPr>
        <w:ind w:left="5040" w:hanging="360"/>
      </w:pPr>
    </w:lvl>
    <w:lvl w:ilvl="7" w:tplc="893096FA">
      <w:start w:val="1"/>
      <w:numFmt w:val="bullet"/>
      <w:lvlText w:val="●"/>
      <w:lvlJc w:val="left"/>
      <w:pPr>
        <w:ind w:left="5760" w:hanging="360"/>
      </w:pPr>
    </w:lvl>
    <w:lvl w:ilvl="8" w:tplc="6BA6346E">
      <w:start w:val="1"/>
      <w:numFmt w:val="bullet"/>
      <w:lvlText w:val="●"/>
      <w:lvlJc w:val="left"/>
      <w:pPr>
        <w:ind w:left="6480" w:hanging="360"/>
      </w:pPr>
    </w:lvl>
  </w:abstractNum>
  <w:num w:numId="1" w16cid:durableId="1994948269">
    <w:abstractNumId w:val="1"/>
    <w:lvlOverride w:ilvl="0">
      <w:startOverride w:val="1"/>
    </w:lvlOverride>
  </w:num>
  <w:num w:numId="2" w16cid:durableId="1169759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883"/>
    <w:rsid w:val="00013219"/>
    <w:rsid w:val="000C043B"/>
    <w:rsid w:val="00CF6883"/>
    <w:rsid w:val="00F41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3640"/>
  <w15:docId w15:val="{C55B0A43-D2E3-4C9B-869D-43767F73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60"/>
      <w:outlineLvl w:val="1"/>
    </w:pPr>
    <w:rPr>
      <w:b/>
      <w:bCs/>
      <w:color w:val="2196A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2047</Words>
  <Characters>12301</Characters>
  <Application>Microsoft Office Word</Application>
  <DocSecurity>0</DocSecurity>
  <Lines>373</Lines>
  <Paragraphs>255</Paragraphs>
  <ScaleCrop>false</ScaleCrop>
  <Company/>
  <LinksUpToDate>false</LinksUpToDate>
  <CharactersWithSpaces>14206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Magat</cp:lastModifiedBy>
  <cp:revision>2</cp:revision>
  <dcterms:created xsi:type="dcterms:W3CDTF">2026-04-14T06:39:00Z</dcterms:created>
  <dcterms:modified xsi:type="dcterms:W3CDTF">2026-04-14T06:43:00Z</dcterms:modified>
</cp:coreProperties>
</file>