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6934" w14:textId="77777777" w:rsidR="00D6168E" w:rsidRDefault="00D6168E" w:rsidP="00714949">
      <w:pPr>
        <w:pStyle w:val="Nagwek1"/>
        <w:numPr>
          <w:ilvl w:val="0"/>
          <w:numId w:val="6"/>
        </w:numPr>
      </w:pPr>
      <w:r>
        <w:t>Przygotowanie danych</w:t>
      </w:r>
    </w:p>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lastRenderedPageBreak/>
        <w:t>usunięty fragmenty tekstu w nawiasach (np. (Oklaski.), (Dzwonek.))</w:t>
      </w:r>
    </w:p>
    <w:p w14:paraId="28EA3B4C" w14:textId="77777777" w:rsidR="00D6168E" w:rsidRDefault="00071FDC" w:rsidP="006617B7">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130F41">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130F41">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130F41">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130F41">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130F41">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130F41">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EC0749">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lastRenderedPageBreak/>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 xml:space="preserve">'Natomiast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lastRenderedPageBreak/>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lastRenderedPageBreak/>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lastRenderedPageBreak/>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lastRenderedPageBreak/>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lastRenderedPageBreak/>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t>Modele 1-gramowe (7 modeli) wygenerowały się w nieco ponad minutę, 2 – gramowe</w:t>
      </w:r>
      <w:r w:rsidR="00C024FC">
        <w:t xml:space="preserve"> minutę dłużej</w:t>
      </w:r>
      <w:r>
        <w:t xml:space="preserve">. </w:t>
      </w:r>
    </w:p>
    <w:p w14:paraId="031D11D0" w14:textId="77777777" w:rsidR="00C5387E" w:rsidRDefault="00C5387E" w:rsidP="00EA75CB">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drawing>
          <wp:inline distT="0" distB="0" distL="0" distR="0" wp14:anchorId="564A2868" wp14:editId="113445AA">
            <wp:extent cx="5678057" cy="2281027"/>
            <wp:effectExtent l="0" t="0" r="0"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05614" cy="2292097"/>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EA75CB">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lastRenderedPageBreak/>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lastRenderedPageBreak/>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lastRenderedPageBreak/>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4AE3CC31" w:rsidR="005E7D12" w:rsidRDefault="005E7D12" w:rsidP="005E7D12">
      <w:pPr>
        <w:pStyle w:val="Nagwek1"/>
        <w:numPr>
          <w:ilvl w:val="0"/>
          <w:numId w:val="6"/>
        </w:numPr>
      </w:pPr>
      <w:proofErr w:type="spellStart"/>
      <w:r>
        <w:t>Topic</w:t>
      </w:r>
      <w:proofErr w:type="spellEnd"/>
      <w:r>
        <w:t xml:space="preserve"> modeling</w:t>
      </w:r>
    </w:p>
    <w:p w14:paraId="7C3D0362" w14:textId="1A8E5940" w:rsidR="006B7EEE" w:rsidRDefault="002C595E" w:rsidP="005E7D12">
      <w:r>
        <w:t xml:space="preserve">Analizy wykonywano na tekście przeprocesowanym </w:t>
      </w:r>
    </w:p>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lastRenderedPageBreak/>
        <w:t>Bibliografia</w:t>
      </w:r>
    </w:p>
    <w:p w14:paraId="475099F9" w14:textId="41F8FAC8" w:rsidR="00D851B1" w:rsidRDefault="00D851B1" w:rsidP="00D851B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3"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Pr>
          <w:rFonts w:ascii="Helvetica" w:hAnsi="Helvetica" w:cs="Helvetica"/>
          <w:color w:val="333333"/>
          <w:sz w:val="21"/>
          <w:szCs w:val="21"/>
          <w:shd w:val="clear" w:color="auto" w:fill="FFFFFF"/>
        </w:rPr>
        <w:t xml:space="preserve">In </w:t>
      </w:r>
      <w:proofErr w:type="spellStart"/>
      <w:r>
        <w:rPr>
          <w:rFonts w:ascii="Helvetica" w:hAnsi="Helvetica" w:cs="Helvetica"/>
          <w:color w:val="333333"/>
          <w:sz w:val="21"/>
          <w:szCs w:val="21"/>
          <w:shd w:val="clear" w:color="auto" w:fill="FFFFFF"/>
        </w:rPr>
        <w:t>Association</w:t>
      </w:r>
      <w:proofErr w:type="spellEnd"/>
      <w:r>
        <w:rPr>
          <w:rFonts w:ascii="Helvetica" w:hAnsi="Helvetica" w:cs="Helvetica"/>
          <w:color w:val="333333"/>
          <w:sz w:val="21"/>
          <w:szCs w:val="21"/>
          <w:shd w:val="clear" w:color="auto" w:fill="FFFFFF"/>
        </w:rPr>
        <w:t xml:space="preserve"> for </w:t>
      </w:r>
      <w:proofErr w:type="spellStart"/>
      <w:r>
        <w:rPr>
          <w:rFonts w:ascii="Helvetica" w:hAnsi="Helvetica" w:cs="Helvetica"/>
          <w:color w:val="333333"/>
          <w:sz w:val="21"/>
          <w:szCs w:val="21"/>
          <w:shd w:val="clear" w:color="auto" w:fill="FFFFFF"/>
        </w:rPr>
        <w:t>Computational</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Linguistics</w:t>
      </w:r>
      <w:proofErr w:type="spellEnd"/>
      <w:r>
        <w:rPr>
          <w:rFonts w:ascii="Helvetica" w:hAnsi="Helvetica" w:cs="Helvetica"/>
          <w:color w:val="333333"/>
          <w:sz w:val="21"/>
          <w:szCs w:val="21"/>
          <w:shd w:val="clear" w:color="auto" w:fill="FFFFFF"/>
        </w:rPr>
        <w:t xml:space="preserve"> (ACL) System </w:t>
      </w:r>
      <w:proofErr w:type="spellStart"/>
      <w:r>
        <w:rPr>
          <w:rFonts w:ascii="Helvetica" w:hAnsi="Helvetica" w:cs="Helvetica"/>
          <w:color w:val="333333"/>
          <w:sz w:val="21"/>
          <w:szCs w:val="21"/>
          <w:shd w:val="clear" w:color="auto" w:fill="FFFFFF"/>
        </w:rPr>
        <w:t>Demonstrations</w:t>
      </w:r>
      <w:proofErr w:type="spellEnd"/>
      <w:r>
        <w:rPr>
          <w:rFonts w:ascii="Helvetica" w:hAnsi="Helvetica" w:cs="Helvetica"/>
          <w:color w:val="333333"/>
          <w:sz w:val="21"/>
          <w:szCs w:val="21"/>
          <w:shd w:val="clear" w:color="auto" w:fill="FFFFFF"/>
        </w:rPr>
        <w:t>. 2020. [</w:t>
      </w:r>
      <w:hyperlink r:id="rId24" w:history="1">
        <w:r>
          <w:rPr>
            <w:rStyle w:val="Hipercze"/>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5"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t>Stanza is licensed under the </w:t>
      </w:r>
      <w:hyperlink r:id="rId26"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51E91" w14:textId="77777777" w:rsidR="00063DDA" w:rsidRDefault="00063DDA" w:rsidP="002A4329">
      <w:pPr>
        <w:spacing w:after="0" w:line="240" w:lineRule="auto"/>
      </w:pPr>
      <w:r>
        <w:separator/>
      </w:r>
    </w:p>
  </w:endnote>
  <w:endnote w:type="continuationSeparator" w:id="0">
    <w:p w14:paraId="20F7B8C3" w14:textId="77777777" w:rsidR="00063DDA" w:rsidRDefault="00063DDA"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3F77D" w14:textId="77777777" w:rsidR="00063DDA" w:rsidRDefault="00063DDA" w:rsidP="002A4329">
      <w:pPr>
        <w:spacing w:after="0" w:line="240" w:lineRule="auto"/>
      </w:pPr>
      <w:r>
        <w:separator/>
      </w:r>
    </w:p>
  </w:footnote>
  <w:footnote w:type="continuationSeparator" w:id="0">
    <w:p w14:paraId="60DCD50F" w14:textId="77777777" w:rsidR="00063DDA" w:rsidRDefault="00063DDA" w:rsidP="002A4329">
      <w:pPr>
        <w:spacing w:after="0" w:line="240" w:lineRule="auto"/>
      </w:pPr>
      <w:r>
        <w:continuationSeparator/>
      </w:r>
    </w:p>
  </w:footnote>
  <w:footnote w:id="1">
    <w:p w14:paraId="5E650246" w14:textId="257077B3" w:rsidR="002A4329" w:rsidRDefault="002A4329">
      <w:pPr>
        <w:pStyle w:val="Tekstprzypisudolnego"/>
      </w:pPr>
      <w:r>
        <w:rPr>
          <w:rStyle w:val="Odwoanieprzypisudolnego"/>
        </w:rPr>
        <w:footnoteRef/>
      </w:r>
      <w:r>
        <w:t xml:space="preserve"> Listę </w:t>
      </w:r>
      <w:proofErr w:type="spellStart"/>
      <w:r>
        <w:t>stopwords</w:t>
      </w:r>
      <w:proofErr w:type="spellEnd"/>
      <w:r>
        <w:t xml:space="preserve">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1310F4"/>
    <w:rsid w:val="0015457B"/>
    <w:rsid w:val="001626D3"/>
    <w:rsid w:val="00167D7B"/>
    <w:rsid w:val="00211AA6"/>
    <w:rsid w:val="002A4329"/>
    <w:rsid w:val="002C595E"/>
    <w:rsid w:val="002D11D3"/>
    <w:rsid w:val="002E6ED3"/>
    <w:rsid w:val="0031400A"/>
    <w:rsid w:val="003340C2"/>
    <w:rsid w:val="003773F2"/>
    <w:rsid w:val="003B3B12"/>
    <w:rsid w:val="003B69B9"/>
    <w:rsid w:val="003C1108"/>
    <w:rsid w:val="00420F7B"/>
    <w:rsid w:val="004276BC"/>
    <w:rsid w:val="00446812"/>
    <w:rsid w:val="00450046"/>
    <w:rsid w:val="00481FEB"/>
    <w:rsid w:val="00486E40"/>
    <w:rsid w:val="004A0B5D"/>
    <w:rsid w:val="0052434C"/>
    <w:rsid w:val="00534684"/>
    <w:rsid w:val="0054545C"/>
    <w:rsid w:val="00555832"/>
    <w:rsid w:val="00566509"/>
    <w:rsid w:val="00582786"/>
    <w:rsid w:val="005B582A"/>
    <w:rsid w:val="005E6003"/>
    <w:rsid w:val="005E7D12"/>
    <w:rsid w:val="005F0FEA"/>
    <w:rsid w:val="00604EC9"/>
    <w:rsid w:val="0064505F"/>
    <w:rsid w:val="006A728E"/>
    <w:rsid w:val="006B75DD"/>
    <w:rsid w:val="006B7EEE"/>
    <w:rsid w:val="006C1921"/>
    <w:rsid w:val="006C4A8F"/>
    <w:rsid w:val="006C71FC"/>
    <w:rsid w:val="006E451C"/>
    <w:rsid w:val="00714949"/>
    <w:rsid w:val="00732F95"/>
    <w:rsid w:val="0073645C"/>
    <w:rsid w:val="007450BB"/>
    <w:rsid w:val="007810F5"/>
    <w:rsid w:val="00791322"/>
    <w:rsid w:val="007A2500"/>
    <w:rsid w:val="007C145F"/>
    <w:rsid w:val="007C2C45"/>
    <w:rsid w:val="007C65AA"/>
    <w:rsid w:val="00802EE1"/>
    <w:rsid w:val="008727CC"/>
    <w:rsid w:val="00875E6C"/>
    <w:rsid w:val="00883FE7"/>
    <w:rsid w:val="008D6216"/>
    <w:rsid w:val="00902EC7"/>
    <w:rsid w:val="00912CCD"/>
    <w:rsid w:val="009262A2"/>
    <w:rsid w:val="00926371"/>
    <w:rsid w:val="00952074"/>
    <w:rsid w:val="00955408"/>
    <w:rsid w:val="009C43B8"/>
    <w:rsid w:val="009F45D7"/>
    <w:rsid w:val="00A1661B"/>
    <w:rsid w:val="00A17207"/>
    <w:rsid w:val="00A37C80"/>
    <w:rsid w:val="00A72967"/>
    <w:rsid w:val="00AC3B31"/>
    <w:rsid w:val="00AD2B97"/>
    <w:rsid w:val="00B052EF"/>
    <w:rsid w:val="00B13DE8"/>
    <w:rsid w:val="00B20736"/>
    <w:rsid w:val="00B37A81"/>
    <w:rsid w:val="00B96E6A"/>
    <w:rsid w:val="00BA017C"/>
    <w:rsid w:val="00BC73A8"/>
    <w:rsid w:val="00C024FC"/>
    <w:rsid w:val="00C17712"/>
    <w:rsid w:val="00C2352B"/>
    <w:rsid w:val="00C25E78"/>
    <w:rsid w:val="00C46958"/>
    <w:rsid w:val="00C528BE"/>
    <w:rsid w:val="00C5387E"/>
    <w:rsid w:val="00C84ACD"/>
    <w:rsid w:val="00C87F85"/>
    <w:rsid w:val="00D12437"/>
    <w:rsid w:val="00D3110C"/>
    <w:rsid w:val="00D6168E"/>
    <w:rsid w:val="00D801BC"/>
    <w:rsid w:val="00D851B1"/>
    <w:rsid w:val="00DB573C"/>
    <w:rsid w:val="00DF2F97"/>
    <w:rsid w:val="00DF7488"/>
    <w:rsid w:val="00E00112"/>
    <w:rsid w:val="00E01313"/>
    <w:rsid w:val="00E151B6"/>
    <w:rsid w:val="00E44B99"/>
    <w:rsid w:val="00E559C1"/>
    <w:rsid w:val="00E701F9"/>
    <w:rsid w:val="00E87218"/>
    <w:rsid w:val="00EC207F"/>
    <w:rsid w:val="00F3375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apache.org/licenses/LICENSE-2.0"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universaldependencie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2003.07082.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2003.0708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6A567-E46F-433F-B008-B3B3E8C1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2009</TotalTime>
  <Pages>16</Pages>
  <Words>3946</Words>
  <Characters>22498</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62</cp:revision>
  <dcterms:created xsi:type="dcterms:W3CDTF">2020-01-12T16:51:00Z</dcterms:created>
  <dcterms:modified xsi:type="dcterms:W3CDTF">2020-04-26T12:18:00Z</dcterms:modified>
</cp:coreProperties>
</file>