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16934" w14:textId="77777777" w:rsidR="00D6168E" w:rsidRDefault="00D6168E" w:rsidP="00714949">
      <w:pPr>
        <w:pStyle w:val="Nagwek1"/>
        <w:numPr>
          <w:ilvl w:val="0"/>
          <w:numId w:val="6"/>
        </w:numPr>
      </w:pPr>
      <w:r>
        <w:t>Przygotowanie danych</w:t>
      </w:r>
    </w:p>
    <w:p w14:paraId="590DD21F" w14:textId="77777777" w:rsidR="00AD2B97" w:rsidRPr="00B20736" w:rsidRDefault="00AD2B97" w:rsidP="00714949">
      <w:pPr>
        <w:pStyle w:val="Nagwek1"/>
        <w:numPr>
          <w:ilvl w:val="1"/>
          <w:numId w:val="6"/>
        </w:numPr>
      </w:pPr>
      <w:r>
        <w:t xml:space="preserve">Usunięcie wierszy z pustym </w:t>
      </w:r>
      <w:r w:rsidRPr="00714949">
        <w:t>speech_raw</w:t>
      </w:r>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14:paraId="05324463" w14:textId="77777777"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14:paraId="74763ABE" w14:textId="77777777"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(Python)</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lastRenderedPageBreak/>
        <w:t>usunięty fragmenty tekstu w nawiasach (np. (Oklaski.), (Dzwonek.))</w:t>
      </w:r>
    </w:p>
    <w:p w14:paraId="28EA3B4C" w14:textId="77777777" w:rsidR="00D6168E" w:rsidRDefault="00071FDC" w:rsidP="006617B7">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7777777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(python)</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130F41">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130F41">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130F41">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130F41">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130F41">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130F41">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P(zaliczeniowa|praca) = cnt(„praca zaliczeniowa”)/cnt(„praca ___”)</w:t>
      </w:r>
    </w:p>
    <w:p w14:paraId="402BFCE2" w14:textId="77777777" w:rsidR="008727CC" w:rsidRDefault="008727CC" w:rsidP="00883FE7">
      <w:pPr>
        <w:pStyle w:val="Akapitzlist"/>
        <w:ind w:left="0"/>
      </w:pPr>
      <w:r>
        <w:t>Gdzie ___ oznaca dowolne słowo</w:t>
      </w:r>
      <w:r w:rsidR="003B69B9">
        <w:t xml:space="preserve"> a liczniki „cnt” zostały wygenerowane na korpusie, na którym trenowano model.</w:t>
      </w:r>
    </w:p>
    <w:p w14:paraId="72913387" w14:textId="77777777" w:rsidR="006B75DD" w:rsidRPr="006B75DD" w:rsidRDefault="009C43B8" w:rsidP="00EC0749">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14:paraId="774BF052" w14:textId="77777777"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lastRenderedPageBreak/>
        <w:t>Przykładowe przemówienie dla modelu 1-gramowego</w:t>
      </w:r>
      <w:r w:rsidR="00C25E78">
        <w:t xml:space="preserve"> wygenerowane z parametrami </w:t>
      </w:r>
      <w:r w:rsidR="00C25E78" w:rsidRPr="00C25E78">
        <w:t>(steps=10, max_sent=10)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(steps=10, max_sent=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tchórzewskiego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(steps=</w:t>
      </w:r>
      <w:r>
        <w:t>10</w:t>
      </w:r>
      <w:r w:rsidRPr="00DB573C">
        <w:t>, max_sent=10)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lastRenderedPageBreak/>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Gdzie N jest długością zdania testowanego. Liczniki i indeksowanie są tak dopasowane aby uwzględniać pozycję początkową i końcową wyrazu w zdaniu poprzez uwzględnianiu w analizach dodatkowych tokenów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lastRenderedPageBreak/>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lastRenderedPageBreak/>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perplexity, tj. maksymalizujące prawdopodobieństwo „zobaczenia go w modelu”. W tym celu rozszerzono klasę </w:t>
      </w:r>
      <w:r w:rsidR="00446812">
        <w:rPr>
          <w:i/>
          <w:iCs/>
        </w:rPr>
        <w:t>ng_models</w:t>
      </w:r>
      <w:r w:rsidR="00446812">
        <w:t xml:space="preserve"> o metodę </w:t>
      </w:r>
      <w:r w:rsidR="00446812">
        <w:rPr>
          <w:i/>
          <w:iCs/>
        </w:rPr>
        <w:t>mprob_sent</w:t>
      </w:r>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lastRenderedPageBreak/>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lastRenderedPageBreak/>
        <w:t>Jako alternatywną metodę, która mogłaby wpłynąć na „urozmaicenie” generowanych zdać, rozważano usunięcie z korpusu tzw. Stop-words, czyli nieinformacyjnych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liczba_sl_raw</w:t>
            </w:r>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date_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t>Modele 1-gramowe (7 modeli) wygenerowały się w nieco ponad minutę, 2 – gramowe</w:t>
      </w:r>
      <w:r w:rsidR="00C024FC">
        <w:t xml:space="preserve"> minutę dłużej</w:t>
      </w:r>
      <w:r>
        <w:t xml:space="preserve">. </w:t>
      </w:r>
    </w:p>
    <w:p w14:paraId="031D11D0" w14:textId="77777777" w:rsidR="00C5387E" w:rsidRDefault="00C5387E" w:rsidP="00EA75CB">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9F45D7"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piotrowicz do sytuacji w praktyce w tym sejmie na. </w:t>
      </w:r>
      <w:r w:rsidRPr="009F45D7">
        <w:rPr>
          <w:rFonts w:ascii="Courier New" w:eastAsia="Times New Roman" w:hAnsi="Courier New" w:cs="Courier New"/>
          <w:color w:val="000000"/>
          <w:sz w:val="21"/>
          <w:szCs w:val="21"/>
          <w:lang w:val="en-US"/>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perplexity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drawing>
          <wp:inline distT="0" distB="0" distL="0" distR="0" wp14:anchorId="564A2868" wp14:editId="113445AA">
            <wp:extent cx="5678057" cy="2281027"/>
            <wp:effectExtent l="0" t="0" r="0"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5614" cy="2292097"/>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perplexity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79EC91D" w:rsidR="00732F95" w:rsidRDefault="00C5387E" w:rsidP="00EA75CB">
      <w:pPr>
        <w:pStyle w:val="Nagwek1"/>
        <w:numPr>
          <w:ilvl w:val="2"/>
          <w:numId w:val="6"/>
        </w:numPr>
      </w:pPr>
      <w:r>
        <w:t>Najbardziej prawdopodobne zdanie dla partii</w:t>
      </w:r>
    </w:p>
    <w:p w14:paraId="487B8AB5" w14:textId="3AE0667F" w:rsidR="005E7D12" w:rsidRDefault="005E7D12" w:rsidP="005E7D12">
      <w:pPr>
        <w:pStyle w:val="Nagwek1"/>
        <w:numPr>
          <w:ilvl w:val="0"/>
          <w:numId w:val="6"/>
        </w:numPr>
      </w:pPr>
      <w:r>
        <w:t>Topic modeling</w:t>
      </w:r>
    </w:p>
    <w:p w14:paraId="38CFCCD0" w14:textId="4DC8EEDA" w:rsidR="005E7D12" w:rsidRDefault="005E7D12" w:rsidP="005E7D12"/>
    <w:p w14:paraId="392A55CE" w14:textId="509573E3" w:rsidR="005E7D12" w:rsidRPr="00FE0EDC" w:rsidRDefault="005E7D12" w:rsidP="005E7D12">
      <w:pPr>
        <w:pStyle w:val="Nagwek1"/>
        <w:numPr>
          <w:ilvl w:val="0"/>
          <w:numId w:val="6"/>
        </w:numPr>
      </w:pPr>
      <w:r>
        <w:lastRenderedPageBreak/>
        <w:t>Analiza sentymentu</w:t>
      </w:r>
    </w:p>
    <w:p w14:paraId="307FFD6F" w14:textId="77777777" w:rsidR="005E7D12" w:rsidRPr="005E7D12" w:rsidRDefault="005E7D12" w:rsidP="005E7D12"/>
    <w:p w14:paraId="119627A4" w14:textId="77777777" w:rsidR="005E7D12" w:rsidRPr="005E7D12" w:rsidRDefault="005E7D12" w:rsidP="005E7D12"/>
    <w:sectPr w:rsidR="005E7D12" w:rsidRPr="005E7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71FDC"/>
    <w:rsid w:val="00097CB0"/>
    <w:rsid w:val="001310F4"/>
    <w:rsid w:val="001626D3"/>
    <w:rsid w:val="00167D7B"/>
    <w:rsid w:val="002D11D3"/>
    <w:rsid w:val="002E6ED3"/>
    <w:rsid w:val="0031400A"/>
    <w:rsid w:val="003340C2"/>
    <w:rsid w:val="003773F2"/>
    <w:rsid w:val="003B3B12"/>
    <w:rsid w:val="003B69B9"/>
    <w:rsid w:val="003C1108"/>
    <w:rsid w:val="00420F7B"/>
    <w:rsid w:val="004276BC"/>
    <w:rsid w:val="00446812"/>
    <w:rsid w:val="00450046"/>
    <w:rsid w:val="00481FEB"/>
    <w:rsid w:val="00486E40"/>
    <w:rsid w:val="004A0B5D"/>
    <w:rsid w:val="0052434C"/>
    <w:rsid w:val="00534684"/>
    <w:rsid w:val="0054545C"/>
    <w:rsid w:val="00555832"/>
    <w:rsid w:val="00566509"/>
    <w:rsid w:val="00582786"/>
    <w:rsid w:val="005B582A"/>
    <w:rsid w:val="005E7D12"/>
    <w:rsid w:val="005F0FEA"/>
    <w:rsid w:val="006A728E"/>
    <w:rsid w:val="006B75DD"/>
    <w:rsid w:val="006C1921"/>
    <w:rsid w:val="006C4A8F"/>
    <w:rsid w:val="00714949"/>
    <w:rsid w:val="00732F95"/>
    <w:rsid w:val="0073645C"/>
    <w:rsid w:val="007450BB"/>
    <w:rsid w:val="007810F5"/>
    <w:rsid w:val="00791322"/>
    <w:rsid w:val="007A2500"/>
    <w:rsid w:val="007C145F"/>
    <w:rsid w:val="007C2C45"/>
    <w:rsid w:val="007C65AA"/>
    <w:rsid w:val="00802EE1"/>
    <w:rsid w:val="008727CC"/>
    <w:rsid w:val="00875E6C"/>
    <w:rsid w:val="00883FE7"/>
    <w:rsid w:val="00902EC7"/>
    <w:rsid w:val="00912CCD"/>
    <w:rsid w:val="009262A2"/>
    <w:rsid w:val="00952074"/>
    <w:rsid w:val="00955408"/>
    <w:rsid w:val="009C43B8"/>
    <w:rsid w:val="009F45D7"/>
    <w:rsid w:val="00A1661B"/>
    <w:rsid w:val="00A17207"/>
    <w:rsid w:val="00A37C80"/>
    <w:rsid w:val="00A72967"/>
    <w:rsid w:val="00AC3B31"/>
    <w:rsid w:val="00AD2B97"/>
    <w:rsid w:val="00B052EF"/>
    <w:rsid w:val="00B13DE8"/>
    <w:rsid w:val="00B20736"/>
    <w:rsid w:val="00B37A81"/>
    <w:rsid w:val="00B96E6A"/>
    <w:rsid w:val="00BA017C"/>
    <w:rsid w:val="00BC73A8"/>
    <w:rsid w:val="00C024FC"/>
    <w:rsid w:val="00C17712"/>
    <w:rsid w:val="00C2352B"/>
    <w:rsid w:val="00C25E78"/>
    <w:rsid w:val="00C46958"/>
    <w:rsid w:val="00C528BE"/>
    <w:rsid w:val="00C5387E"/>
    <w:rsid w:val="00C84ACD"/>
    <w:rsid w:val="00C87F85"/>
    <w:rsid w:val="00D12437"/>
    <w:rsid w:val="00D3110C"/>
    <w:rsid w:val="00D6168E"/>
    <w:rsid w:val="00DB573C"/>
    <w:rsid w:val="00DF2F97"/>
    <w:rsid w:val="00DF7488"/>
    <w:rsid w:val="00E00112"/>
    <w:rsid w:val="00E01313"/>
    <w:rsid w:val="00E151B6"/>
    <w:rsid w:val="00E44B99"/>
    <w:rsid w:val="00E559C1"/>
    <w:rsid w:val="00E701F9"/>
    <w:rsid w:val="00E87218"/>
    <w:rsid w:val="00EC207F"/>
    <w:rsid w:val="00F3375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13</Pages>
  <Words>3263</Words>
  <Characters>18601</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52</cp:revision>
  <dcterms:created xsi:type="dcterms:W3CDTF">2020-01-12T16:51:00Z</dcterms:created>
  <dcterms:modified xsi:type="dcterms:W3CDTF">2020-04-14T19:15:00Z</dcterms:modified>
</cp:coreProperties>
</file>