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 xml:space="preserve">Na tym etapie podjęto decyzję o budowie prostego generatora przemówień opartego o </w:t>
      </w:r>
      <w:r>
        <w:t xml:space="preserve">modele </w:t>
      </w:r>
      <w:r>
        <w:t>n-</w:t>
      </w:r>
      <w:r w:rsidR="003340C2">
        <w:t>gramowe</w:t>
      </w:r>
      <w:r>
        <w:t xml:space="preserve">. </w:t>
      </w:r>
      <w:r>
        <w:t xml:space="preserve">Takie modele bazują na statystykach występowania </w:t>
      </w:r>
      <w:r w:rsidR="00F76CE1">
        <w:t xml:space="preserve">n-gramów </w:t>
      </w:r>
      <w:r w:rsidR="00F76CE1">
        <w:t>w analizowanym korpusie</w:t>
      </w:r>
      <w:r w:rsidR="00F76CE1">
        <w:t xml:space="preserv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P(zaliczeniowa|praca) = cnt(„praca zaliczeniowa”)/cnt(„praca ___”)</w:t>
      </w:r>
    </w:p>
    <w:p w:rsidR="008727CC" w:rsidRDefault="008727CC" w:rsidP="00883FE7">
      <w:pPr>
        <w:pStyle w:val="Akapitzlist"/>
        <w:ind w:left="0"/>
      </w:pPr>
      <w:r>
        <w:t>Gdzie ___ oznaca dowolne słowo.</w:t>
      </w:r>
    </w:p>
    <w:p w:rsidR="006B75DD" w:rsidRPr="006B75DD" w:rsidRDefault="006B75DD" w:rsidP="00EC0749">
      <w:pPr>
        <w:pStyle w:val="Nagwek1"/>
        <w:numPr>
          <w:ilvl w:val="1"/>
          <w:numId w:val="6"/>
        </w:numPr>
      </w:pPr>
      <w:r>
        <w:t>Ogólny generator</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Generowanie przemówień polega na przypisaniu słowa początkowego (lub wybraniu losowego) a następnie w sposób losowy wybieraniu słów kolejnych na bazie słownika zbudowanego w poprzednim punkcie.</w:t>
      </w:r>
    </w:p>
    <w:p w:rsidR="007C65AA" w:rsidRDefault="003340C2" w:rsidP="00BC73A8">
      <w:r>
        <w:t>Wraz ze wzrostem n, rośnie zapotrzebowanie na dane do modelu. Jednak takie modele potrafią generować sekwencje lepszej jakości, ponieważ zachowują więcej zależności ze zbioru uczącego.</w:t>
      </w:r>
    </w:p>
    <w:p w:rsidR="00DF2F97" w:rsidRDefault="007C65AA" w:rsidP="00BC73A8">
      <w:r>
        <w:t>Kod przygotowujący te najprostsze modele znajduje się w pliku „02_generator_1.0.ipynb</w:t>
      </w:r>
      <w:r w:rsidR="00DF2F97">
        <w:t>”. Do ich wykonania nie były potrzebne żadne z pakietów związanych z NLP. Niemniej nie udało się w ten sposób zbudować modelu 3-gramowego. W kolejnych etapach ta możliwość będzie ponownie analizowana. Poniżej przykładowe wyniki.</w:t>
      </w:r>
    </w:p>
    <w:p w:rsidR="00B13DE8" w:rsidRPr="00B13DE8" w:rsidRDefault="00DF2F97" w:rsidP="00DF2F97">
      <w:pPr>
        <w:rPr>
          <w:color w:val="000000"/>
          <w:sz w:val="21"/>
          <w:szCs w:val="21"/>
        </w:rPr>
      </w:pPr>
      <w:r w:rsidRPr="00DF2F97">
        <w:t>Przykładowe przemówienie o długości 60 słów dla modelu 1-gramowego, rozpoczynające się od słowa „My”:</w:t>
      </w:r>
      <w:r w:rsidR="00A37C80">
        <w:br/>
      </w:r>
      <w:bookmarkStart w:id="0" w:name="_GoBack"/>
      <w:bookmarkEnd w:id="0"/>
      <w:r w:rsidR="00B13DE8">
        <w:t>„</w:t>
      </w:r>
      <w:r w:rsidR="00B13DE8" w:rsidRPr="00B13DE8">
        <w:rPr>
          <w:color w:val="000000"/>
          <w:sz w:val="21"/>
          <w:szCs w:val="21"/>
        </w:rPr>
        <w:t xml:space="preserve">My wychodzimy z rocznicami sienkiewiczowskimi i doświadczenie i 7,5%. Tuba propagandowa kampania antynikotynowa ma współdziałanie pracodawców i rozważa, rząd raczy projekt. W związku z senackich do wyborów bezpośrednich uprawnień. Na dzisiaj otrzymaliśmy, zawiera następujące zmiany: Art. 33 tys. </w:t>
      </w:r>
      <w:r w:rsidR="00B13DE8" w:rsidRPr="00B13DE8">
        <w:rPr>
          <w:color w:val="000000"/>
          <w:sz w:val="21"/>
          <w:szCs w:val="21"/>
        </w:rPr>
        <w:lastRenderedPageBreak/>
        <w:t>altan ogrodowych pod kątem legalności źródeł finansowania. Pani Marszałek! Wysoki Sejmie! Dziesięć państw członkowskich Rady Radiofonii i stanowi poważne przeobrażenia, jakie substancje związków.</w:t>
      </w:r>
      <w:r w:rsidR="00B13DE8">
        <w:t>”</w:t>
      </w:r>
    </w:p>
    <w:p w:rsidR="00BC73A8" w:rsidRDefault="00BC73A8" w:rsidP="00BC73A8"/>
    <w:p w:rsidR="00B13DE8" w:rsidRDefault="00B13DE8" w:rsidP="00B13DE8">
      <w:r>
        <w:t>Przykładowe przemówienie o długości 60 słów dla modelu 1-gramowego, rozpoczynające się od losowego słowa:</w:t>
      </w:r>
    </w:p>
    <w:p w:rsidR="00B13DE8" w:rsidRDefault="00B13DE8" w:rsidP="00B13DE8">
      <w:pPr>
        <w:pStyle w:val="HTML-wstpniesformatowany"/>
        <w:shd w:val="clear" w:color="auto" w:fill="FFFFFF"/>
        <w:wordWrap w:val="0"/>
        <w:textAlignment w:val="baseline"/>
      </w:pPr>
      <w:r>
        <w:t>„</w:t>
      </w:r>
      <w:r>
        <w:rPr>
          <w:color w:val="000000"/>
          <w:sz w:val="21"/>
          <w:szCs w:val="21"/>
        </w:rPr>
        <w:t>Urobek podkomisji, mają stosować się zadania i tylko chęci ani upraw na czym operatorzy i przytułków dla polskiej żeglugi śródlądowej do Prawa Podatkowego, która zwalnia urzędników. Muszę zresztą widać w którym funkcjonuje już wyżej wymienionym projektem ustawy o których niesławnymi bohaterami narodowymi funduszami spójności terminologicznej. Wydaje się, że nasilają się zgodnie z mechanizmów, które toczą się teraz tego demo potrafi przeprowadzić.</w:t>
      </w:r>
      <w:r>
        <w:t>”</w:t>
      </w:r>
    </w:p>
    <w:p w:rsidR="00B13DE8" w:rsidRPr="00B13DE8" w:rsidRDefault="00B13DE8" w:rsidP="00B13DE8">
      <w:pPr>
        <w:pStyle w:val="HTML-wstpniesformatowany"/>
        <w:shd w:val="clear" w:color="auto" w:fill="FFFFFF"/>
        <w:wordWrap w:val="0"/>
        <w:textAlignment w:val="baseline"/>
        <w:rPr>
          <w:color w:val="000000"/>
          <w:sz w:val="21"/>
          <w:szCs w:val="21"/>
        </w:rPr>
      </w:pPr>
    </w:p>
    <w:p w:rsidR="00B13DE8" w:rsidRDefault="00B13DE8" w:rsidP="00B13DE8">
      <w:r>
        <w:t xml:space="preserve">Przykładowe przemówienie o długości </w:t>
      </w:r>
      <w:r w:rsidR="003C1108">
        <w:t>100</w:t>
      </w:r>
      <w:r>
        <w:t xml:space="preserve"> słów dla modelu 2-gramowego rozpoczynające się od wyrażenia „</w:t>
      </w:r>
      <w:r w:rsidR="003C1108">
        <w:t>Dziś jest”</w:t>
      </w:r>
      <w:r>
        <w:t>:</w:t>
      </w:r>
    </w:p>
    <w:p w:rsidR="00B13DE8" w:rsidRDefault="003C1108" w:rsidP="003C1108">
      <w:pPr>
        <w:pStyle w:val="HTML-wstpniesformatowany"/>
        <w:shd w:val="clear" w:color="auto" w:fill="FFFFFF"/>
        <w:wordWrap w:val="0"/>
        <w:textAlignment w:val="baseline"/>
      </w:pPr>
      <w:r>
        <w:t>„</w:t>
      </w:r>
      <w:r>
        <w:rPr>
          <w:color w:val="000000"/>
          <w:sz w:val="21"/>
          <w:szCs w:val="21"/>
        </w:rPr>
        <w:t>Dziś jest już ustalony system finansów publicznych? Czy może mi pan minister mówi, że ta krytyka zasługuje na aprobatę argument zakładający, iż prezes Izby Cywilnej oraz Izby Kontroli w dniu 2 marca 2006 r. o świadczeniach przedemerytalnych też jest możliwe. Zdaniem prezydenta narusza to uprawnień przedsiębiorcy, naprawienie szkody wyrządzonej czynem niedozwolonym oraz pracowników cywilnych. Dla obydwu grup wyważyć. Pamiętajmy także o zwykłą większość głosów. Co to oznacza? Jest to bardzo ważna kwestia, to mianowicie, że w tej sytuacji pogłębia fakt, że pomoc państwa dla firm oraz poparcie dla tego rodzaju działalności tak specyficznych instytucji, jakimi są Policja, ośrodki pomocy społecznej regulują oczywiście.</w:t>
      </w:r>
      <w:r>
        <w:t>”</w:t>
      </w:r>
    </w:p>
    <w:p w:rsidR="003C1108" w:rsidRPr="003C1108" w:rsidRDefault="003C1108" w:rsidP="003C1108">
      <w:pPr>
        <w:pStyle w:val="HTML-wstpniesformatowany"/>
        <w:shd w:val="clear" w:color="auto" w:fill="FFFFFF"/>
        <w:wordWrap w:val="0"/>
        <w:textAlignment w:val="baseline"/>
        <w:rPr>
          <w:color w:val="000000"/>
          <w:sz w:val="21"/>
          <w:szCs w:val="21"/>
        </w:rPr>
      </w:pPr>
    </w:p>
    <w:p w:rsidR="003C1108" w:rsidRDefault="003C1108" w:rsidP="00B13DE8">
      <w:r>
        <w:t>Przykładowe przemówienie o długości 60 słów dla modelu 2-gramowego rozpoczynające się od losowego wyrażenia:</w:t>
      </w:r>
    </w:p>
    <w:p w:rsidR="003C1108" w:rsidRPr="00A1661B" w:rsidRDefault="00A1661B" w:rsidP="00A1661B">
      <w:pPr>
        <w:pStyle w:val="HTML-wstpniesformatowany"/>
        <w:shd w:val="clear" w:color="auto" w:fill="FFFFFF"/>
        <w:wordWrap w:val="0"/>
        <w:textAlignment w:val="baseline"/>
        <w:rPr>
          <w:color w:val="000000"/>
          <w:sz w:val="21"/>
          <w:szCs w:val="21"/>
        </w:rPr>
      </w:pPr>
      <w:r>
        <w:t>„</w:t>
      </w:r>
      <w:r>
        <w:rPr>
          <w:color w:val="000000"/>
          <w:sz w:val="21"/>
          <w:szCs w:val="21"/>
        </w:rPr>
        <w:t>Ilość poprawek, które rzeczywiście będą oni niezależni, niezawiśli, nieusuwalni, odpowiadać będą również wiodącymi, jeśli chodzi o cywilizowanie prawa pracy, proszę państwa, czy też w krajach Unii Europejskiej. Liga Polskich Rodzin ocenia pozytywnie działania Ministerstwa Łączności do poselskiego projektu ustawy. Dziękuję bardzo. Pani Marszałek! W imieniu Klubu Parlamentarnego Prawo i Sprawiedliwość nagle zmieniło zdanie, nagle postanowiło pokazać, że jest to naprawdę bardzo wiele polskich firm na rynkach światowych powoduje, że dla wprowadzenia takiego rozwiązania, które służą wszystkim obywatelom. Omawiana dziś regulacja jest szczególnie wrażliwa na punkcie tej opinii BAS-u są kuriozalne albo w spółkach górniczych, trzeba przyznać lojalnie - dwie doprecyzowujące, dwie troszeczkę.</w:t>
      </w:r>
      <w:r>
        <w:t>”</w:t>
      </w:r>
    </w:p>
    <w:p w:rsidR="00B13DE8" w:rsidRPr="00BC73A8" w:rsidRDefault="00B13DE8" w:rsidP="00B13DE8">
      <w:r>
        <w:t>Widać, że w drugim modelu tekst bardziej przypomina realnie wystąpienia</w:t>
      </w:r>
      <w:r w:rsidR="003C1108">
        <w:t xml:space="preserve"> i prawdziwe zdania.</w:t>
      </w:r>
    </w:p>
    <w:p w:rsidR="006B75DD" w:rsidRDefault="006B75DD" w:rsidP="006B75DD">
      <w:pPr>
        <w:pStyle w:val="Nagwek1"/>
        <w:numPr>
          <w:ilvl w:val="1"/>
          <w:numId w:val="6"/>
        </w:numPr>
      </w:pPr>
      <w:r>
        <w:t>Badanie prawdopodobieństwa danego zdania</w:t>
      </w:r>
    </w:p>
    <w:p w:rsidR="008727CC" w:rsidRDefault="008727CC" w:rsidP="008727CC">
      <w:r>
        <w:t xml:space="preserve">Mamy również możliwość przeanalizowania spójności danej sekwencji z modelem. Tj. jak prawdopodobne jest, że dane zdanie pochodzi z danego modelu. Można to szacować za pomocą wartości </w:t>
      </w:r>
      <w:r w:rsidR="00E559C1">
        <w:t xml:space="preserve">perplexity, która pozwala ocenić jakość modelu n-gramowego na danych testowych. </w:t>
      </w:r>
    </w:p>
    <w:p w:rsidR="00E559C1" w:rsidRDefault="00E559C1" w:rsidP="008727CC">
      <w:pPr>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E559C1" w:rsidRPr="00FA6BBE" w:rsidRDefault="00E559C1" w:rsidP="00E559C1">
      <w:pPr>
        <w:pStyle w:val="NormalnyWeb"/>
        <w:spacing w:before="0" w:beforeAutospacing="0" w:after="300" w:afterAutospacing="0" w:line="315" w:lineRule="atLeast"/>
        <w:rPr>
          <w:rFonts w:ascii="Arial" w:hAnsi="Arial" w:cs="Arial"/>
          <w:sz w:val="21"/>
          <w:szCs w:val="21"/>
        </w:rPr>
      </w:pPr>
      <w:r w:rsidRPr="00E559C1">
        <w:rPr>
          <w:rFonts w:asciiTheme="minorHAnsi" w:eastAsiaTheme="minorHAnsi" w:hAnsiTheme="minorHAnsi" w:cstheme="minorBidi"/>
          <w:sz w:val="22"/>
          <w:szCs w:val="22"/>
          <w:lang w:eastAsia="en-US"/>
        </w:rPr>
        <w:lastRenderedPageBreak/>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w:t>
      </w:r>
      <w:r w:rsidRPr="00FA6BBE">
        <w:rPr>
          <w:rFonts w:asciiTheme="minorHAnsi" w:eastAsiaTheme="minorHAnsi" w:hAnsiTheme="minorHAnsi" w:cstheme="minorBidi"/>
          <w:sz w:val="22"/>
          <w:szCs w:val="22"/>
          <w:lang w:eastAsia="en-US"/>
        </w:rPr>
        <w:t>add-1 smoothing</w:t>
      </w:r>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E559C1" w:rsidRPr="00FA6BBE" w:rsidRDefault="00FA6BBE" w:rsidP="00E559C1">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r w:rsidR="00E559C1" w:rsidRPr="00FA6BBE">
        <w:rPr>
          <w:rFonts w:ascii="Times New Roman" w:eastAsia="Times New Roman" w:hAnsi="Times New Roman" w:cs="Times New Roman"/>
          <w:color w:val="1F1F1F"/>
          <w:sz w:val="25"/>
          <w:szCs w:val="25"/>
          <w:shd w:val="clear" w:color="auto" w:fill="FFFFFF"/>
          <w:lang w:eastAsia="pl-PL"/>
        </w:rPr>
        <w:br/>
      </w:r>
      <w:r w:rsidR="00450046">
        <w:t>Kalkulacja perplexity może uwzględniać również pozycję początkową i końcową wyrazu w zdaniu. Należy wówczas uwzględnić w konstrukcji modelu dodatkowe tokeny oznaczające początek i koniec zdania.</w:t>
      </w:r>
    </w:p>
    <w:p w:rsidR="006B75DD" w:rsidRPr="006B75DD" w:rsidRDefault="006B75DD" w:rsidP="006B75DD">
      <w:pPr>
        <w:pStyle w:val="Nagwek1"/>
        <w:numPr>
          <w:ilvl w:val="1"/>
          <w:numId w:val="6"/>
        </w:numPr>
      </w:pPr>
      <w:r>
        <w:t xml:space="preserve">Badanie prawdopodobieństwa danego zdania w zależności od autora wystąpienia </w:t>
      </w:r>
    </w:p>
    <w:p w:rsidR="00BC73A8" w:rsidRPr="00A72967" w:rsidRDefault="00BC73A8" w:rsidP="006B75DD"/>
    <w:sectPr w:rsidR="00BC73A8" w:rsidRPr="00A7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71FDC"/>
    <w:rsid w:val="00097CB0"/>
    <w:rsid w:val="001310F4"/>
    <w:rsid w:val="002D11D3"/>
    <w:rsid w:val="0031400A"/>
    <w:rsid w:val="003340C2"/>
    <w:rsid w:val="003C1108"/>
    <w:rsid w:val="00450046"/>
    <w:rsid w:val="00486E40"/>
    <w:rsid w:val="004A0B5D"/>
    <w:rsid w:val="005B582A"/>
    <w:rsid w:val="006B75DD"/>
    <w:rsid w:val="00714949"/>
    <w:rsid w:val="007C2C45"/>
    <w:rsid w:val="007C65AA"/>
    <w:rsid w:val="008727CC"/>
    <w:rsid w:val="00883FE7"/>
    <w:rsid w:val="00912CCD"/>
    <w:rsid w:val="00A1661B"/>
    <w:rsid w:val="00A37C80"/>
    <w:rsid w:val="00A72967"/>
    <w:rsid w:val="00AC3B31"/>
    <w:rsid w:val="00AD2B97"/>
    <w:rsid w:val="00B13DE8"/>
    <w:rsid w:val="00B20736"/>
    <w:rsid w:val="00BA017C"/>
    <w:rsid w:val="00BC73A8"/>
    <w:rsid w:val="00C87F85"/>
    <w:rsid w:val="00D6168E"/>
    <w:rsid w:val="00DF2F97"/>
    <w:rsid w:val="00DF7488"/>
    <w:rsid w:val="00E44B99"/>
    <w:rsid w:val="00E559C1"/>
    <w:rsid w:val="00E87218"/>
    <w:rsid w:val="00F76CE1"/>
    <w:rsid w:val="00F9588B"/>
    <w:rsid w:val="00FA6B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E266"/>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semiHidden/>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1382</Words>
  <Characters>8295</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19</cp:revision>
  <dcterms:created xsi:type="dcterms:W3CDTF">2020-01-12T16:51:00Z</dcterms:created>
  <dcterms:modified xsi:type="dcterms:W3CDTF">2020-02-22T17:16:00Z</dcterms:modified>
</cp:coreProperties>
</file>