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6FF2F762" w:rsidR="0068054D" w:rsidRDefault="001B51D9" w:rsidP="0068054D">
      <w:pPr>
        <w:pStyle w:val="Kop1"/>
      </w:pPr>
      <w:r>
        <w:t>OEF</w:t>
      </w:r>
      <w:r w:rsidR="0068054D">
        <w:t xml:space="preserve"> </w:t>
      </w:r>
      <w:r w:rsidR="00121DEF">
        <w:t>2.1 – Databank Abonnees aanmaken</w:t>
      </w:r>
    </w:p>
    <w:p w14:paraId="203583DE" w14:textId="47DEE85E" w:rsidR="00121DEF" w:rsidRDefault="00121DEF" w:rsidP="00121DEF">
      <w:r>
        <w:rPr>
          <w:noProof/>
        </w:rPr>
        <w:drawing>
          <wp:inline distT="0" distB="0" distL="0" distR="0" wp14:anchorId="586BF7FB" wp14:editId="06F9C894">
            <wp:extent cx="5760720" cy="44799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E79" w14:textId="77777777" w:rsidR="001B51D9" w:rsidRPr="00121DEF" w:rsidRDefault="001B51D9" w:rsidP="00121DEF"/>
    <w:p w14:paraId="02D50576" w14:textId="79B3A67F" w:rsidR="001B51D9" w:rsidRDefault="00121DEF" w:rsidP="001B51D9">
      <w:pPr>
        <w:pStyle w:val="Lijstalinea"/>
        <w:numPr>
          <w:ilvl w:val="0"/>
          <w:numId w:val="5"/>
        </w:numPr>
        <w:rPr>
          <w:sz w:val="22"/>
        </w:rPr>
      </w:pPr>
      <w:r w:rsidRPr="001B51D9">
        <w:rPr>
          <w:sz w:val="22"/>
        </w:rPr>
        <w:t xml:space="preserve">Maak </w:t>
      </w:r>
      <w:r w:rsidR="001B51D9" w:rsidRPr="001B51D9">
        <w:rPr>
          <w:sz w:val="22"/>
        </w:rPr>
        <w:t xml:space="preserve">in </w:t>
      </w:r>
      <w:r w:rsidR="001B51D9" w:rsidRPr="001B51D9">
        <w:rPr>
          <w:b/>
          <w:bCs/>
          <w:sz w:val="22"/>
        </w:rPr>
        <w:t>DataGrip</w:t>
      </w:r>
      <w:r w:rsidR="001B51D9" w:rsidRPr="001B51D9">
        <w:rPr>
          <w:sz w:val="22"/>
        </w:rPr>
        <w:t xml:space="preserve"> </w:t>
      </w:r>
      <w:r w:rsidRPr="001B51D9">
        <w:rPr>
          <w:sz w:val="22"/>
        </w:rPr>
        <w:t xml:space="preserve">de databank </w:t>
      </w:r>
      <w:r w:rsidRPr="001B51D9">
        <w:rPr>
          <w:b/>
          <w:bCs/>
          <w:sz w:val="22"/>
        </w:rPr>
        <w:t>abonnees</w:t>
      </w:r>
      <w:r w:rsidRPr="001B51D9">
        <w:rPr>
          <w:sz w:val="22"/>
        </w:rPr>
        <w:t xml:space="preserve"> aan</w:t>
      </w:r>
      <w:r w:rsidR="001B51D9" w:rsidRPr="001B51D9">
        <w:rPr>
          <w:sz w:val="22"/>
        </w:rPr>
        <w:t xml:space="preserve"> </w:t>
      </w:r>
      <w:r w:rsidR="00B8300C">
        <w:rPr>
          <w:sz w:val="22"/>
        </w:rPr>
        <w:t xml:space="preserve">met alle </w:t>
      </w:r>
      <w:r w:rsidR="00B8300C" w:rsidRPr="00B8300C">
        <w:rPr>
          <w:b/>
          <w:bCs/>
          <w:sz w:val="22"/>
        </w:rPr>
        <w:t>tabellen</w:t>
      </w:r>
      <w:r w:rsidR="00B8300C">
        <w:rPr>
          <w:sz w:val="22"/>
        </w:rPr>
        <w:t xml:space="preserve"> </w:t>
      </w:r>
      <w:r w:rsidR="001B51D9" w:rsidRPr="001B51D9">
        <w:rPr>
          <w:sz w:val="22"/>
        </w:rPr>
        <w:t xml:space="preserve">volgens het ERD hierboven, op </w:t>
      </w:r>
      <w:r w:rsidR="001B51D9" w:rsidRPr="001B51D9">
        <w:rPr>
          <w:b/>
          <w:bCs/>
          <w:sz w:val="22"/>
        </w:rPr>
        <w:t>localhost</w:t>
      </w:r>
      <w:r w:rsidR="001B51D9" w:rsidRPr="001B51D9">
        <w:rPr>
          <w:sz w:val="22"/>
        </w:rPr>
        <w:t>. Bedenk voor elk veld wat het meest geschikte datatype is.</w:t>
      </w:r>
    </w:p>
    <w:p w14:paraId="530D9030" w14:textId="77777777" w:rsidR="00A16EB9" w:rsidRPr="001B51D9" w:rsidRDefault="00A16EB9" w:rsidP="00A16EB9">
      <w:pPr>
        <w:pStyle w:val="Lijstalinea"/>
        <w:rPr>
          <w:sz w:val="22"/>
        </w:rPr>
      </w:pPr>
    </w:p>
    <w:p w14:paraId="0270AB6D" w14:textId="4B1518A5" w:rsidR="00A16EB9" w:rsidRDefault="001B51D9" w:rsidP="00A16EB9">
      <w:pPr>
        <w:pStyle w:val="Lijstalinea"/>
        <w:numPr>
          <w:ilvl w:val="0"/>
          <w:numId w:val="5"/>
        </w:numPr>
        <w:rPr>
          <w:sz w:val="22"/>
        </w:rPr>
      </w:pPr>
      <w:r w:rsidRPr="001B51D9">
        <w:rPr>
          <w:b/>
          <w:bCs/>
          <w:sz w:val="22"/>
        </w:rPr>
        <w:t>Foreign key</w:t>
      </w:r>
      <w:r w:rsidR="00C600FC">
        <w:rPr>
          <w:b/>
          <w:bCs/>
          <w:sz w:val="22"/>
        </w:rPr>
        <w:t xml:space="preserve"> constraint</w:t>
      </w:r>
      <w:r w:rsidRPr="001B51D9">
        <w:rPr>
          <w:b/>
          <w:bCs/>
          <w:sz w:val="22"/>
        </w:rPr>
        <w:t>s</w:t>
      </w:r>
      <w:r w:rsidRPr="001B51D9">
        <w:rPr>
          <w:sz w:val="22"/>
        </w:rPr>
        <w:t xml:space="preserve"> hoef je niet te definiëren</w:t>
      </w:r>
      <w:r w:rsidR="00C600FC">
        <w:rPr>
          <w:sz w:val="22"/>
        </w:rPr>
        <w:t xml:space="preserve"> maar wel de </w:t>
      </w:r>
      <w:r w:rsidR="00C600FC" w:rsidRPr="00C600FC">
        <w:rPr>
          <w:b/>
          <w:bCs/>
          <w:sz w:val="22"/>
        </w:rPr>
        <w:t>foreign keys</w:t>
      </w:r>
      <w:r w:rsidR="00C600FC">
        <w:rPr>
          <w:sz w:val="22"/>
        </w:rPr>
        <w:t xml:space="preserve"> zelf</w:t>
      </w:r>
      <w:r w:rsidR="002D1481">
        <w:rPr>
          <w:sz w:val="22"/>
        </w:rPr>
        <w:t>; wat is het verschil?</w:t>
      </w:r>
    </w:p>
    <w:p w14:paraId="58BF1792" w14:textId="77777777" w:rsidR="00A16EB9" w:rsidRPr="00A16EB9" w:rsidRDefault="00A16EB9" w:rsidP="00A16EB9">
      <w:pPr>
        <w:pStyle w:val="Lijstalinea"/>
        <w:rPr>
          <w:sz w:val="22"/>
        </w:rPr>
      </w:pPr>
    </w:p>
    <w:p w14:paraId="5C3D33DD" w14:textId="1C117D92" w:rsidR="001B51D9" w:rsidRDefault="00417044" w:rsidP="001B51D9">
      <w:pPr>
        <w:pStyle w:val="Lijstalinea"/>
        <w:numPr>
          <w:ilvl w:val="0"/>
          <w:numId w:val="5"/>
        </w:numPr>
        <w:rPr>
          <w:sz w:val="22"/>
        </w:rPr>
      </w:pPr>
      <w:r w:rsidRPr="00417044">
        <w:rPr>
          <w:b/>
          <w:bCs/>
          <w:sz w:val="22"/>
        </w:rPr>
        <w:t>Creëer</w:t>
      </w:r>
      <w:r w:rsidR="001B51D9" w:rsidRPr="001B51D9">
        <w:rPr>
          <w:sz w:val="22"/>
        </w:rPr>
        <w:t xml:space="preserve"> in elke tabel een aantal </w:t>
      </w:r>
      <w:r w:rsidR="001B51D9" w:rsidRPr="00417044">
        <w:rPr>
          <w:sz w:val="22"/>
        </w:rPr>
        <w:t>records</w:t>
      </w:r>
    </w:p>
    <w:p w14:paraId="47491BB7" w14:textId="492A0707" w:rsidR="00417044" w:rsidRDefault="00417044" w:rsidP="001B51D9">
      <w:pPr>
        <w:pStyle w:val="Lijstalinea"/>
        <w:numPr>
          <w:ilvl w:val="0"/>
          <w:numId w:val="5"/>
        </w:numPr>
        <w:rPr>
          <w:sz w:val="22"/>
        </w:rPr>
      </w:pPr>
      <w:r w:rsidRPr="00417044">
        <w:rPr>
          <w:b/>
          <w:bCs/>
          <w:sz w:val="22"/>
        </w:rPr>
        <w:t>Wijzig</w:t>
      </w:r>
      <w:r>
        <w:rPr>
          <w:sz w:val="22"/>
        </w:rPr>
        <w:t xml:space="preserve"> enkele gegevens</w:t>
      </w:r>
    </w:p>
    <w:p w14:paraId="6C5C77F9" w14:textId="2510A77F" w:rsidR="00417044" w:rsidRPr="001B51D9" w:rsidRDefault="00417044" w:rsidP="001B51D9">
      <w:pPr>
        <w:pStyle w:val="Lijstalinea"/>
        <w:numPr>
          <w:ilvl w:val="0"/>
          <w:numId w:val="5"/>
        </w:numPr>
        <w:rPr>
          <w:sz w:val="22"/>
        </w:rPr>
      </w:pPr>
      <w:r w:rsidRPr="00417044">
        <w:rPr>
          <w:b/>
          <w:bCs/>
          <w:sz w:val="22"/>
        </w:rPr>
        <w:t>Verwijder</w:t>
      </w:r>
      <w:r>
        <w:rPr>
          <w:sz w:val="22"/>
        </w:rPr>
        <w:t xml:space="preserve"> enkele records weer</w:t>
      </w:r>
    </w:p>
    <w:p w14:paraId="40ABE2FB" w14:textId="5AB66044" w:rsidR="006E4E73" w:rsidRDefault="006E4E73" w:rsidP="006E4E73">
      <w:pPr>
        <w:rPr>
          <w:sz w:val="22"/>
        </w:rPr>
      </w:pPr>
    </w:p>
    <w:p w14:paraId="219803DF" w14:textId="3972947A" w:rsidR="007C2952" w:rsidRDefault="007C2952" w:rsidP="00E80E38">
      <w:pPr>
        <w:pStyle w:val="Kop2"/>
      </w:pPr>
      <w:r>
        <w:t>Uitbreiding</w:t>
      </w:r>
      <w:r w:rsidR="00205035">
        <w:t xml:space="preserve"> voor wie extra wil oefenen</w:t>
      </w:r>
    </w:p>
    <w:p w14:paraId="4A5D5A2E" w14:textId="32E37489" w:rsidR="009E3751" w:rsidRPr="00E80E38" w:rsidRDefault="009E3751" w:rsidP="009E3751">
      <w:pPr>
        <w:pStyle w:val="Lijstalinea"/>
        <w:numPr>
          <w:ilvl w:val="0"/>
          <w:numId w:val="5"/>
        </w:numPr>
        <w:rPr>
          <w:sz w:val="22"/>
        </w:rPr>
      </w:pPr>
      <w:r w:rsidRPr="00E80E38">
        <w:rPr>
          <w:sz w:val="22"/>
        </w:rPr>
        <w:t xml:space="preserve">Creëer ook de databanken </w:t>
      </w:r>
      <w:r w:rsidRPr="00E80E38">
        <w:rPr>
          <w:b/>
          <w:bCs/>
          <w:sz w:val="22"/>
        </w:rPr>
        <w:t>punten</w:t>
      </w:r>
      <w:r w:rsidRPr="00E80E38">
        <w:rPr>
          <w:sz w:val="22"/>
        </w:rPr>
        <w:t xml:space="preserve"> (zie ANTW 1.2), </w:t>
      </w:r>
      <w:r w:rsidRPr="00E80E38">
        <w:rPr>
          <w:b/>
          <w:bCs/>
          <w:sz w:val="22"/>
        </w:rPr>
        <w:t>garage</w:t>
      </w:r>
      <w:r w:rsidRPr="00E80E38">
        <w:rPr>
          <w:sz w:val="22"/>
        </w:rPr>
        <w:t xml:space="preserve"> (zie ANTW 1.3)</w:t>
      </w:r>
      <w:r w:rsidR="00E80E38" w:rsidRPr="00E80E38">
        <w:rPr>
          <w:sz w:val="22"/>
        </w:rPr>
        <w:t xml:space="preserve"> en </w:t>
      </w:r>
      <w:r w:rsidR="00E80E38" w:rsidRPr="00E80E38">
        <w:rPr>
          <w:b/>
          <w:bCs/>
          <w:sz w:val="22"/>
        </w:rPr>
        <w:t>dokters</w:t>
      </w:r>
      <w:r w:rsidR="00E80E38" w:rsidRPr="00E80E38">
        <w:rPr>
          <w:sz w:val="22"/>
        </w:rPr>
        <w:t xml:space="preserve"> (zie ANTW 1.4)</w:t>
      </w:r>
      <w:r w:rsidR="00E80E38">
        <w:rPr>
          <w:sz w:val="22"/>
        </w:rPr>
        <w:t xml:space="preserve"> en voer dezelfde stappen uit met betrekking tot het </w:t>
      </w:r>
      <w:r w:rsidR="00E80E38" w:rsidRPr="00E80E38">
        <w:rPr>
          <w:b/>
          <w:bCs/>
          <w:sz w:val="22"/>
        </w:rPr>
        <w:t>creëren</w:t>
      </w:r>
      <w:r w:rsidR="00E80E38">
        <w:rPr>
          <w:sz w:val="22"/>
        </w:rPr>
        <w:t xml:space="preserve">, </w:t>
      </w:r>
      <w:r w:rsidR="00E80E38" w:rsidRPr="00E80E38">
        <w:rPr>
          <w:b/>
          <w:bCs/>
          <w:sz w:val="22"/>
        </w:rPr>
        <w:t>wijzigen</w:t>
      </w:r>
      <w:r w:rsidR="00E80E38">
        <w:rPr>
          <w:sz w:val="22"/>
        </w:rPr>
        <w:t xml:space="preserve"> en </w:t>
      </w:r>
      <w:r w:rsidR="00E80E38" w:rsidRPr="00E80E38">
        <w:rPr>
          <w:b/>
          <w:bCs/>
          <w:sz w:val="22"/>
        </w:rPr>
        <w:t>verwijderen</w:t>
      </w:r>
      <w:r w:rsidR="00E80E38">
        <w:rPr>
          <w:sz w:val="22"/>
        </w:rPr>
        <w:t xml:space="preserve"> van gegevens.</w:t>
      </w:r>
    </w:p>
    <w:p w14:paraId="6B02BC51" w14:textId="77777777" w:rsidR="007C2952" w:rsidRPr="006E4E73" w:rsidRDefault="007C2952" w:rsidP="006E4E73">
      <w:pPr>
        <w:rPr>
          <w:sz w:val="22"/>
        </w:rPr>
      </w:pPr>
    </w:p>
    <w:sectPr w:rsidR="007C2952" w:rsidRPr="006E4E73" w:rsidSect="0096253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5EB4" w14:textId="77777777" w:rsidR="008F1292" w:rsidRDefault="008F1292" w:rsidP="00962539">
      <w:pPr>
        <w:spacing w:after="0" w:line="240" w:lineRule="auto"/>
      </w:pPr>
      <w:r>
        <w:separator/>
      </w:r>
    </w:p>
  </w:endnote>
  <w:endnote w:type="continuationSeparator" w:id="0">
    <w:p w14:paraId="027CBD8D" w14:textId="77777777" w:rsidR="008F1292" w:rsidRDefault="008F1292" w:rsidP="0096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4C00" w14:textId="77777777" w:rsidR="008F1292" w:rsidRDefault="008F1292" w:rsidP="00962539">
      <w:pPr>
        <w:spacing w:after="0" w:line="240" w:lineRule="auto"/>
      </w:pPr>
      <w:r>
        <w:separator/>
      </w:r>
    </w:p>
  </w:footnote>
  <w:footnote w:type="continuationSeparator" w:id="0">
    <w:p w14:paraId="477D74F0" w14:textId="77777777" w:rsidR="008F1292" w:rsidRDefault="008F1292" w:rsidP="0096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0131D7"/>
    <w:multiLevelType w:val="hybridMultilevel"/>
    <w:tmpl w:val="70ACE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102E1F"/>
    <w:rsid w:val="00121DEF"/>
    <w:rsid w:val="001A530D"/>
    <w:rsid w:val="001B51D9"/>
    <w:rsid w:val="00205035"/>
    <w:rsid w:val="00274155"/>
    <w:rsid w:val="002D1481"/>
    <w:rsid w:val="002E251C"/>
    <w:rsid w:val="00306AA2"/>
    <w:rsid w:val="003654FD"/>
    <w:rsid w:val="00417044"/>
    <w:rsid w:val="00421CCC"/>
    <w:rsid w:val="005229D3"/>
    <w:rsid w:val="005442CD"/>
    <w:rsid w:val="00567254"/>
    <w:rsid w:val="0057689B"/>
    <w:rsid w:val="00606C75"/>
    <w:rsid w:val="0068054D"/>
    <w:rsid w:val="006E4E73"/>
    <w:rsid w:val="007A28CC"/>
    <w:rsid w:val="007C2952"/>
    <w:rsid w:val="007C4CD0"/>
    <w:rsid w:val="008603D9"/>
    <w:rsid w:val="008D4415"/>
    <w:rsid w:val="008F1292"/>
    <w:rsid w:val="00920EEA"/>
    <w:rsid w:val="00962539"/>
    <w:rsid w:val="00985ED2"/>
    <w:rsid w:val="009E3751"/>
    <w:rsid w:val="00A16EB9"/>
    <w:rsid w:val="00A576D7"/>
    <w:rsid w:val="00AC7D0B"/>
    <w:rsid w:val="00B161FB"/>
    <w:rsid w:val="00B75F87"/>
    <w:rsid w:val="00B8300C"/>
    <w:rsid w:val="00BC08DC"/>
    <w:rsid w:val="00C07BB2"/>
    <w:rsid w:val="00C600FC"/>
    <w:rsid w:val="00C84DC1"/>
    <w:rsid w:val="00CE41F9"/>
    <w:rsid w:val="00D93956"/>
    <w:rsid w:val="00E01ACA"/>
    <w:rsid w:val="00E73A3C"/>
    <w:rsid w:val="00E80E38"/>
    <w:rsid w:val="00EC717F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1B51D9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5035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2E74B5" w:themeColor="accent5" w:themeShade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51D9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205035"/>
    <w:rPr>
      <w:rFonts w:ascii="Segoe UI" w:eastAsiaTheme="majorEastAsia" w:hAnsi="Segoe UI" w:cstheme="majorBidi"/>
      <w:b/>
      <w:bCs/>
      <w:color w:val="2E74B5" w:themeColor="accent5" w:themeShade="BF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2539"/>
    <w:rPr>
      <w:rFonts w:ascii="Segoe UI" w:eastAsiaTheme="minorEastAsia" w:hAnsi="Segoe UI"/>
      <w:sz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2539"/>
    <w:rPr>
      <w:rFonts w:ascii="Segoe UI" w:eastAsiaTheme="minorEastAsia" w:hAnsi="Segoe UI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34</cp:revision>
  <dcterms:created xsi:type="dcterms:W3CDTF">2018-11-14T20:35:00Z</dcterms:created>
  <dcterms:modified xsi:type="dcterms:W3CDTF">2021-10-25T20:16:00Z</dcterms:modified>
</cp:coreProperties>
</file>