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15"/>
        <w:pBdr/>
        <w:spacing/>
        <w:ind/>
        <w:jc w:val="center"/>
        <w:rPr>
          <w:rFonts w:ascii="Google Sans" w:hAnsi="Google Sans" w:eastAsia="Google Sans" w:cs="Google Sans"/>
          <w:b/>
          <w:bCs/>
          <w:sz w:val="32"/>
          <w:szCs w:val="32"/>
          <w:u w:val="single"/>
        </w:rPr>
      </w:pPr>
      <w:r/>
      <w:bookmarkStart w:id="0" w:name="_87tykp1u0l36"/>
      <w:r/>
      <w:bookmarkEnd w:id="0"/>
      <w:r>
        <w:rPr>
          <w:rFonts w:ascii="Google Sans" w:hAnsi="Google Sans" w:eastAsia="Google Sans" w:cs="Google Sans"/>
          <w:b/>
          <w:bCs/>
          <w:sz w:val="32"/>
          <w:szCs w:val="32"/>
          <w:u w:val="single"/>
          <w:rtl w:val="0"/>
        </w:rPr>
        <w:t xml:space="preserve"> [Organization’s Name] Controls and Compliance Audit </w:t>
      </w:r>
      <w:r>
        <w:rPr>
          <w:rFonts w:ascii="Google Sans" w:hAnsi="Google Sans" w:eastAsia="Google Sans" w:cs="Google Sans"/>
          <w:b/>
          <w:bCs/>
          <w:sz w:val="32"/>
          <w:szCs w:val="32"/>
          <w:u w:val="single"/>
        </w:rPr>
      </w:r>
    </w:p>
    <w:p w14:paraId="00000002">
      <w:pPr>
        <w:pBdr/>
        <w:spacing/>
        <w:ind/>
        <w:rPr>
          <w:rFonts w:ascii="Google Sans" w:hAnsi="Google Sans" w:eastAsia="Google Sans" w:cs="Google Sans"/>
        </w:rPr>
      </w:pPr>
      <w:r>
        <w:rPr>
          <w:rtl w:val="0"/>
        </w:rPr>
      </w:r>
      <w:r>
        <w:rPr>
          <w:rFonts w:ascii="Google Sans" w:hAnsi="Google Sans" w:eastAsia="Google Sans" w:cs="Google Sans"/>
        </w:rPr>
      </w:r>
    </w:p>
    <w:p w14:paraId="00000003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1f1f1f"/>
          <w:sz w:val="21"/>
          <w:szCs w:val="21"/>
          <w:rtl w:val="0"/>
        </w:rPr>
        <w:t xml:space="preserve">Prepared For:</w:t>
      </w:r>
      <w:r>
        <w:rPr>
          <w:rFonts w:ascii="Google Sans" w:hAnsi="Google Sans" w:eastAsia="Google Sans" w:cs="Google Sans"/>
          <w:i/>
          <w:iCs/>
          <w:sz w:val="24"/>
          <w:szCs w:val="24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04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1f1f1f"/>
          <w:sz w:val="21"/>
          <w:szCs w:val="21"/>
          <w:rtl w:val="0"/>
        </w:rPr>
        <w:t xml:space="preserve">Date:</w:t>
      </w:r>
      <w:r>
        <w:rPr>
          <w:rFonts w:ascii="Google Sans" w:hAnsi="Google Sans" w:eastAsia="Google Sans" w:cs="Google Sans"/>
          <w:i/>
          <w:iCs/>
          <w:sz w:val="24"/>
          <w:szCs w:val="24"/>
          <w:rtl w:val="0"/>
        </w:rPr>
        <w:t xml:space="preserve"> DD   / MM  / YYYY</w:t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05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1f1f1f"/>
          <w:sz w:val="21"/>
          <w:szCs w:val="21"/>
          <w:rtl w:val="0"/>
        </w:rPr>
        <w:t xml:space="preserve">Prepared By:</w:t>
      </w:r>
      <w:r>
        <w:rPr>
          <w:rFonts w:ascii="Google Sans" w:hAnsi="Google Sans" w:eastAsia="Google Sans" w:cs="Google Sans"/>
          <w:i/>
          <w:iCs/>
          <w:sz w:val="24"/>
          <w:szCs w:val="24"/>
          <w:rtl w:val="0"/>
        </w:rPr>
        <w:t xml:space="preserve"> </w:t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06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07">
      <w:pPr>
        <w:pBdr/>
        <w:spacing/>
        <w:ind/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</w:rPr>
      </w:pPr>
      <w:r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  <w:rtl w:val="0"/>
        </w:rPr>
        <w:t xml:space="preserve">Executive Summary:</w:t>
      </w:r>
      <w:r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</w:rPr>
      </w:r>
    </w:p>
    <w:p w14:paraId="00000008">
      <w:pPr>
        <w:pBdr/>
        <w:spacing/>
        <w:ind/>
        <w:rPr>
          <w:rFonts w:ascii="Google Sans" w:hAnsi="Google Sans" w:eastAsia="Google Sans" w:cs="Google Sans"/>
          <w:b/>
          <w:bCs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1f1f1f"/>
          <w:sz w:val="24"/>
          <w:szCs w:val="24"/>
          <w:rtl w:val="0"/>
        </w:rPr>
        <w:t xml:space="preserve">Purpose</w:t>
      </w:r>
      <w:r>
        <w:rPr>
          <w:rFonts w:ascii="Google Sans" w:hAnsi="Google Sans" w:eastAsia="Google Sans" w:cs="Google Sans"/>
          <w:b/>
          <w:bCs/>
          <w:color w:val="1f1f1f"/>
          <w:sz w:val="23"/>
          <w:szCs w:val="23"/>
          <w:rtl w:val="0"/>
        </w:rPr>
        <w:t xml:space="preserve">: 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to systematically evaluate our organization's security controls, policies, and infrastructure to identify vulnerabilities before attackers can exploit them</w:t>
      </w:r>
      <w:r>
        <w:rPr>
          <w:rFonts w:ascii="Google Sans" w:hAnsi="Google Sans" w:eastAsia="Google Sans" w:cs="Google Sans"/>
          <w:b/>
          <w:bCs/>
          <w:sz w:val="32"/>
          <w:szCs w:val="32"/>
          <w:rtl w:val="0"/>
        </w:rPr>
        <w:t xml:space="preserve">. </w:t>
        <w:br/>
      </w:r>
      <w:r>
        <w:rPr>
          <w:rFonts w:ascii="Google Sans" w:hAnsi="Google Sans" w:eastAsia="Google Sans" w:cs="Google Sans"/>
          <w:b/>
          <w:bCs/>
          <w:color w:val="1f1f1f"/>
          <w:sz w:val="24"/>
          <w:szCs w:val="24"/>
          <w:rtl w:val="0"/>
        </w:rPr>
        <w:t xml:space="preserve">Top Risks: </w:t>
      </w:r>
      <w:r>
        <w:rPr>
          <w:rFonts w:ascii="Google Sans" w:hAnsi="Google Sans" w:eastAsia="Google Sans" w:cs="Google Sans"/>
          <w:b/>
          <w:bCs/>
          <w:color w:val="1f1f1f"/>
          <w:sz w:val="24"/>
          <w:szCs w:val="24"/>
        </w:rPr>
      </w:r>
    </w:p>
    <w:p w14:paraId="78D73CF3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[List the top 3-5 risks identified, ordered by severity. E.g. 1. No encryption on customer PII (High)  2. No disaster recovery plan (High)  3. Legacy systems without access controls (Medium)]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3BC3E4DC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[Overall risk rating: High / Medium / Low - justify in one sentence.]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60209203">
      <w:pPr>
        <w:pBdr/>
        <w:spacing/>
        <w:ind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Fonts w:ascii="Google Sans" w:hAnsi="Google Sans" w:eastAsia="Google Sans" w:cs="Google Sans"/>
          <w:color w:val="1f1f1f"/>
          <w:sz w:val="24"/>
          <w:szCs w:val="24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</w:p>
    <w:p w14:paraId="0000000B">
      <w:pPr>
        <w:pBdr/>
        <w:spacing/>
        <w:ind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</w:p>
    <w:p w14:paraId="0000000C">
      <w:pPr>
        <w:pBdr/>
        <w:spacing/>
        <w:ind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</w:p>
    <w:p w14:paraId="0000000D">
      <w:pPr>
        <w:pBdr/>
        <w:spacing/>
        <w:ind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</w:p>
    <w:p w14:paraId="0000000E">
      <w:pPr>
        <w:pBdr/>
        <w:spacing/>
        <w:ind/>
        <w:rPr>
          <w:rFonts w:ascii="Google Sans" w:hAnsi="Google Sans" w:eastAsia="Google Sans" w:cs="Google Sans"/>
          <w:color w:val="1f1f1f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color w:val="1f1f1f"/>
          <w:sz w:val="24"/>
          <w:szCs w:val="24"/>
        </w:rPr>
      </w:r>
    </w:p>
    <w:p w14:paraId="0000000F">
      <w:pPr>
        <w:pBdr/>
        <w:spacing/>
        <w:ind/>
        <w:rPr>
          <w:rFonts w:ascii="Google Sans" w:hAnsi="Google Sans" w:eastAsia="Google Sans" w:cs="Google Sans"/>
          <w:b/>
          <w:bCs/>
          <w:i/>
          <w:i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color w:val="1f1f1f"/>
          <w:sz w:val="24"/>
          <w:szCs w:val="24"/>
          <w:rtl w:val="0"/>
        </w:rPr>
        <w:t xml:space="preserve">Business Impact:</w:t>
      </w:r>
      <w:r>
        <w:rPr>
          <w:rFonts w:ascii="Google Sans" w:hAnsi="Google Sans" w:eastAsia="Google Sans" w:cs="Google Sans"/>
          <w:b/>
          <w:bCs/>
          <w:i/>
          <w:iCs/>
          <w:sz w:val="24"/>
          <w:szCs w:val="24"/>
          <w:rtl w:val="0"/>
        </w:rPr>
        <w:t xml:space="preserve"> [High / Medium / Low]</w:t>
      </w:r>
      <w:r>
        <w:rPr>
          <w:rFonts w:ascii="Google Sans" w:hAnsi="Google Sans" w:eastAsia="Google Sans" w:cs="Google Sans"/>
          <w:b/>
          <w:bCs/>
          <w:i/>
          <w:iCs/>
          <w:sz w:val="24"/>
          <w:szCs w:val="24"/>
        </w:rPr>
      </w:r>
    </w:p>
    <w:p w14:paraId="00000010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11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12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13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14">
      <w:pPr>
        <w:pBdr/>
        <w:spacing/>
        <w:ind/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</w:rPr>
      </w:pPr>
      <w:r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  <w:rtl w:val="0"/>
        </w:rPr>
        <w:t xml:space="preserve">Audit Scope &amp; Objectives:</w:t>
      </w:r>
      <w:r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</w:rPr>
      </w:r>
    </w:p>
    <w:p w14:paraId="00000015">
      <w:pPr>
        <w:pBdr/>
        <w:shd w:val="clear" w:color="auto" w:fill="ffffff"/>
        <w:spacing w:after="240" w:before="240"/>
        <w:ind w:firstLine="0" w:left="0"/>
        <w:rPr>
          <w:rFonts w:ascii="Google Sans" w:hAnsi="Google Sans" w:eastAsia="Google Sans" w:cs="Google Sans"/>
          <w:color w:val="1f1f1f"/>
          <w:sz w:val="25"/>
          <w:szCs w:val="25"/>
        </w:rPr>
      </w:pPr>
      <w:r>
        <w:rPr>
          <w:rFonts w:ascii="Google Sans" w:hAnsi="Google Sans" w:eastAsia="Google Sans" w:cs="Google Sans"/>
          <w:b/>
          <w:bCs/>
          <w:color w:val="1f1f1f"/>
          <w:sz w:val="25"/>
          <w:szCs w:val="25"/>
          <w:rtl w:val="0"/>
        </w:rPr>
        <w:t xml:space="preserve">Scope:</w:t>
      </w:r>
      <w:r>
        <w:rPr>
          <w:rFonts w:ascii="Google Sans" w:hAnsi="Google Sans" w:eastAsia="Google Sans" w:cs="Google Sans"/>
          <w:color w:val="1f1f1f"/>
          <w:sz w:val="25"/>
          <w:szCs w:val="25"/>
          <w:rtl w:val="0"/>
        </w:rPr>
        <w:t xml:space="preserve"> This audit covers [Organization’s name]' digital infrastructure, physical store assets, and adherence to PCI DSS and GDPR regulatory frameworks.</w:t>
      </w:r>
      <w:r>
        <w:rPr>
          <w:rFonts w:ascii="Google Sans" w:hAnsi="Google Sans" w:eastAsia="Google Sans" w:cs="Google Sans"/>
          <w:color w:val="1f1f1f"/>
          <w:sz w:val="25"/>
          <w:szCs w:val="25"/>
        </w:rPr>
      </w:r>
    </w:p>
    <w:p w14:paraId="00000016">
      <w:pPr>
        <w:pStyle w:val="722"/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/>
      <w:bookmarkStart w:id="1" w:name="_xj0peduri1sd"/>
      <w:r/>
      <w:bookmarkEnd w:id="1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  <w:rtl w:val="0"/>
        </w:rPr>
        <w:t xml:space="preserve">Objectives:</w:t>
      </w:r>
      <w:r>
        <w:rPr>
          <w:rFonts w:ascii="Google Sans" w:hAnsi="Google Sans" w:eastAsia="Google Sans" w:cs="Google Sans"/>
          <w:color w:val="000000"/>
          <w:sz w:val="24"/>
          <w:szCs w:val="24"/>
          <w:rtl w:val="0"/>
        </w:rPr>
        <w:t xml:space="preserve"> Assess existing assets and complete the controls and compliance checklist to determine which controls and compliance best practices that need to be implemented to  improve [Organization’s name]’ security posture </w:t>
      </w:r>
      <w:r>
        <w:rPr>
          <w:rFonts w:ascii="Google Sans" w:hAnsi="Google Sans" w:eastAsia="Google Sans" w:cs="Google Sans"/>
          <w:color w:val="1f1f1f"/>
          <w:sz w:val="24"/>
          <w:szCs w:val="24"/>
          <w:rtl w:val="0"/>
        </w:rPr>
        <w:t xml:space="preserve">and provide actionable recommendations for risk mitigation.</w:t>
      </w:r>
      <w:r>
        <w:rPr>
          <w:rFonts w:ascii="Google Sans" w:hAnsi="Google Sans" w:eastAsia="Google Sans" w:cs="Google Sans"/>
          <w:color w:val="000000"/>
          <w:sz w:val="24"/>
          <w:szCs w:val="24"/>
          <w:rtl w:val="0"/>
        </w:rPr>
        <w:t xml:space="preserve"> </w:t>
      </w:r>
      <w:r>
        <w:rPr>
          <w:rtl w:val="0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0000017">
      <w:pPr>
        <w:pBdr/>
        <w:spacing/>
        <w:ind/>
        <w:rPr>
          <w:rFonts w:ascii="Google Sans" w:hAnsi="Google Sans" w:eastAsia="Google Sans" w:cs="Google Sans"/>
          <w:b/>
          <w:bCs/>
          <w:sz w:val="29"/>
          <w:szCs w:val="29"/>
          <w:u w:val="single"/>
        </w:rPr>
      </w:pPr>
      <w:r>
        <w:rPr>
          <w:rFonts w:ascii="Google Sans" w:hAnsi="Google Sans" w:eastAsia="Google Sans" w:cs="Google Sans"/>
          <w:b/>
          <w:bCs/>
          <w:sz w:val="29"/>
          <w:szCs w:val="29"/>
          <w:u w:val="single"/>
          <w:rtl w:val="0"/>
        </w:rPr>
        <w:t xml:space="preserve"> </w:t>
      </w:r>
      <w:r>
        <w:rPr>
          <w:rFonts w:ascii="Google Sans" w:hAnsi="Google Sans" w:eastAsia="Google Sans" w:cs="Google Sans"/>
          <w:b/>
          <w:bCs/>
          <w:sz w:val="29"/>
          <w:szCs w:val="29"/>
          <w:u w:val="single"/>
        </w:rPr>
      </w:r>
    </w:p>
    <w:p w14:paraId="00000018">
      <w:pPr>
        <w:pBdr/>
        <w:spacing/>
        <w:ind/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pPr>
      <w:r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  <w:rtl w:val="0"/>
        </w:rPr>
        <w:t xml:space="preserve"> </w:t>
      </w:r>
      <w:r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r>
    </w:p>
    <w:p w14:paraId="00000019">
      <w:pPr>
        <w:pBdr/>
        <w:spacing/>
        <w:ind/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r>
    </w:p>
    <w:p w14:paraId="0000001A">
      <w:pPr>
        <w:pBdr/>
        <w:spacing/>
        <w:ind/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i/>
          <w:iCs/>
          <w:sz w:val="30"/>
          <w:szCs w:val="30"/>
          <w:u w:val="single"/>
        </w:rPr>
      </w:r>
    </w:p>
    <w:p w14:paraId="0000001B">
      <w:pPr>
        <w:pBdr/>
        <w:spacing/>
        <w:ind/>
        <w:rPr/>
      </w:pPr>
      <w:r>
        <w:rPr>
          <w:rFonts w:ascii="Google Sans" w:hAnsi="Google Sans" w:eastAsia="Google Sans" w:cs="Google Sans"/>
          <w:b/>
          <w:bCs/>
          <w:color w:val="1f1f1f"/>
          <w:sz w:val="29"/>
          <w:szCs w:val="29"/>
          <w:u w:val="single"/>
          <w:rtl w:val="0"/>
        </w:rPr>
        <w:t xml:space="preserve">Audit Methodology:</w:t>
      </w:r>
      <w:r>
        <w:rPr>
          <w:rtl w:val="0"/>
        </w:rPr>
      </w:r>
      <w:r/>
    </w:p>
    <w:p w14:paraId="0000001C">
      <w:pPr>
        <w:pBdr/>
        <w:spacing/>
        <w:ind/>
        <w:rPr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This audit followed a comprehensive, multi-phase approach to evaluate [Organization’s name]' security posture and compliance readiness:</w:t>
      </w:r>
      <w:r>
        <w:rPr>
          <w:rtl w:val="0"/>
        </w:rPr>
      </w:r>
      <w:r/>
    </w:p>
    <w:p w14:paraId="0000001D">
      <w:pPr>
        <w:numPr>
          <w:ilvl w:val="0"/>
          <w:numId w:val="18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Documentation Review: 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Review of existing security policies, asset inventories, and compliance frameworks.</w:t>
      </w:r>
      <w:r>
        <w:rPr>
          <w:rtl w:val="0"/>
        </w:rPr>
      </w:r>
      <w:r/>
    </w:p>
    <w:p w14:paraId="0000001E">
      <w:pPr>
        <w:numPr>
          <w:ilvl w:val="0"/>
          <w:numId w:val="18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Stakeholder Interviews: 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Discussions with key personnel to understand operational workflows, access control practices, and existing risk management strategies.</w:t>
      </w:r>
      <w:r>
        <w:rPr>
          <w:rtl w:val="0"/>
        </w:rPr>
      </w:r>
      <w:r/>
    </w:p>
    <w:p w14:paraId="0000001F">
      <w:pPr>
        <w:numPr>
          <w:ilvl w:val="0"/>
          <w:numId w:val="18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Physical and Logical Assessment: 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Evaluation of physical security measures (locks, CCTV) and logical security configurations (firewall rules, legacy system access).</w:t>
      </w:r>
      <w:r>
        <w:rPr>
          <w:rtl w:val="0"/>
        </w:rPr>
      </w:r>
      <w:r/>
    </w:p>
    <w:p w14:paraId="00000020">
      <w:pPr>
        <w:numPr>
          <w:ilvl w:val="0"/>
          <w:numId w:val="18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Gap Analysis: 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Comparing existing controls against industry best practices (PCI DSS, GDPR, SOC 2) to identify vulnerabilities.</w:t>
      </w: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Bdr/>
        <w:spacing/>
        <w:ind/>
        <w:rPr>
          <w:highlight w:val="none"/>
        </w:rPr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Controls assessment checklist</w:t>
      </w:r>
      <w:r>
        <w:rPr>
          <w:rtl w:val="0"/>
        </w:rPr>
      </w:r>
      <w:r>
        <w:rPr>
          <w:rFonts w:ascii="Google Sans" w:hAnsi="Google Sans" w:eastAsia="Google Sans" w:cs="Google Sans"/>
          <w:sz w:val="26"/>
          <w:szCs w:val="26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  <w:rtl w:val="0"/>
        </w:rPr>
      </w:r>
      <w:r>
        <w:rPr>
          <w:highlight w:val="none"/>
        </w:rPr>
      </w:r>
    </w:p>
    <w:p w14:paraId="6B61E232">
      <w:pPr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sz w:val="24"/>
          <w:szCs w:val="24"/>
        </w:rPr>
        <w:t xml:space="preserve">Severity Rating Scale:</w:t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27B634B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High - Immediate risk to data confidentiality, integrity, or availability. Remediation required within 30 days.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46A27C5F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Medium - Significant gap increasing risk exposure. Remediation recommended within 90 days.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128647AC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Low - Minor weakness or best-practice deviation. Remediation recommended within 180 days.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57D3DB07">
      <w:pPr>
        <w:pBdr/>
        <w:spacing/>
        <w:ind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</w:rPr>
      </w:r>
      <w:r>
        <w:rPr>
          <w:rFonts w:ascii="Google Sans" w:hAnsi="Google Sans" w:eastAsia="Google Sans" w:cs="Google Sans"/>
        </w:rPr>
      </w:r>
      <w:r>
        <w:rPr>
          <w:rFonts w:ascii="Google Sans" w:hAnsi="Google Sans" w:eastAsia="Google Sans" w:cs="Google Sans"/>
        </w:rPr>
      </w:r>
    </w:p>
    <w:p w14:paraId="00000023">
      <w:pPr>
        <w:pBdr/>
        <w:spacing/>
        <w:ind/>
        <w:rPr>
          <w:rFonts w:ascii="Google Sans" w:hAnsi="Google Sans" w:eastAsia="Google Sans" w:cs="Google Sans"/>
        </w:rPr>
      </w:pPr>
      <w:r>
        <w:rPr>
          <w:rtl w:val="0"/>
        </w:rPr>
      </w:r>
      <w:r>
        <w:rPr>
          <w:rFonts w:ascii="Google Sans" w:hAnsi="Google Sans" w:eastAsia="Google Sans" w:cs="Google Sans"/>
        </w:rPr>
      </w:r>
    </w:p>
    <w:p w14:paraId="00000024">
      <w:pPr>
        <w:pBdr/>
        <w:spacing/>
        <w:ind/>
        <w:rPr/>
      </w:pPr>
      <w:r>
        <w:rPr>
          <w:rtl w:val="0"/>
        </w:rPr>
      </w:r>
      <w:r/>
    </w:p>
    <w:tbl>
      <w:tblPr>
        <w:tblStyle w:val="723"/>
        <w:tblInd w:w="544" w:type="dxa"/>
        <w:tblW w:w="8381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567"/>
        <w:gridCol w:w="2835"/>
        <w:gridCol w:w="1466"/>
        <w:gridCol w:w="2805"/>
        <w:tblGridChange w:id="0">
          <w:tblGrid>
            <w:gridCol w:w="765"/>
            <w:gridCol w:w="825"/>
            <w:gridCol w:w="2685"/>
            <w:gridCol w:w="1905"/>
            <w:gridCol w:w="2805"/>
          </w:tblGrid>
        </w:tblGridChange>
      </w:tblGrid>
      <w:tr>
        <w:trPr>
          <w:cantSplit w:val="false"/>
          <w:trHeight w:val="615"/>
        </w:trPr>
        <w:tc>
          <w:tcPr>
            <w:tcBorders/>
          </w:tcPr>
          <w:p w14:paraId="00000025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Yes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6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7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Control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8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Severity / Priority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9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i/>
                <w:iCs/>
                <w:sz w:val="24"/>
                <w:szCs w:val="24"/>
                <w:rtl w:val="0"/>
              </w:rPr>
              <w:t xml:space="preserve">Explanation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540"/>
        </w:trPr>
        <w:tc>
          <w:tcPr>
            <w:tcBorders/>
          </w:tcPr>
          <w:p w14:paraId="6C747151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E2FF4C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2C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Least Privilege 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6EFC5E6D">
            <w:pPr>
              <w:pBdr/>
              <w:spacing w:line="240" w:lineRule="auto"/>
              <w:ind/>
              <w:rPr/>
            </w:pPr>
            <w:r/>
            <w:r/>
            <w:r/>
          </w:p>
          <w:p w14:paraId="23B24ADE">
            <w:pPr>
              <w:pBdr/>
              <w:spacing w:line="240" w:lineRule="auto"/>
              <w:ind/>
              <w:rPr/>
            </w:pPr>
            <w:r/>
            <w:r/>
            <w:r/>
          </w:p>
          <w:p w14:paraId="0000002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2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AA079BF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E04911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31"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Disaster recovery plans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6ECC6FFC">
            <w:pPr>
              <w:pBdr/>
              <w:spacing w:line="240" w:lineRule="auto"/>
              <w:ind/>
              <w:rPr/>
            </w:pPr>
            <w:r/>
            <w:r/>
            <w:r/>
          </w:p>
          <w:p w14:paraId="7A7D3ADE">
            <w:pPr>
              <w:pBdr/>
              <w:spacing w:line="240" w:lineRule="auto"/>
              <w:ind/>
              <w:rPr/>
            </w:pPr>
            <w:r/>
            <w:r/>
            <w:r/>
          </w:p>
          <w:p w14:paraId="22077F6D">
            <w:pPr>
              <w:pBdr/>
              <w:spacing w:line="240" w:lineRule="auto"/>
              <w:ind/>
              <w:rPr/>
            </w:pPr>
            <w:r/>
            <w:r/>
            <w:r/>
          </w:p>
          <w:p w14:paraId="0000003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33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1BB57A14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78FCED94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36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Password policies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6B5F265D">
            <w:pPr>
              <w:pBdr/>
              <w:spacing w:line="240" w:lineRule="auto"/>
              <w:ind/>
              <w:rPr/>
            </w:pPr>
            <w:r/>
            <w:r/>
            <w:r/>
          </w:p>
          <w:p w14:paraId="7BF34E16">
            <w:pPr>
              <w:pBdr/>
              <w:spacing w:line="240" w:lineRule="auto"/>
              <w:ind/>
              <w:rPr/>
            </w:pPr>
            <w:r/>
            <w:r/>
            <w:r/>
          </w:p>
          <w:p w14:paraId="0000003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3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73204278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54C38AE5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3B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Separation of duties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5E46B25A">
            <w:pPr>
              <w:pBdr/>
              <w:spacing w:line="240" w:lineRule="auto"/>
              <w:ind/>
              <w:rPr/>
            </w:pPr>
            <w:r/>
            <w:r/>
            <w:r/>
          </w:p>
          <w:p w14:paraId="4E200606">
            <w:pPr>
              <w:pBdr/>
              <w:spacing w:line="240" w:lineRule="auto"/>
              <w:ind/>
              <w:rPr/>
            </w:pPr>
            <w:r/>
            <w:r/>
            <w:r/>
          </w:p>
          <w:p w14:paraId="0000003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3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616"/>
        </w:trPr>
        <w:tc>
          <w:tcPr>
            <w:tcBorders/>
          </w:tcPr>
          <w:p w14:paraId="7AFC651E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812E95A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40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Firewall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43">
            <w:pPr>
              <w:pBdr/>
              <w:spacing w:line="240" w:lineRule="auto"/>
              <w:ind w:firstLine="0" w:left="0"/>
              <w:jc w:val="both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4">
            <w:pPr>
              <w:pBdr/>
              <w:spacing w:line="240" w:lineRule="auto"/>
              <w:ind w:firstLine="0" w:left="0"/>
              <w:jc w:val="both"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4B54302A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598F533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4A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Intrusion detection system (IDS)</w:t>
            </w:r>
            <w:r/>
          </w:p>
          <w:p w14:paraId="1A65C15D">
            <w:pPr>
              <w:pBdr/>
              <w:spacing w:line="240" w:lineRule="auto"/>
              <w:ind/>
              <w:rPr/>
            </w:pPr>
            <w:r/>
            <w:r/>
            <w:r/>
          </w:p>
          <w:p w14:paraId="3590DB03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4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4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A88D3D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5B7F5262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4F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Backups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532132DF">
            <w:pPr>
              <w:pBdr/>
              <w:spacing w:line="240" w:lineRule="auto"/>
              <w:ind/>
              <w:rPr/>
            </w:pPr>
            <w:r/>
            <w:r/>
            <w:r/>
          </w:p>
          <w:p w14:paraId="06D2CBD6">
            <w:pPr>
              <w:pBdr/>
              <w:spacing w:line="240" w:lineRule="auto"/>
              <w:ind/>
              <w:rPr/>
            </w:pPr>
            <w:r/>
            <w:r/>
            <w:r/>
          </w:p>
          <w:p w14:paraId="0000005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5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E0CBF96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1B9D7550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54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Antivirus software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732E2D14">
            <w:pPr>
              <w:pBdr/>
              <w:spacing w:line="240" w:lineRule="auto"/>
              <w:ind/>
              <w:rPr/>
            </w:pPr>
            <w:r/>
            <w:r/>
            <w:r/>
          </w:p>
          <w:p w14:paraId="77A9A833">
            <w:pPr>
              <w:pBdr/>
              <w:spacing w:line="240" w:lineRule="auto"/>
              <w:ind/>
              <w:rPr/>
            </w:pPr>
            <w:r/>
            <w:r/>
            <w:r/>
          </w:p>
          <w:p w14:paraId="0000005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5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9EC5511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3B9965F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59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  <w:r/>
          </w:p>
          <w:p w14:paraId="1D0A1FF7">
            <w:pPr>
              <w:pBdr/>
              <w:spacing w:line="240" w:lineRule="auto"/>
              <w:ind/>
              <w:rPr/>
            </w:pPr>
            <w:r/>
            <w:r/>
            <w:r/>
          </w:p>
          <w:p w14:paraId="641B6B01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5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5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4528B141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3A7EBCA0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5E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Encryption</w:t>
            </w:r>
            <w:r/>
          </w:p>
          <w:p w14:paraId="02E0B9FE">
            <w:pPr>
              <w:pBdr/>
              <w:spacing w:line="240" w:lineRule="auto"/>
              <w:ind/>
              <w:rPr/>
            </w:pPr>
            <w:r/>
            <w:r/>
            <w:r/>
          </w:p>
          <w:p w14:paraId="6673A62C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5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6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6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B517F88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74E34F88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65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Password management system</w:t>
            </w:r>
            <w:r/>
          </w:p>
          <w:p w14:paraId="4E7F2CB4">
            <w:pPr>
              <w:pBdr/>
              <w:spacing w:line="240" w:lineRule="auto"/>
              <w:ind/>
              <w:rPr/>
            </w:pPr>
            <w:r/>
            <w:r/>
            <w:r/>
          </w:p>
          <w:p w14:paraId="1299462A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6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C72868E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724CA477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6A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Locks (offices, storefront, warehouse)</w:t>
            </w:r>
            <w:r/>
          </w:p>
          <w:p w14:paraId="06F2BFE3">
            <w:pPr>
              <w:pBdr/>
              <w:spacing w:line="240" w:lineRule="auto"/>
              <w:ind/>
              <w:rPr/>
            </w:pPr>
            <w:r/>
            <w:r/>
            <w:r/>
          </w:p>
          <w:p w14:paraId="02F99AFE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6B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626C19C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42457DD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6F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Closed-circuit television (CCTV) surveillance</w:t>
            </w:r>
            <w:r/>
          </w:p>
          <w:p w14:paraId="3D02AAB9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7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7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7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49F17C55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2BF6CFE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76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1E611DB4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79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7A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7D">
      <w:pPr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000007E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  <w:u w:val="single"/>
        </w:rPr>
      </w:pPr>
      <w:r>
        <w:rPr>
          <w:rFonts w:ascii="Google Sans" w:hAnsi="Google Sans" w:eastAsia="Google Sans" w:cs="Google Sans"/>
          <w:sz w:val="24"/>
          <w:szCs w:val="24"/>
          <w:u w:val="single"/>
          <w:rtl w:val="0"/>
        </w:rPr>
        <w:t xml:space="preserve">Payment Card Industry Data Security Standard (PCI DSS)</w:t>
      </w:r>
      <w:r>
        <w:rPr>
          <w:rFonts w:ascii="Google Sans" w:hAnsi="Google Sans" w:eastAsia="Google Sans" w:cs="Google Sans"/>
          <w:sz w:val="24"/>
          <w:szCs w:val="24"/>
          <w:u w:val="single"/>
        </w:rPr>
      </w:r>
    </w:p>
    <w:p w14:paraId="0000007F">
      <w:pPr>
        <w:pBdr/>
        <w:spacing/>
        <w:ind/>
        <w:rPr/>
      </w:pPr>
      <w:r>
        <w:rPr>
          <w:rtl w:val="0"/>
        </w:rPr>
      </w:r>
      <w:r/>
    </w:p>
    <w:tbl>
      <w:tblPr>
        <w:tblStyle w:val="724"/>
        <w:tblInd w:w="-23" w:type="dxa"/>
        <w:tblW w:w="894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23"/>
        <w:gridCol w:w="828"/>
        <w:gridCol w:w="992"/>
        <w:gridCol w:w="2395"/>
        <w:gridCol w:w="1905"/>
        <w:gridCol w:w="2805"/>
        <w:tblGridChange w:id="1">
          <w:tblGrid>
            <w:gridCol w:w="765"/>
            <w:gridCol w:w="765"/>
            <w:gridCol w:w="2685"/>
            <w:gridCol w:w="1905"/>
            <w:gridCol w:w="2805"/>
          </w:tblGrid>
        </w:tblGridChange>
      </w:tblGrid>
      <w:tr>
        <w:trPr>
          <w:cantSplit w:val="false"/>
          <w:gridBefore w:val="1"/>
        </w:trPr>
        <w:tc>
          <w:tcPr>
            <w:tcBorders/>
          </w:tcPr>
          <w:p w14:paraId="00000080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Yes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1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2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Best practice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3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Severity / Priority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4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i/>
                <w:iCs/>
                <w:sz w:val="24"/>
                <w:szCs w:val="24"/>
                <w:rtl w:val="0"/>
              </w:rPr>
              <w:t xml:space="preserve">Explanation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gridSpan w:val="2"/>
            <w:tcBorders/>
          </w:tcPr>
          <w:p w14:paraId="41E7BB87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1E0717A7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87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  <w:r/>
          </w:p>
          <w:p w14:paraId="658AAAC2">
            <w:pPr>
              <w:pBdr/>
              <w:spacing/>
              <w:ind/>
              <w:rPr/>
            </w:pPr>
            <w:r/>
            <w:r/>
            <w:r/>
          </w:p>
          <w:p w14:paraId="121C90D6"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8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9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gridBefore w:val="1"/>
        </w:trPr>
        <w:tc>
          <w:tcPr>
            <w:tcBorders/>
          </w:tcPr>
          <w:p w14:paraId="020DD0B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623515A2">
            <w:pPr>
              <w:pBdr/>
              <w:spacing/>
              <w:ind/>
              <w:rPr/>
            </w:pPr>
            <w:r/>
            <w:r/>
            <w:r/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</w:p>
        </w:tc>
        <w:tc>
          <w:tcPr>
            <w:tcBorders/>
          </w:tcPr>
          <w:p w14:paraId="0000008C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Credit card information is accepted, processed, transmitted, and stored internally, in a secure </w:t>
            </w:r>
            <w:r/>
          </w:p>
          <w:p w14:paraId="130E5938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environment.</w:t>
            </w:r>
            <w:r/>
          </w:p>
          <w:p w14:paraId="16B82623">
            <w:pPr>
              <w:pBdr/>
              <w:spacing w:line="240" w:lineRule="auto"/>
              <w:ind/>
              <w:rPr/>
            </w:pPr>
            <w:r/>
            <w:r/>
            <w:r/>
          </w:p>
          <w:p w14:paraId="25BE5A19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8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8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8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  <w:p w14:paraId="00000090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gridBefore w:val="1"/>
        </w:trPr>
        <w:tc>
          <w:tcPr>
            <w:tcBorders/>
          </w:tcPr>
          <w:p w14:paraId="4BBF4C53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9AF5B75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93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/>
          </w:p>
          <w:p w14:paraId="35148843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67284DA6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yellow"/>
                <w:rtl w:val="0"/>
              </w:rPr>
              <w:t xml:space="preserve"> </w:t>
            </w:r>
            <w:r/>
            <w:r/>
          </w:p>
        </w:tc>
        <w:tc>
          <w:tcPr>
            <w:tcBorders/>
          </w:tcPr>
          <w:p w14:paraId="0000009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95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gridBefore w:val="1"/>
        </w:trPr>
        <w:tc>
          <w:tcPr>
            <w:tcBorders/>
          </w:tcPr>
          <w:p w14:paraId="286ADDED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C63E31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98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Adopt secure password management policies.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99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9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9B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42DCCDE6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2D91F9BD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6D2DCD04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54BEBA4A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9C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9D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  <w:u w:val="single"/>
        </w:rPr>
      </w:pPr>
      <w:r>
        <w:rPr>
          <w:rFonts w:ascii="Google Sans" w:hAnsi="Google Sans" w:eastAsia="Google Sans" w:cs="Google Sans"/>
          <w:sz w:val="24"/>
          <w:szCs w:val="24"/>
          <w:u w:val="single"/>
          <w:rtl w:val="0"/>
        </w:rPr>
        <w:t xml:space="preserve">General Data Protection Regulation (GDPR)</w:t>
      </w:r>
      <w:r>
        <w:rPr>
          <w:rFonts w:ascii="Google Sans" w:hAnsi="Google Sans" w:eastAsia="Google Sans" w:cs="Google Sans"/>
          <w:sz w:val="24"/>
          <w:szCs w:val="24"/>
          <w:u w:val="single"/>
        </w:rPr>
      </w:r>
    </w:p>
    <w:p w14:paraId="0000009E">
      <w:pPr>
        <w:pBdr/>
        <w:spacing/>
        <w:ind/>
        <w:rPr/>
      </w:pPr>
      <w:r>
        <w:rPr>
          <w:rtl w:val="0"/>
        </w:rPr>
      </w:r>
      <w:r/>
    </w:p>
    <w:tbl>
      <w:tblPr>
        <w:tblStyle w:val="725"/>
        <w:tblInd w:w="-23" w:type="dxa"/>
        <w:tblW w:w="894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850"/>
        <w:gridCol w:w="2395"/>
        <w:gridCol w:w="1905"/>
        <w:gridCol w:w="2805"/>
        <w:tblGridChange w:id="2">
          <w:tblGrid>
            <w:gridCol w:w="1050"/>
            <w:gridCol w:w="795"/>
            <w:gridCol w:w="2715"/>
            <w:gridCol w:w="1905"/>
            <w:gridCol w:w="2805"/>
          </w:tblGrid>
        </w:tblGridChange>
      </w:tblGrid>
      <w:tr>
        <w:trPr>
          <w:cantSplit w:val="false"/>
          <w:trHeight w:val="555"/>
        </w:trPr>
        <w:tc>
          <w:tcPr>
            <w:tcBorders/>
          </w:tcPr>
          <w:p w14:paraId="0000009F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Yes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0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1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Best practice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2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Severity / Priority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3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i/>
                <w:iCs/>
                <w:sz w:val="24"/>
                <w:szCs w:val="24"/>
                <w:rtl w:val="0"/>
              </w:rPr>
              <w:t xml:space="preserve">Explanation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69EFFD89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6FD0DDEE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A6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E.U. customers’ data is kept private/secured.</w:t>
            </w:r>
            <w:r/>
          </w:p>
          <w:p w14:paraId="19D6E112">
            <w:pPr>
              <w:pBdr/>
              <w:spacing/>
              <w:ind/>
              <w:rPr/>
            </w:pPr>
            <w:r/>
            <w:r/>
            <w:r/>
          </w:p>
          <w:p w14:paraId="26298913">
            <w:pPr>
              <w:pBdr/>
              <w:spacing/>
              <w:ind/>
              <w:rPr/>
            </w:pPr>
            <w:r/>
            <w:r/>
            <w:r/>
          </w:p>
          <w:p w14:paraId="5A0740EA">
            <w:pPr>
              <w:pBdr/>
              <w:spacing/>
              <w:ind/>
              <w:rPr/>
            </w:pPr>
            <w:r/>
            <w:r/>
            <w:r/>
          </w:p>
          <w:p w14:paraId="5B4B1BB0"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A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8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B901F54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02508B5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AB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  <w:r/>
          </w:p>
          <w:p w14:paraId="26B19E0A">
            <w:pPr>
              <w:pBdr/>
              <w:spacing w:line="240" w:lineRule="auto"/>
              <w:ind/>
              <w:rPr/>
            </w:pPr>
            <w:r/>
            <w:r/>
            <w:r/>
          </w:p>
          <w:p w14:paraId="3618F9D4">
            <w:pPr>
              <w:pBdr/>
              <w:spacing w:line="240" w:lineRule="auto"/>
              <w:ind/>
              <w:rPr/>
            </w:pPr>
            <w:r/>
            <w:r/>
            <w:r/>
          </w:p>
          <w:p w14:paraId="744090AF">
            <w:pPr>
              <w:pBdr/>
              <w:spacing w:line="240" w:lineRule="auto"/>
              <w:ind/>
              <w:rPr/>
            </w:pPr>
            <w:r/>
            <w:r/>
            <w:r/>
          </w:p>
          <w:p w14:paraId="771171A6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AC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D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2D101A2E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6D245642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B0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Ensure data is properly classified and inventoried.</w:t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7AE8D493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594DFE5C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54D95FCA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70D5956E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542460AC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B1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2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1438FCAC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36C3D5B7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B5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6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7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597B3394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402BAC9B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12A76B17">
      <w:pPr>
        <w:pBdr/>
        <w:spacing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B9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  <w:u w:val="single"/>
        </w:rPr>
      </w:pP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  <w:u w:val="single"/>
        </w:rPr>
      </w:r>
    </w:p>
    <w:p w14:paraId="000000BA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  <w:u w:val="single"/>
          <w:rtl w:val="0"/>
        </w:rPr>
        <w:t xml:space="preserve">System and Organizations Controls (SOC type 1, SOC type 2)</w:t>
      </w: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 </w:t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BB">
      <w:pPr>
        <w:pBdr/>
        <w:spacing/>
        <w:ind/>
        <w:rPr/>
      </w:pPr>
      <w:r>
        <w:rPr>
          <w:rtl w:val="0"/>
        </w:rPr>
      </w:r>
      <w:r/>
    </w:p>
    <w:tbl>
      <w:tblPr>
        <w:tblStyle w:val="726"/>
        <w:tblInd w:w="119" w:type="dxa"/>
        <w:tblW w:w="880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850"/>
        <w:gridCol w:w="2395"/>
        <w:gridCol w:w="1905"/>
        <w:gridCol w:w="2805"/>
        <w:tblGridChange w:id="3">
          <w:tblGrid>
            <w:gridCol w:w="945"/>
            <w:gridCol w:w="825"/>
            <w:gridCol w:w="2775"/>
            <w:gridCol w:w="1905"/>
            <w:gridCol w:w="2805"/>
          </w:tblGrid>
        </w:tblGridChange>
      </w:tblGrid>
      <w:tr>
        <w:trPr>
          <w:cantSplit w:val="false"/>
          <w:trHeight w:val="570"/>
        </w:trPr>
        <w:tc>
          <w:tcPr>
            <w:tcBorders/>
          </w:tcPr>
          <w:p w14:paraId="000000BC">
            <w:pPr>
              <w:pBdr/>
              <w:spacing w:line="240" w:lineRule="auto"/>
              <w:ind w:right="0" w:firstLine="0" w:left="-353"/>
              <w:jc w:val="center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Yes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D">
            <w:pPr>
              <w:pBdr/>
              <w:spacing w:line="240" w:lineRule="auto"/>
              <w:ind/>
              <w:jc w:val="left"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No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E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Best practice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F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sz w:val="24"/>
                <w:szCs w:val="24"/>
                <w:rtl w:val="0"/>
              </w:rPr>
              <w:t xml:space="preserve">Severity / Priority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C0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i/>
                <w:iCs/>
                <w:sz w:val="24"/>
                <w:szCs w:val="24"/>
                <w:rtl w:val="0"/>
              </w:rPr>
              <w:t xml:space="preserve">Explanation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58D324C8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4D0AA01C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C3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User access policies are established</w:t>
            </w:r>
            <w:r/>
          </w:p>
          <w:p w14:paraId="5807CE52"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3A86B231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4783A6B2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2D88EDD7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1E48BCD5">
            <w:pPr>
              <w:pBdr/>
              <w:spacing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.</w:t>
            </w:r>
            <w:r/>
            <w:r/>
          </w:p>
        </w:tc>
        <w:tc>
          <w:tcPr>
            <w:tcBorders/>
          </w:tcPr>
          <w:p w14:paraId="000000C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C5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105A2EBF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2E94AFBF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C8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Sensitive data (PII/SPII) is confidential/private.</w:t>
            </w:r>
            <w:r/>
          </w:p>
          <w:p w14:paraId="06428E39">
            <w:pPr>
              <w:pBdr/>
              <w:spacing w:line="240" w:lineRule="auto"/>
              <w:ind/>
              <w:jc w:val="right"/>
              <w:rPr/>
            </w:pPr>
            <w:r/>
            <w:r/>
            <w:r/>
          </w:p>
          <w:p w14:paraId="24113548">
            <w:pPr>
              <w:pBdr/>
              <w:spacing w:line="240" w:lineRule="auto"/>
              <w:ind/>
              <w:jc w:val="right"/>
              <w:rPr/>
            </w:pPr>
            <w:r/>
            <w:r/>
            <w:r/>
          </w:p>
          <w:p w14:paraId="1B99A4A0">
            <w:pPr>
              <w:pBdr/>
              <w:spacing w:line="240" w:lineRule="auto"/>
              <w:ind/>
              <w:jc w:val="right"/>
              <w:rPr/>
            </w:pPr>
            <w:r/>
            <w:r/>
            <w:r/>
          </w:p>
          <w:p w14:paraId="6F5AD6D4">
            <w:pPr>
              <w:pBdr/>
              <w:spacing w:line="240" w:lineRule="auto"/>
              <w:ind/>
              <w:rPr/>
            </w:pPr>
            <w:r/>
            <w:r/>
            <w:r/>
          </w:p>
          <w:p w14:paraId="1E9224A8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C9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CA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79694847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353B81F4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CD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1CE6DAB4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06331CE3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r>
          </w:p>
          <w:p w14:paraId="6B16F63D">
            <w:pPr>
              <w:pBdr/>
              <w:spacing w:line="240" w:lineRule="auto"/>
              <w:ind/>
              <w:rPr>
                <w:rFonts w:ascii="Google Sans" w:hAnsi="Google Sans" w:eastAsia="Google Sans" w:cs="Google Sans"/>
                <w:sz w:val="24"/>
                <w:szCs w:val="24"/>
                <w:highlight w:val="none"/>
              </w:rPr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  <w:p w14:paraId="557A1421">
            <w:pPr>
              <w:pBdr/>
              <w:spacing w:line="240" w:lineRule="auto"/>
              <w:ind/>
              <w:rPr/>
            </w:pPr>
            <w:r/>
            <w:r/>
            <w:r/>
          </w:p>
          <w:p w14:paraId="1FCDE63D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  <w:r>
              <w:rPr>
                <w:rFonts w:ascii="Google Sans" w:hAnsi="Google Sans" w:eastAsia="Google Sans" w:cs="Google Sans"/>
                <w:sz w:val="24"/>
                <w:szCs w:val="24"/>
                <w:highlight w:val="none"/>
                <w:rtl w:val="0"/>
              </w:rPr>
            </w:r>
          </w:p>
        </w:tc>
        <w:tc>
          <w:tcPr>
            <w:tcBorders/>
          </w:tcPr>
          <w:p w14:paraId="000000CE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CF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4E2D9C6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33EDDCD">
            <w:pPr>
              <w:pBdr/>
              <w:spacing/>
              <w:ind/>
              <w:rPr/>
            </w:pPr>
            <w:r/>
            <w:r/>
            <w:sdt>
              <w:sdtPr>
                <w:alias w:val=""/>
                <w:tag w:val=""/>
                <w15:appearance w15:val="boundingBox"/>
                <w:lock w:val="un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tl w:val="0"/>
                </w:rPr>
              </w:sdtPr>
              <w:sdtContent>
                <w:r>
                  <w:rPr>
                    <w:rFonts w:ascii="MS Gothic" w:hAnsi="MS Gothic" w:eastAsia="MS Gothic" w:cs="MS Gothic"/>
                    <w:rtl w:val="0"/>
                  </w:rPr>
                  <w:t xml:space="preserve">☐</w:t>
                </w:r>
              </w:sdtContent>
            </w:sdt>
            <w:r/>
            <w:r/>
            <w:r/>
            <w:r/>
          </w:p>
        </w:tc>
        <w:tc>
          <w:tcPr>
            <w:tcBorders/>
          </w:tcPr>
          <w:p w14:paraId="000000D2">
            <w:pPr>
              <w:pBdr/>
              <w:spacing w:line="240" w:lineRule="auto"/>
              <w:ind/>
              <w:rPr/>
            </w:pPr>
            <w:r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D3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D4">
            <w:pPr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73E4EC1D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88BF0A6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D5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sz w:val="24"/>
          <w:szCs w:val="24"/>
        </w:rPr>
      </w:r>
    </w:p>
    <w:p w14:paraId="000000D6">
      <w:pPr>
        <w:pBdr/>
        <w:spacing w:after="200" w:line="360" w:lineRule="auto"/>
        <w:ind/>
        <w:rPr>
          <w:highlight w:val="none"/>
        </w:rPr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>
        <w:rPr>
          <w:rFonts w:ascii="Google Sans" w:hAnsi="Google Sans" w:eastAsia="Google Sans" w:cs="Google Sans"/>
          <w:sz w:val="24"/>
          <w:szCs w:val="24"/>
        </w:rPr>
      </w:r>
    </w:p>
    <w:p w14:paraId="2A141E78">
      <w:pPr>
        <w:pBdr/>
        <w:spacing w:after="200" w:line="360" w:lineRule="auto"/>
        <w:ind/>
        <w:rPr>
          <w:rFonts w:ascii="Google Sans" w:hAnsi="Google Sans" w:eastAsia="Google Sans" w:cs="Google San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D7">
      <w:pPr>
        <w:pBdr/>
        <w:spacing w:after="200"/>
        <w:ind/>
        <w:rPr>
          <w:rFonts w:ascii="Google Sans" w:hAnsi="Google Sans" w:eastAsia="Google Sans" w:cs="Google Sans"/>
          <w:b/>
          <w:bCs/>
          <w:sz w:val="24"/>
          <w:szCs w:val="24"/>
          <w:highlight w:val="none"/>
        </w:rPr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Recommendations: </w:t>
      </w:r>
      <w:r>
        <w:rPr>
          <w:rtl w:val="0"/>
        </w:rPr>
      </w:r>
      <w:r/>
    </w:p>
    <w:p w14:paraId="0E7DD524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[List prioritized recommendations by severity. Each entry: (1) Name the control/compliance gap. (2) State the corrective action. (3) Assign a stakeholder owner. (4) Set a target remediation timeframe.]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61E7845B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[HIGH example: Implement AES-256 encryption on all customer PII databases. Owner: IT Security. Target: 30 days.]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1A3AA1EB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[MEDIUM example: Develop and test a formal Disaster Recovery Plan. Owner: IT + Executive Management. Target: 90 days.]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4FCE2668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[LOW example: Deploy a centralized password management system. Owner: IT Administration. Target: 180 days.]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000000D8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D9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DA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22004853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449C91EA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5AB07DDC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4F8F787E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03054E6B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0E799A51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3A20836E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710E108A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2EC8ADCB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6D376565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42707303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1F6A9760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0E82EEA7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00321223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728B89F8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5927EC57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4A31E2C3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3CBFA45F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2D1445B7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07BF372C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  <w:r>
        <w:rPr>
          <w:rFonts w:ascii="Google Sans" w:hAnsi="Google Sans" w:eastAsia="Google Sans" w:cs="Google Sans"/>
          <w:bCs/>
          <w:i/>
          <w:sz w:val="24"/>
          <w:szCs w:val="24"/>
        </w:rPr>
      </w:r>
    </w:p>
    <w:p w14:paraId="2E973B90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6AFFCB01">
      <w:pPr>
        <w:pBdr/>
        <w:spacing/>
        <w:ind/>
        <w:rPr>
          <w:rFonts w:ascii="Google Sans" w:hAnsi="Google Sans" w:eastAsia="Google Sans" w:cs="Google Sans"/>
          <w:bCs/>
          <w:i/>
          <w:sz w:val="24"/>
          <w:szCs w:val="24"/>
        </w:rPr>
      </w:pP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E1">
      <w:pPr>
        <w:pBdr/>
        <w:spacing/>
        <w:ind/>
        <w:rPr>
          <w:rFonts w:ascii="Google Sans" w:hAnsi="Google Sans" w:eastAsia="Google Sans" w:cs="Google Sans"/>
          <w:i/>
          <w:i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i/>
          <w:iCs/>
          <w:sz w:val="24"/>
          <w:szCs w:val="24"/>
        </w:rPr>
      </w:r>
    </w:p>
    <w:p w14:paraId="000000E2">
      <w:pPr>
        <w:pBdr/>
        <w:spacing/>
        <w:ind/>
        <w:rPr/>
      </w:pPr>
      <w:r>
        <w:rPr>
          <w:rtl w:val="0"/>
        </w:rPr>
      </w:r>
      <w:r/>
    </w:p>
    <w:p w14:paraId="000000E3">
      <w:pPr>
        <w:pStyle w:val="716"/>
        <w:pBdr/>
        <w:spacing/>
        <w:ind/>
        <w:rPr/>
      </w:pPr>
      <w:r/>
      <w:bookmarkStart w:id="2" w:name="_8q3thjrbk4yv"/>
      <w:r/>
      <w:bookmarkEnd w:id="2"/>
      <w:r>
        <w:rPr>
          <w:rFonts w:ascii="Google Sans" w:hAnsi="Google Sans" w:eastAsia="Google Sans" w:cs="Google Sans"/>
          <w:b/>
          <w:bCs/>
          <w:sz w:val="32"/>
          <w:szCs w:val="32"/>
          <w:rtl w:val="0"/>
        </w:rPr>
        <w:t xml:space="preserve">Stakeholder Roles &amp; Responsibilities</w:t>
      </w:r>
      <w:r>
        <w:rPr>
          <w:rtl w:val="0"/>
        </w:rPr>
      </w:r>
      <w:r/>
    </w:p>
    <w:p w14:paraId="000000E4">
      <w:pPr>
        <w:pBdr/>
        <w:spacing/>
        <w:ind/>
        <w:rPr/>
      </w:pPr>
      <w:r>
        <w:rPr>
          <w:rFonts w:ascii="Google Sans" w:hAnsi="Google Sans" w:eastAsia="Google Sans" w:cs="Google Sans"/>
          <w:sz w:val="24"/>
          <w:szCs w:val="24"/>
          <w:rtl w:val="0"/>
        </w:rPr>
        <w:t xml:space="preserve">To successfully implement the recommended controls and ensure ongoing compliance, responsibilities are allocated across the following key stakeholder roles:</w:t>
      </w:r>
      <w:r>
        <w:rPr>
          <w:rtl w:val="0"/>
        </w:rPr>
      </w:r>
      <w:r/>
    </w:p>
    <w:p w14:paraId="000000E5">
      <w:pPr>
        <w:numPr>
          <w:ilvl w:val="0"/>
          <w:numId w:val="4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Executive Management (CEO &amp; Leadership):</w:t>
      </w:r>
      <w:r>
        <w:rPr>
          <w:rtl w:val="0"/>
        </w:rPr>
      </w:r>
      <w:r/>
    </w:p>
    <w:p w14:paraId="62D6426E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[Approve and fund recommended controls. Champion a security-first culture. Review audit findings and sign off on remediation timelines. Ensure all compliance obligations are met at the organizational level.]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6958F5D7">
      <w:pPr>
        <w:pBdr/>
        <w:spacing/>
        <w:ind/>
        <w:rPr/>
      </w:pPr>
      <w:r/>
      <w:r/>
      <w:r/>
    </w:p>
    <w:p w14:paraId="4E95F2C9">
      <w:pPr>
        <w:pBdr/>
        <w:spacing/>
        <w:ind/>
        <w:rPr/>
      </w:pPr>
      <w:r/>
      <w:r/>
      <w:r/>
    </w:p>
    <w:p w14:paraId="000000E9">
      <w:pPr>
        <w:pBdr/>
        <w:spacing/>
        <w:ind/>
        <w:rPr/>
      </w:pPr>
      <w:r>
        <w:rPr>
          <w:rtl w:val="0"/>
        </w:rPr>
      </w:r>
      <w:r/>
    </w:p>
    <w:p w14:paraId="000000EA">
      <w:pPr>
        <w:pBdr/>
        <w:spacing/>
        <w:ind/>
        <w:rPr/>
      </w:pPr>
      <w:r>
        <w:rPr>
          <w:rtl w:val="0"/>
        </w:rPr>
      </w:r>
      <w:r/>
    </w:p>
    <w:p w14:paraId="000000EB">
      <w:pPr>
        <w:numPr>
          <w:ilvl w:val="0"/>
          <w:numId w:val="4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IT Department (IT Security &amp; Administration):</w:t>
      </w:r>
      <w:r>
        <w:rPr>
          <w:rtl w:val="0"/>
        </w:rPr>
      </w:r>
      <w:r/>
    </w:p>
    <w:p w14:paraId="000000EC">
      <w:pPr>
        <w:pBdr/>
        <w:spacing/>
        <w:ind/>
        <w:rPr/>
      </w:pPr>
      <w:r>
        <w:rPr>
          <w:rtl w:val="0"/>
        </w:rPr>
      </w:r>
      <w:r/>
    </w:p>
    <w:p w14:paraId="05078750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[Lead technical implementation: firewall, encryption, IDS/IPS, and access management. Maintain system logs, conduct regular vulnerability assessments, and own disaster recovery planning and testing.]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000000ED">
      <w:pPr>
        <w:pBdr/>
        <w:spacing/>
        <w:ind/>
        <w:rPr/>
      </w:pPr>
      <w:r>
        <w:rPr>
          <w:rtl w:val="0"/>
        </w:rPr>
      </w:r>
      <w:r/>
    </w:p>
    <w:p w14:paraId="000000F2">
      <w:pPr>
        <w:pBdr/>
        <w:spacing/>
        <w:ind/>
        <w:rPr/>
      </w:pPr>
      <w:r>
        <w:rPr>
          <w:rtl w:val="0"/>
        </w:rPr>
      </w:r>
      <w:r/>
    </w:p>
    <w:p w14:paraId="000000F3">
      <w:pPr>
        <w:pBdr/>
        <w:spacing/>
        <w:ind/>
        <w:rPr/>
      </w:pPr>
      <w:r>
        <w:rPr>
          <w:rtl w:val="0"/>
        </w:rPr>
      </w:r>
      <w:r/>
    </w:p>
    <w:p w14:paraId="000000F4">
      <w:pPr>
        <w:pBdr/>
        <w:spacing/>
        <w:ind/>
        <w:rPr/>
      </w:pPr>
      <w:r>
        <w:rPr>
          <w:rtl w:val="0"/>
        </w:rPr>
      </w:r>
      <w:r/>
    </w:p>
    <w:p w14:paraId="000000F5">
      <w:pPr>
        <w:numPr>
          <w:ilvl w:val="0"/>
          <w:numId w:val="4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Facilities / Operations Team:</w:t>
      </w:r>
      <w:r/>
    </w:p>
    <w:p w14:paraId="720C612B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[Manage physical security: locks, CCTV, and access badges. Maintain and test fire detection/suppression systems. Coordinate with IT on physical access to server rooms and critical hardware.]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000000F8">
      <w:pPr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00000F9">
      <w:pPr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00000FA">
      <w:pPr>
        <w:pBdr/>
        <w:spacing/>
        <w:ind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tl w:val="0"/>
        </w:rPr>
      </w:r>
      <w:r>
        <w:rPr>
          <w:rFonts w:ascii="Google Sans" w:hAnsi="Google Sans" w:eastAsia="Google Sans" w:cs="Google Sans"/>
          <w:b/>
          <w:bCs/>
          <w:sz w:val="24"/>
          <w:szCs w:val="24"/>
        </w:rPr>
      </w:r>
    </w:p>
    <w:p w14:paraId="000000FB">
      <w:pPr>
        <w:numPr>
          <w:ilvl w:val="0"/>
          <w:numId w:val="4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Human Resources (HR):</w:t>
      </w:r>
      <w:r>
        <w:rPr>
          <w:rtl w:val="0"/>
        </w:rPr>
      </w:r>
      <w:r/>
    </w:p>
    <w:p w14:paraId="46B68363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[Enforce security awareness training for new hires and annually thereafter. Manage onboarding/offboarding access provisioning. Maintain records of signed acceptable use and data handling policies.]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2C752831">
      <w:pPr>
        <w:pBdr/>
        <w:spacing/>
        <w:ind/>
        <w:rPr/>
      </w:pPr>
      <w:r/>
      <w:r/>
      <w:r/>
    </w:p>
    <w:p w14:paraId="00000101">
      <w:pPr>
        <w:pBdr/>
        <w:spacing/>
        <w:ind/>
        <w:rPr/>
      </w:pPr>
      <w:r>
        <w:rPr>
          <w:rtl w:val="0"/>
        </w:rPr>
      </w:r>
      <w:r/>
    </w:p>
    <w:p w14:paraId="00000102">
      <w:pPr>
        <w:pBdr/>
        <w:spacing/>
        <w:ind/>
        <w:rPr/>
      </w:pPr>
      <w:r>
        <w:rPr>
          <w:rtl w:val="0"/>
        </w:rPr>
      </w:r>
      <w:r/>
    </w:p>
    <w:p w14:paraId="00000103">
      <w:pPr>
        <w:numPr>
          <w:ilvl w:val="0"/>
          <w:numId w:val="4"/>
        </w:numPr>
        <w:pBdr/>
        <w:spacing/>
        <w:ind w:hanging="360" w:left="720"/>
        <w:rPr/>
      </w:pPr>
      <w:r>
        <w:rPr>
          <w:rFonts w:ascii="Google Sans" w:hAnsi="Google Sans" w:eastAsia="Google Sans" w:cs="Google Sans"/>
          <w:b/>
          <w:bCs/>
          <w:sz w:val="24"/>
          <w:szCs w:val="24"/>
          <w:rtl w:val="0"/>
        </w:rPr>
        <w:t xml:space="preserve">All Employees:</w:t>
      </w:r>
      <w:r>
        <w:rPr>
          <w:rtl w:val="0"/>
        </w:rPr>
      </w:r>
      <w:r/>
    </w:p>
    <w:p w14:paraId="2D36FB8F">
      <w:pPr>
        <w:pBdr/>
        <w:spacing/>
        <w:ind/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pP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  <w:t xml:space="preserve">[Adhere to all security policies including password and data handling procedures. Report suspicious activity or phishing attempts to IT immediately. Complete mandatory security training within assigned timeframes.]</w:t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  <w:r>
        <w:rPr>
          <w:rFonts w:ascii="Google Sans" w:hAnsi="Google Sans" w:eastAsia="Google Sans" w:cs="Google Sans"/>
          <w:i/>
          <w:iCs/>
          <w:color w:val="808080"/>
          <w:sz w:val="22"/>
          <w:szCs w:val="22"/>
        </w:rPr>
      </w:r>
    </w:p>
    <w:p w14:paraId="0000010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70205080204"/>
  </w:font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4"/>
    <w:next w:val="7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4"/>
    <w:next w:val="7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4"/>
    <w:next w:val="7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table" w:styleId="71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 w:default="1">
    <w:name w:val="Normal"/>
    <w:pPr>
      <w:pBdr/>
      <w:spacing/>
      <w:ind/>
    </w:pPr>
  </w:style>
  <w:style w:type="paragraph" w:styleId="715">
    <w:name w:val="Heading 1"/>
    <w:basedOn w:val="714"/>
    <w:next w:val="71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16">
    <w:name w:val="Heading 2"/>
    <w:basedOn w:val="714"/>
    <w:next w:val="71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17">
    <w:name w:val="Heading 3"/>
    <w:basedOn w:val="714"/>
    <w:next w:val="71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18">
    <w:name w:val="Heading 4"/>
    <w:basedOn w:val="714"/>
    <w:next w:val="71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19">
    <w:name w:val="Heading 5"/>
    <w:basedOn w:val="714"/>
    <w:next w:val="71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20">
    <w:name w:val="Heading 6"/>
    <w:basedOn w:val="714"/>
    <w:next w:val="71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21">
    <w:name w:val="Title"/>
    <w:basedOn w:val="714"/>
    <w:next w:val="71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22">
    <w:name w:val="Subtitle"/>
    <w:basedOn w:val="714"/>
    <w:next w:val="71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23">
    <w:name w:val="StGen0"/>
    <w:basedOn w:val="71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StGen1"/>
    <w:basedOn w:val="71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StGen2"/>
    <w:basedOn w:val="71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StGen3"/>
    <w:basedOn w:val="71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