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4F46E5"/>
          <w:spacing w:val="30"/>
          <w:sz w:val="20"/>
          <w:szCs w:val="20"/>
        </w:rPr>
        <w:t xml:space="preserve">RISK EXPOSURE BRIEF</w:t>
      </w:r>
    </w:p>
    <w:p>
      <w:pPr>
        <w:spacing w:after="40"/>
      </w:pPr>
      <w:r>
        <w:rPr>
          <w:b/>
          <w:bCs/>
          <w:color w:val="1A2530"/>
          <w:sz w:val="34"/>
          <w:szCs w:val="34"/>
        </w:rPr>
        <w:t xml:space="preserve">BABA'S FAMOUS STEAK AND LEMONADE</w:t>
      </w:r>
    </w:p>
    <w:p>
      <w:pPr>
        <w:pBdr>
          <w:bottom w:val="single" w:color="4F46E5" w:sz="12"/>
        </w:pBdr>
        <w:spacing w:after="200"/>
      </w:pPr>
      <w:r>
        <w:rPr>
          <w:color w:val="55677A"/>
          <w:sz w:val="16"/>
          <w:szCs w:val="16"/>
        </w:rPr>
        <w:t xml:space="preserve">Prepared 2026-07-17  ·  Source: City of Chicago public food-inspection records  ·  MagDynamics / ECARMF</w:t>
      </w:r>
    </w:p>
    <w:p>
      <w:pPr>
        <w:spacing w:after="80" w:before="220"/>
      </w:pPr>
      <w:r>
        <w:rPr>
          <w:b/>
          <w:bCs/>
          <w:color w:val="4F46E5"/>
          <w:sz w:val="24"/>
          <w:szCs w:val="24"/>
        </w:rPr>
        <w:t xml:space="preserve">What the public record shows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rPr>
          <w:tblHeader/>
        </w:trPr>
        <w:tc>
          <w:tcPr>
            <w:tcW w:type="dxa" w:w="1600"/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000"/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4760"/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Failed on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2530"/>
                <w:sz w:val="18"/>
                <w:szCs w:val="18"/>
              </w:rPr>
              <w:t xml:space="preserve">2026-07-13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2530"/>
                <w:sz w:val="18"/>
                <w:szCs w:val="18"/>
              </w:rPr>
              <w:t xml:space="preserve">10343 S Halsted St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B3383E"/>
                <w:sz w:val="18"/>
                <w:szCs w:val="18"/>
              </w:rPr>
              <w:t xml:space="preserve">Person in charge has no Chicago certified food manager</w:t>
            </w:r>
          </w:p>
        </w:tc>
      </w:tr>
      <w:tr>
        <w:tc>
          <w:tcPr>
            <w:tcW w:type="dxa" w:w="1600"/>
            <w:shd w:fill="F3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2530"/>
                <w:sz w:val="18"/>
                <w:szCs w:val="18"/>
              </w:rPr>
              <w:t xml:space="preserve">2026-05-11</w:t>
            </w:r>
          </w:p>
        </w:tc>
        <w:tc>
          <w:tcPr>
            <w:tcW w:type="dxa" w:w="3000"/>
            <w:shd w:fill="F3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2530"/>
                <w:sz w:val="18"/>
                <w:szCs w:val="18"/>
              </w:rPr>
              <w:t xml:space="preserve">345 N Central Ave</w:t>
            </w:r>
          </w:p>
        </w:tc>
        <w:tc>
          <w:tcPr>
            <w:tcW w:type="dxa" w:w="4760"/>
            <w:shd w:fill="F3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B3383E"/>
                <w:sz w:val="18"/>
                <w:szCs w:val="18"/>
              </w:rPr>
              <w:t xml:space="preserve">Bulk containers not labeled in storage (…ON LARAMIE, INC)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2530"/>
                <w:sz w:val="18"/>
                <w:szCs w:val="18"/>
              </w:rPr>
              <w:t xml:space="preserve">2026-05-11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2530"/>
                <w:sz w:val="18"/>
                <w:szCs w:val="18"/>
              </w:rPr>
              <w:t xml:space="preserve">810 W 59th St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B3383E"/>
                <w:sz w:val="18"/>
                <w:szCs w:val="18"/>
              </w:rPr>
              <w:t xml:space="preserve">Person in charge without proof of food-safety training</w:t>
            </w:r>
          </w:p>
        </w:tc>
      </w:tr>
      <w:tr>
        <w:tc>
          <w:tcPr>
            <w:tcW w:type="dxa" w:w="1600"/>
            <w:shd w:fill="F3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2530"/>
                <w:sz w:val="18"/>
                <w:szCs w:val="18"/>
              </w:rPr>
              <w:t xml:space="preserve">2026-04-17</w:t>
            </w:r>
          </w:p>
        </w:tc>
        <w:tc>
          <w:tcPr>
            <w:tcW w:type="dxa" w:w="3000"/>
            <w:shd w:fill="F3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2530"/>
                <w:sz w:val="18"/>
                <w:szCs w:val="18"/>
              </w:rPr>
              <w:t xml:space="preserve">3407 W Madison St</w:t>
            </w:r>
          </w:p>
        </w:tc>
        <w:tc>
          <w:tcPr>
            <w:tcW w:type="dxa" w:w="4760"/>
            <w:shd w:fill="F3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B3383E"/>
                <w:sz w:val="18"/>
                <w:szCs w:val="18"/>
              </w:rPr>
              <w:t xml:space="preserve">No person in charge with a valid Chicago certificate</w:t>
            </w:r>
          </w:p>
        </w:tc>
      </w:tr>
    </w:tbl>
    <w:p>
      <w:pPr>
        <w:spacing w:after="160" w:before="100"/>
      </w:pPr>
      <w:r>
        <w:rPr>
          <w:i/>
          <w:iCs/>
          <w:color w:val="1A2530"/>
          <w:sz w:val="20"/>
          <w:szCs w:val="20"/>
        </w:rPr>
        <w:t xml:space="preserve">Four failures across four locations — the most recent just days ago.</w:t>
      </w:r>
    </w:p>
    <w:p>
      <w:pPr>
        <w:spacing w:after="80" w:before="220"/>
      </w:pPr>
      <w:r>
        <w:rPr>
          <w:b/>
          <w:bCs/>
          <w:color w:val="4F46E5"/>
          <w:sz w:val="24"/>
          <w:szCs w:val="24"/>
        </w:rPr>
        <w:t xml:space="preserve">The pattern that matters</w:t>
      </w:r>
    </w:p>
    <w:p>
      <w:pPr>
        <w:spacing w:after="120"/>
      </w:pPr>
      <w:r>
        <w:rPr>
          <w:color w:val="1A2530"/>
          <w:sz w:val="21"/>
          <w:szCs w:val="21"/>
        </w:rPr>
        <w:t xml:space="preserve">Three of four failures are the identical root cause: no certified/trained manager on site. That is a credential-tracking failure — a certificate lapsed, or a new site opened without one, and nothing flagged it. And notice the structure: at least one location is separately incorporated (“…ON LARAMIE, INC”) — you already run as multiple legal entities, exactly the shape our platform is built around. The structure that currently hides risk becomes the thing the platform organizes.</w:t>
      </w:r>
    </w:p>
    <w:p>
      <w:pPr>
        <w:spacing w:after="80" w:before="220"/>
      </w:pPr>
      <w:r>
        <w:rPr>
          <w:b/>
          <w:bCs/>
          <w:color w:val="4F46E5"/>
          <w:sz w:val="24"/>
          <w:szCs w:val="24"/>
        </w:rPr>
        <w:t xml:space="preserve">What it costs beyond the citation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2530"/>
          <w:sz w:val="20"/>
          <w:szCs w:val="20"/>
        </w:rPr>
        <w:t xml:space="preserve">Re-inspection fees, and repeat failures push toward license action.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2530"/>
          <w:sz w:val="20"/>
          <w:szCs w:val="20"/>
        </w:rPr>
        <w:t xml:space="preserve">Every failure is visible right now to customers, your landlord, and your insurer.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2530"/>
          <w:sz w:val="20"/>
          <w:szCs w:val="20"/>
        </w:rPr>
        <w:t xml:space="preserve">Inspectors return to repeat sites sooner — the pattern predicts the next visit.</w:t>
      </w:r>
    </w:p>
    <w:p>
      <w:pPr>
        <w:spacing w:after="80" w:before="220"/>
      </w:pPr>
      <w:r>
        <w:rPr>
          <w:b/>
          <w:bCs/>
          <w:color w:val="4F46E5"/>
          <w:sz w:val="24"/>
          <w:szCs w:val="24"/>
        </w:rPr>
        <w:t xml:space="preserve">What “ahead of it” looks like</w:t>
      </w:r>
    </w:p>
    <w:p>
      <w:pPr>
        <w:spacing w:after="120"/>
      </w:pPr>
      <w:r>
        <w:rPr>
          <w:color w:val="1A2530"/>
          <w:sz w:val="21"/>
          <w:szCs w:val="21"/>
        </w:rPr>
        <w:t xml:space="preserve">One governed board across every location and legal entity: certificates and training tracked with expiry alarms weeks ahead, a per-site readiness checklist, and an on-premises AI analyst that ranks which location is most exposed this week — your data never leaving your building. Multi-location operators are our exact specialty.</w:t>
      </w:r>
    </w:p>
    <w:p>
      <w:pPr>
        <w:pBdr>
          <w:left w:val="single" w:color="4F46E5" w:sz="18" w:space="12"/>
        </w:pBdr>
        <w:shd w:fill="EEF0FB" w:val="clear"/>
        <w:spacing w:after="60" w:before="160"/>
        <w:ind w:left="200" w:right="200"/>
      </w:pPr>
      <w:r>
        <w:rPr>
          <w:i/>
          <w:iCs/>
          <w:color w:val="1A2530"/>
          <w:sz w:val="20"/>
          <w:szCs w:val="20"/>
        </w:rPr>
        <w:t xml:space="preserve">Email opener: “Baba’s came up in public enforcement records: four failed inspections across four locations since April, three for the same missing-certified-manager issue. That’s a tracking gap, not a people problem — and it’s fixable. My team put together a one-page brief on it. Complimentary, yours whatever you decide — want me to send it?”</w:t>
      </w:r>
    </w:p>
    <w:p>
      <w:pPr>
        <w:spacing w:before="120"/>
      </w:pPr>
      <w:r>
        <w:rPr>
          <w:i/>
          <w:iCs/>
          <w:color w:val="55677A"/>
          <w:sz w:val="18"/>
          <w:szCs w:val="18"/>
        </w:rPr>
        <w:t xml:space="preserve">This brief is complimentary and yours to keep, whatever you decide.</w:t>
      </w:r>
    </w:p>
    <w:p>
      <w:pPr>
        <w:shd w:fill="FDE8E9" w:val="clear"/>
        <w:spacing w:before="200"/>
        <w:ind w:left="120" w:right="120"/>
      </w:pPr>
      <w:r>
        <w:rPr>
          <w:b/>
          <w:bCs/>
          <w:color w:val="B3383E"/>
          <w:sz w:val="15"/>
          <w:szCs w:val="15"/>
        </w:rPr>
        <w:t xml:space="preserve">INTERNAL — REMOVE BEFORE SENDING: Draft — verify common ownership; note the multi-entity structure is itself a selling point.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677A"/>
        <w:sz w:val="14"/>
        <w:szCs w:val="14"/>
      </w:rPr>
      <w:t xml:space="preserve">MagDynamics · ECARMF Platform — governed AI for multi-entity operations · AI recommends, humans decide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530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2026-07-18T00:12:18.152Z</dcterms:created>
  <dcterms:modified xsi:type="dcterms:W3CDTF">2026-07-18T00:12:18.152Z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