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F46E5"/>
          <w:spacing w:val="30"/>
          <w:sz w:val="20"/>
          <w:szCs w:val="20"/>
        </w:rPr>
        <w:t xml:space="preserve">RISK EXPOSURE BRIEF</w:t>
      </w:r>
    </w:p>
    <w:p>
      <w:pPr>
        <w:spacing w:after="40"/>
      </w:pPr>
      <w:r>
        <w:rPr>
          <w:b/>
          <w:bCs/>
          <w:color w:val="1A2530"/>
          <w:sz w:val="34"/>
          <w:szCs w:val="34"/>
        </w:rPr>
        <w:t xml:space="preserve">JJ FISH</w:t>
      </w:r>
    </w:p>
    <w:p>
      <w:pPr>
        <w:pBdr>
          <w:bottom w:val="single" w:color="4F46E5" w:sz="12"/>
        </w:pBdr>
        <w:spacing w:after="200"/>
      </w:pPr>
      <w:r>
        <w:rPr>
          <w:color w:val="55677A"/>
          <w:sz w:val="16"/>
          <w:szCs w:val="16"/>
        </w:rPr>
        <w:t xml:space="preserve">Prepared 2026-07-17  ·  Source: City of Chicago public food-inspection records  ·  MagDynamics / ECARMF</w:t>
      </w:r>
    </w:p>
    <w:p>
      <w:pPr>
        <w:spacing w:after="80" w:before="220"/>
      </w:pPr>
      <w:r>
        <w:rPr>
          <w:b/>
          <w:bCs/>
          <w:color w:val="4F46E5"/>
          <w:sz w:val="24"/>
          <w:szCs w:val="24"/>
        </w:rPr>
        <w:t xml:space="preserve">What the public record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76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Failed on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5211 W North Ave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B3383E"/>
                <w:sz w:val="18"/>
                <w:szCs w:val="18"/>
              </w:rPr>
              <w:t xml:space="preserve">Food not properly labeled / stored in coolers &amp; dry storage</w:t>
            </w:r>
          </w:p>
        </w:tc>
      </w:tr>
      <w:tr>
        <w:tc>
          <w:tcPr>
            <w:tcW w:type="dxa" w:w="160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300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5211 W North Ave</w:t>
            </w:r>
          </w:p>
        </w:tc>
        <w:tc>
          <w:tcPr>
            <w:tcW w:type="dxa" w:w="4760"/>
            <w:shd w:fill="F3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B3383E"/>
                <w:sz w:val="18"/>
                <w:szCs w:val="18"/>
              </w:rPr>
              <w:t xml:space="preserve">No hot water at restroom &amp; prep handsinks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2026-03-24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2530"/>
                <w:sz w:val="18"/>
                <w:szCs w:val="18"/>
              </w:rPr>
              <w:t xml:space="preserve">411 S Kedzie Ave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B3383E"/>
                <w:sz w:val="18"/>
                <w:szCs w:val="18"/>
              </w:rPr>
              <w:t xml:space="preserve">No certified food manager with a valid City certificate</w:t>
            </w:r>
          </w:p>
        </w:tc>
      </w:tr>
    </w:tbl>
    <w:p>
      <w:pPr>
        <w:spacing w:after="160" w:before="100"/>
      </w:pPr>
      <w:r>
        <w:rPr>
          <w:i/>
          <w:iCs/>
          <w:color w:val="1A2530"/>
          <w:sz w:val="20"/>
          <w:szCs w:val="20"/>
        </w:rPr>
        <w:t xml:space="preserve">Three failures across two locations in ~three weeks — all public today.</w:t>
      </w:r>
    </w:p>
    <w:p>
      <w:pPr>
        <w:spacing w:after="80" w:before="220"/>
      </w:pPr>
      <w:r>
        <w:rPr>
          <w:b/>
          <w:bCs/>
          <w:color w:val="4F46E5"/>
          <w:sz w:val="24"/>
          <w:szCs w:val="24"/>
        </w:rPr>
        <w:t xml:space="preserve">The pattern that matters</w:t>
      </w:r>
    </w:p>
    <w:p>
      <w:pPr>
        <w:spacing w:after="120"/>
      </w:pPr>
      <w:r>
        <w:rPr>
          <w:color w:val="1A2530"/>
          <w:sz w:val="21"/>
          <w:szCs w:val="21"/>
        </w:rPr>
        <w:t xml:space="preserve">The same category of failure — basic food-safety controls and a missing certified manager — appeared at more than one location. That is the signature of a control gap between sites: what one location fixes, the other doesn’t know about. The North Ave site failed twice in three days. This is a visibility problem, and it is fully fixable.</w:t>
      </w:r>
    </w:p>
    <w:p>
      <w:pPr>
        <w:spacing w:after="80" w:before="220"/>
      </w:pPr>
      <w:r>
        <w:rPr>
          <w:b/>
          <w:bCs/>
          <w:color w:val="4F46E5"/>
          <w:sz w:val="24"/>
          <w:szCs w:val="24"/>
        </w:rPr>
        <w:t xml:space="preserve">What it costs beyond the citation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2530"/>
          <w:sz w:val="20"/>
          <w:szCs w:val="20"/>
        </w:rPr>
        <w:t xml:space="preserve">Re-inspection fees, and repeat failures push toward license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2530"/>
          <w:sz w:val="20"/>
          <w:szCs w:val="20"/>
        </w:rPr>
        <w:t xml:space="preserve">Every failure is visible right now to customers, your landlord, and your insurer.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2530"/>
          <w:sz w:val="20"/>
          <w:szCs w:val="20"/>
        </w:rPr>
        <w:t xml:space="preserve">Inspectors return to repeat sites sooner — the pattern predicts the next visit.</w:t>
      </w:r>
    </w:p>
    <w:p>
      <w:pPr>
        <w:spacing w:after="80" w:before="220"/>
      </w:pPr>
      <w:r>
        <w:rPr>
          <w:b/>
          <w:bCs/>
          <w:color w:val="4F46E5"/>
          <w:sz w:val="24"/>
          <w:szCs w:val="24"/>
        </w:rPr>
        <w:t xml:space="preserve">What “ahead of it” looks like</w:t>
      </w:r>
    </w:p>
    <w:p>
      <w:pPr>
        <w:spacing w:after="120"/>
      </w:pPr>
      <w:r>
        <w:rPr>
          <w:color w:val="1A2530"/>
          <w:sz w:val="21"/>
          <w:szCs w:val="21"/>
        </w:rPr>
        <w:t xml:space="preserve">One governed board across every location and legal entity: certificates and training tracked with expiry alarms weeks ahead, a per-site readiness checklist, and an on-premises AI analyst that ranks which location is most exposed this week — your data never leaving your building. Multi-location operators are our exact specialty.</w:t>
      </w:r>
    </w:p>
    <w:p>
      <w:pPr>
        <w:pBdr>
          <w:left w:val="single" w:color="4F46E5" w:sz="18" w:space="12"/>
        </w:pBdr>
        <w:shd w:fill="EEF0FB" w:val="clear"/>
        <w:spacing w:after="60" w:before="160"/>
        <w:ind w:left="200" w:right="200"/>
      </w:pPr>
      <w:r>
        <w:rPr>
          <w:i/>
          <w:iCs/>
          <w:color w:val="1A2530"/>
          <w:sz w:val="20"/>
          <w:szCs w:val="20"/>
        </w:rPr>
        <w:t xml:space="preserve">“Did you know your spring inspections are on the city’s public site, for anyone to see? I built a platform that already has your locations in it — it would have flagged the expired food-manager certificate and the labeling gaps before the inspector walked in. Twenty minutes; let me show you your own board.”</w:t>
      </w:r>
    </w:p>
    <w:p>
      <w:pPr>
        <w:spacing w:before="120"/>
      </w:pPr>
      <w:r>
        <w:rPr>
          <w:i/>
          <w:iCs/>
          <w:color w:val="55677A"/>
          <w:sz w:val="18"/>
          <w:szCs w:val="18"/>
        </w:rPr>
        <w:t xml:space="preserve">This brief is complimentary and yours to keep, whatever you decide.</w:t>
      </w:r>
    </w:p>
    <w:p>
      <w:pPr>
        <w:shd w:fill="FDE8E9" w:val="clear"/>
        <w:spacing w:before="200"/>
        <w:ind w:left="120" w:right="120"/>
      </w:pPr>
      <w:r>
        <w:rPr>
          <w:b/>
          <w:bCs/>
          <w:color w:val="B3383E"/>
          <w:sz w:val="15"/>
          <w:szCs w:val="15"/>
        </w:rPr>
        <w:t xml:space="preserve">INTERNAL — REMOVE BEFORE SENDING: Draft — verify which locations are one ownership group (JJ Fish is franchised) before sending.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77A"/>
        <w:sz w:val="14"/>
        <w:szCs w:val="14"/>
      </w:rPr>
      <w:t xml:space="preserve">MagDynamics · ECARMF Platform — governed AI for multi-entity operations · AI recommends, humans decide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530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2026-07-18T00:12:18.114Z</dcterms:created>
  <dcterms:modified xsi:type="dcterms:W3CDTF">2026-07-18T00:12:18.126Z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