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53056" w14:textId="77777777" w:rsidR="00AC2DB3" w:rsidRDefault="00D43E49">
      <w:pPr>
        <w:spacing w:before="2400" w:after="120"/>
        <w:jc w:val="center"/>
      </w:pPr>
      <w:r>
        <w:rPr>
          <w:b/>
          <w:bCs/>
          <w:sz w:val="64"/>
          <w:szCs w:val="64"/>
        </w:rPr>
        <w:t>ECARMF Platform Kernel</w:t>
      </w:r>
    </w:p>
    <w:p w14:paraId="519C3699" w14:textId="77777777" w:rsidR="00AC2DB3" w:rsidRDefault="00D43E49">
      <w:pPr>
        <w:spacing w:after="240"/>
        <w:jc w:val="center"/>
      </w:pPr>
      <w:r>
        <w:rPr>
          <w:b/>
          <w:bCs/>
          <w:color w:val="4F46E5"/>
          <w:sz w:val="40"/>
          <w:szCs w:val="40"/>
        </w:rPr>
        <w:t>The Stakeholder Guide</w:t>
      </w:r>
    </w:p>
    <w:p w14:paraId="70E75FE0" w14:textId="77777777" w:rsidR="00AC2DB3" w:rsidRDefault="00D43E49">
      <w:pPr>
        <w:spacing w:after="480"/>
        <w:jc w:val="center"/>
      </w:pPr>
      <w:r>
        <w:rPr>
          <w:i/>
          <w:iCs/>
          <w:color w:val="55677A"/>
          <w:sz w:val="24"/>
          <w:szCs w:val="24"/>
        </w:rPr>
        <w:t>Enterprise Cognition, Assurance &amp; Risk Management Framework</w:t>
      </w:r>
    </w:p>
    <w:p w14:paraId="7755FB79" w14:textId="77777777" w:rsidR="00AC2DB3" w:rsidRDefault="00D43E49">
      <w:pPr>
        <w:spacing w:after="120"/>
        <w:jc w:val="center"/>
      </w:pPr>
      <w:r>
        <w:rPr>
          <w:color w:val="55677A"/>
          <w:sz w:val="21"/>
          <w:szCs w:val="21"/>
        </w:rPr>
        <w:t>Philosophy · Journey · User Manual · Value · Strategy · The AI Economy · Roadmap</w:t>
      </w:r>
    </w:p>
    <w:p w14:paraId="389D4EC3" w14:textId="77777777" w:rsidR="00AC2DB3" w:rsidRDefault="00D43E49">
      <w:pPr>
        <w:jc w:val="center"/>
      </w:pPr>
      <w:r>
        <w:rPr>
          <w:color w:val="55677A"/>
          <w:sz w:val="19"/>
          <w:szCs w:val="19"/>
        </w:rPr>
        <w:t>July 2026 — reflects the live system: 336 automated tests, 170+ API routes, 45+ screens, 77 knowledge packages, 28 tenants</w:t>
      </w:r>
    </w:p>
    <w:p w14:paraId="05E367C9" w14:textId="77777777" w:rsidR="00AC2DB3" w:rsidRDefault="00D43E49">
      <w:r>
        <w:br w:type="page"/>
      </w:r>
    </w:p>
    <w:p w14:paraId="00112E70" w14:textId="77777777" w:rsidR="00AC2DB3" w:rsidRDefault="00D43E49">
      <w:pPr>
        <w:pStyle w:val="Heading1"/>
      </w:pPr>
      <w:bookmarkStart w:id="0" w:name="_Toc235059444"/>
      <w:r>
        <w:lastRenderedPageBreak/>
        <w:t>Contents</w:t>
      </w:r>
      <w:bookmarkEnd w:id="0"/>
    </w:p>
    <w:sdt>
      <w:sdtPr>
        <w:alias w:val="Contents"/>
        <w:id w:val="680788701"/>
      </w:sdtPr>
      <w:sdtEndPr/>
      <w:sdtContent>
        <w:p w14:paraId="39CFEED3" w14:textId="79148AD2" w:rsidR="00D43E49" w:rsidRDefault="00D43E49">
          <w:pPr>
            <w:pStyle w:val="TOC1"/>
            <w:tabs>
              <w:tab w:val="right" w:leader="dot" w:pos="9350"/>
            </w:tabs>
            <w:rPr>
              <w:rFonts w:asciiTheme="minorHAnsi" w:eastAsiaTheme="minorEastAsia" w:hAnsiTheme="minorHAnsi" w:cstheme="minorBidi"/>
              <w:noProof/>
              <w:color w:val="auto"/>
            </w:rPr>
          </w:pPr>
          <w:r>
            <w:fldChar w:fldCharType="begin"/>
          </w:r>
          <w:r>
            <w:instrText>TOC \h \o "1-2"</w:instrText>
          </w:r>
          <w:r>
            <w:fldChar w:fldCharType="separate"/>
          </w:r>
          <w:hyperlink w:anchor="_Toc235059444" w:history="1">
            <w:r w:rsidRPr="004C197C">
              <w:rPr>
                <w:rStyle w:val="Hyperlink"/>
                <w:noProof/>
              </w:rPr>
              <w:t>Contents</w:t>
            </w:r>
            <w:r>
              <w:rPr>
                <w:noProof/>
              </w:rPr>
              <w:tab/>
            </w:r>
            <w:r>
              <w:rPr>
                <w:noProof/>
              </w:rPr>
              <w:fldChar w:fldCharType="begin"/>
            </w:r>
            <w:r>
              <w:rPr>
                <w:noProof/>
              </w:rPr>
              <w:instrText xml:space="preserve"> PAGEREF _Toc235059444 \h </w:instrText>
            </w:r>
            <w:r>
              <w:rPr>
                <w:noProof/>
              </w:rPr>
            </w:r>
            <w:r>
              <w:rPr>
                <w:noProof/>
              </w:rPr>
              <w:fldChar w:fldCharType="separate"/>
            </w:r>
            <w:r>
              <w:rPr>
                <w:noProof/>
              </w:rPr>
              <w:t>2</w:t>
            </w:r>
            <w:r>
              <w:rPr>
                <w:noProof/>
              </w:rPr>
              <w:fldChar w:fldCharType="end"/>
            </w:r>
          </w:hyperlink>
        </w:p>
        <w:p w14:paraId="7909EB1E" w14:textId="1CDB9130" w:rsidR="00D43E49" w:rsidRDefault="00D43E49">
          <w:pPr>
            <w:pStyle w:val="TOC1"/>
            <w:tabs>
              <w:tab w:val="right" w:leader="dot" w:pos="9350"/>
            </w:tabs>
            <w:rPr>
              <w:rFonts w:asciiTheme="minorHAnsi" w:eastAsiaTheme="minorEastAsia" w:hAnsiTheme="minorHAnsi" w:cstheme="minorBidi"/>
              <w:noProof/>
              <w:color w:val="auto"/>
            </w:rPr>
          </w:pPr>
          <w:hyperlink w:anchor="_Toc235059445" w:history="1">
            <w:r w:rsidRPr="004C197C">
              <w:rPr>
                <w:rStyle w:val="Hyperlink"/>
                <w:noProof/>
              </w:rPr>
              <w:t>Part I — The Idea</w:t>
            </w:r>
            <w:r>
              <w:rPr>
                <w:noProof/>
              </w:rPr>
              <w:tab/>
            </w:r>
            <w:r>
              <w:rPr>
                <w:noProof/>
              </w:rPr>
              <w:fldChar w:fldCharType="begin"/>
            </w:r>
            <w:r>
              <w:rPr>
                <w:noProof/>
              </w:rPr>
              <w:instrText xml:space="preserve"> PAGEREF _Toc235059445 \h </w:instrText>
            </w:r>
            <w:r>
              <w:rPr>
                <w:noProof/>
              </w:rPr>
            </w:r>
            <w:r>
              <w:rPr>
                <w:noProof/>
              </w:rPr>
              <w:fldChar w:fldCharType="separate"/>
            </w:r>
            <w:r>
              <w:rPr>
                <w:noProof/>
              </w:rPr>
              <w:t>3</w:t>
            </w:r>
            <w:r>
              <w:rPr>
                <w:noProof/>
              </w:rPr>
              <w:fldChar w:fldCharType="end"/>
            </w:r>
          </w:hyperlink>
        </w:p>
        <w:p w14:paraId="0C8DCF45" w14:textId="34616DD6" w:rsidR="00D43E49" w:rsidRDefault="00D43E49">
          <w:pPr>
            <w:pStyle w:val="TOC2"/>
            <w:tabs>
              <w:tab w:val="right" w:leader="dot" w:pos="9350"/>
            </w:tabs>
            <w:rPr>
              <w:rFonts w:asciiTheme="minorHAnsi" w:eastAsiaTheme="minorEastAsia" w:hAnsiTheme="minorHAnsi" w:cstheme="minorBidi"/>
              <w:noProof/>
              <w:color w:val="auto"/>
            </w:rPr>
          </w:pPr>
          <w:hyperlink w:anchor="_Toc235059446" w:history="1">
            <w:r w:rsidRPr="004C197C">
              <w:rPr>
                <w:rStyle w:val="Hyperlink"/>
                <w:noProof/>
              </w:rPr>
              <w:t>1. The philosophy</w:t>
            </w:r>
            <w:r>
              <w:rPr>
                <w:noProof/>
              </w:rPr>
              <w:tab/>
            </w:r>
            <w:r>
              <w:rPr>
                <w:noProof/>
              </w:rPr>
              <w:fldChar w:fldCharType="begin"/>
            </w:r>
            <w:r>
              <w:rPr>
                <w:noProof/>
              </w:rPr>
              <w:instrText xml:space="preserve"> PAGEREF _Toc235059446 \h </w:instrText>
            </w:r>
            <w:r>
              <w:rPr>
                <w:noProof/>
              </w:rPr>
            </w:r>
            <w:r>
              <w:rPr>
                <w:noProof/>
              </w:rPr>
              <w:fldChar w:fldCharType="separate"/>
            </w:r>
            <w:r>
              <w:rPr>
                <w:noProof/>
              </w:rPr>
              <w:t>3</w:t>
            </w:r>
            <w:r>
              <w:rPr>
                <w:noProof/>
              </w:rPr>
              <w:fldChar w:fldCharType="end"/>
            </w:r>
          </w:hyperlink>
        </w:p>
        <w:p w14:paraId="375536CD" w14:textId="187EA512" w:rsidR="00D43E49" w:rsidRDefault="00D43E49">
          <w:pPr>
            <w:pStyle w:val="TOC2"/>
            <w:tabs>
              <w:tab w:val="right" w:leader="dot" w:pos="9350"/>
            </w:tabs>
            <w:rPr>
              <w:rFonts w:asciiTheme="minorHAnsi" w:eastAsiaTheme="minorEastAsia" w:hAnsiTheme="minorHAnsi" w:cstheme="minorBidi"/>
              <w:noProof/>
              <w:color w:val="auto"/>
            </w:rPr>
          </w:pPr>
          <w:hyperlink w:anchor="_Toc235059447" w:history="1">
            <w:r w:rsidRPr="004C197C">
              <w:rPr>
                <w:rStyle w:val="Hyperlink"/>
                <w:noProof/>
              </w:rPr>
              <w:t>2. The concept: an Enterprise AI Operating System</w:t>
            </w:r>
            <w:r>
              <w:rPr>
                <w:noProof/>
              </w:rPr>
              <w:tab/>
            </w:r>
            <w:r>
              <w:rPr>
                <w:noProof/>
              </w:rPr>
              <w:fldChar w:fldCharType="begin"/>
            </w:r>
            <w:r>
              <w:rPr>
                <w:noProof/>
              </w:rPr>
              <w:instrText xml:space="preserve"> PAGEREF _Toc235059447 \h </w:instrText>
            </w:r>
            <w:r>
              <w:rPr>
                <w:noProof/>
              </w:rPr>
            </w:r>
            <w:r>
              <w:rPr>
                <w:noProof/>
              </w:rPr>
              <w:fldChar w:fldCharType="separate"/>
            </w:r>
            <w:r>
              <w:rPr>
                <w:noProof/>
              </w:rPr>
              <w:t>3</w:t>
            </w:r>
            <w:r>
              <w:rPr>
                <w:noProof/>
              </w:rPr>
              <w:fldChar w:fldCharType="end"/>
            </w:r>
          </w:hyperlink>
        </w:p>
        <w:p w14:paraId="5B241ACE" w14:textId="576E77E5" w:rsidR="00D43E49" w:rsidRDefault="00D43E49">
          <w:pPr>
            <w:pStyle w:val="TOC2"/>
            <w:tabs>
              <w:tab w:val="right" w:leader="dot" w:pos="9350"/>
            </w:tabs>
            <w:rPr>
              <w:rFonts w:asciiTheme="minorHAnsi" w:eastAsiaTheme="minorEastAsia" w:hAnsiTheme="minorHAnsi" w:cstheme="minorBidi"/>
              <w:noProof/>
              <w:color w:val="auto"/>
            </w:rPr>
          </w:pPr>
          <w:hyperlink w:anchor="_Toc235059448" w:history="1">
            <w:r w:rsidRPr="004C197C">
              <w:rPr>
                <w:rStyle w:val="Hyperlink"/>
                <w:noProof/>
              </w:rPr>
              <w:t>3. The thinking approach — how this was built</w:t>
            </w:r>
            <w:r>
              <w:rPr>
                <w:noProof/>
              </w:rPr>
              <w:tab/>
            </w:r>
            <w:r>
              <w:rPr>
                <w:noProof/>
              </w:rPr>
              <w:fldChar w:fldCharType="begin"/>
            </w:r>
            <w:r>
              <w:rPr>
                <w:noProof/>
              </w:rPr>
              <w:instrText xml:space="preserve"> PAGEREF _Toc235059448 \h </w:instrText>
            </w:r>
            <w:r>
              <w:rPr>
                <w:noProof/>
              </w:rPr>
            </w:r>
            <w:r>
              <w:rPr>
                <w:noProof/>
              </w:rPr>
              <w:fldChar w:fldCharType="separate"/>
            </w:r>
            <w:r>
              <w:rPr>
                <w:noProof/>
              </w:rPr>
              <w:t>4</w:t>
            </w:r>
            <w:r>
              <w:rPr>
                <w:noProof/>
              </w:rPr>
              <w:fldChar w:fldCharType="end"/>
            </w:r>
          </w:hyperlink>
        </w:p>
        <w:p w14:paraId="132543DB" w14:textId="6A25B416" w:rsidR="00D43E49" w:rsidRDefault="00D43E49">
          <w:pPr>
            <w:pStyle w:val="TOC1"/>
            <w:tabs>
              <w:tab w:val="right" w:leader="dot" w:pos="9350"/>
            </w:tabs>
            <w:rPr>
              <w:rFonts w:asciiTheme="minorHAnsi" w:eastAsiaTheme="minorEastAsia" w:hAnsiTheme="minorHAnsi" w:cstheme="minorBidi"/>
              <w:noProof/>
              <w:color w:val="auto"/>
            </w:rPr>
          </w:pPr>
          <w:hyperlink w:anchor="_Toc235059449" w:history="1">
            <w:r w:rsidRPr="004C197C">
              <w:rPr>
                <w:rStyle w:val="Hyperlink"/>
                <w:noProof/>
              </w:rPr>
              <w:t>Part II — The Journey</w:t>
            </w:r>
            <w:r>
              <w:rPr>
                <w:noProof/>
              </w:rPr>
              <w:tab/>
            </w:r>
            <w:r>
              <w:rPr>
                <w:noProof/>
              </w:rPr>
              <w:fldChar w:fldCharType="begin"/>
            </w:r>
            <w:r>
              <w:rPr>
                <w:noProof/>
              </w:rPr>
              <w:instrText xml:space="preserve"> PAGEREF _Toc235059449 \h </w:instrText>
            </w:r>
            <w:r>
              <w:rPr>
                <w:noProof/>
              </w:rPr>
            </w:r>
            <w:r>
              <w:rPr>
                <w:noProof/>
              </w:rPr>
              <w:fldChar w:fldCharType="separate"/>
            </w:r>
            <w:r>
              <w:rPr>
                <w:noProof/>
              </w:rPr>
              <w:t>6</w:t>
            </w:r>
            <w:r>
              <w:rPr>
                <w:noProof/>
              </w:rPr>
              <w:fldChar w:fldCharType="end"/>
            </w:r>
          </w:hyperlink>
        </w:p>
        <w:p w14:paraId="17A8D512" w14:textId="7C5CDD8F" w:rsidR="00D43E49" w:rsidRDefault="00D43E49">
          <w:pPr>
            <w:pStyle w:val="TOC2"/>
            <w:tabs>
              <w:tab w:val="right" w:leader="dot" w:pos="9350"/>
            </w:tabs>
            <w:rPr>
              <w:rFonts w:asciiTheme="minorHAnsi" w:eastAsiaTheme="minorEastAsia" w:hAnsiTheme="minorHAnsi" w:cstheme="minorBidi"/>
              <w:noProof/>
              <w:color w:val="auto"/>
            </w:rPr>
          </w:pPr>
          <w:hyperlink w:anchor="_Toc235059450" w:history="1">
            <w:r w:rsidRPr="004C197C">
              <w:rPr>
                <w:rStyle w:val="Hyperlink"/>
                <w:noProof/>
              </w:rPr>
              <w:t>4. Where we started, where we are</w:t>
            </w:r>
            <w:r>
              <w:rPr>
                <w:noProof/>
              </w:rPr>
              <w:tab/>
            </w:r>
            <w:r>
              <w:rPr>
                <w:noProof/>
              </w:rPr>
              <w:fldChar w:fldCharType="begin"/>
            </w:r>
            <w:r>
              <w:rPr>
                <w:noProof/>
              </w:rPr>
              <w:instrText xml:space="preserve"> PAGEREF _Toc235059450 \h </w:instrText>
            </w:r>
            <w:r>
              <w:rPr>
                <w:noProof/>
              </w:rPr>
            </w:r>
            <w:r>
              <w:rPr>
                <w:noProof/>
              </w:rPr>
              <w:fldChar w:fldCharType="separate"/>
            </w:r>
            <w:r>
              <w:rPr>
                <w:noProof/>
              </w:rPr>
              <w:t>6</w:t>
            </w:r>
            <w:r>
              <w:rPr>
                <w:noProof/>
              </w:rPr>
              <w:fldChar w:fldCharType="end"/>
            </w:r>
          </w:hyperlink>
        </w:p>
        <w:p w14:paraId="4302C2F8" w14:textId="11803CB1" w:rsidR="00D43E49" w:rsidRDefault="00D43E49">
          <w:pPr>
            <w:pStyle w:val="TOC1"/>
            <w:tabs>
              <w:tab w:val="right" w:leader="dot" w:pos="9350"/>
            </w:tabs>
            <w:rPr>
              <w:rFonts w:asciiTheme="minorHAnsi" w:eastAsiaTheme="minorEastAsia" w:hAnsiTheme="minorHAnsi" w:cstheme="minorBidi"/>
              <w:noProof/>
              <w:color w:val="auto"/>
            </w:rPr>
          </w:pPr>
          <w:hyperlink w:anchor="_Toc235059451" w:history="1">
            <w:r w:rsidRPr="004C197C">
              <w:rPr>
                <w:rStyle w:val="Hyperlink"/>
                <w:noProof/>
              </w:rPr>
              <w:t>Part III — The User Manual</w:t>
            </w:r>
            <w:r>
              <w:rPr>
                <w:noProof/>
              </w:rPr>
              <w:tab/>
            </w:r>
            <w:r>
              <w:rPr>
                <w:noProof/>
              </w:rPr>
              <w:fldChar w:fldCharType="begin"/>
            </w:r>
            <w:r>
              <w:rPr>
                <w:noProof/>
              </w:rPr>
              <w:instrText xml:space="preserve"> PAGEREF _Toc235059451 \h </w:instrText>
            </w:r>
            <w:r>
              <w:rPr>
                <w:noProof/>
              </w:rPr>
            </w:r>
            <w:r>
              <w:rPr>
                <w:noProof/>
              </w:rPr>
              <w:fldChar w:fldCharType="separate"/>
            </w:r>
            <w:r>
              <w:rPr>
                <w:noProof/>
              </w:rPr>
              <w:t>7</w:t>
            </w:r>
            <w:r>
              <w:rPr>
                <w:noProof/>
              </w:rPr>
              <w:fldChar w:fldCharType="end"/>
            </w:r>
          </w:hyperlink>
        </w:p>
        <w:p w14:paraId="5BFE7D1B" w14:textId="1F09FFE9" w:rsidR="00D43E49" w:rsidRDefault="00D43E49">
          <w:pPr>
            <w:pStyle w:val="TOC2"/>
            <w:tabs>
              <w:tab w:val="right" w:leader="dot" w:pos="9350"/>
            </w:tabs>
            <w:rPr>
              <w:rFonts w:asciiTheme="minorHAnsi" w:eastAsiaTheme="minorEastAsia" w:hAnsiTheme="minorHAnsi" w:cstheme="minorBidi"/>
              <w:noProof/>
              <w:color w:val="auto"/>
            </w:rPr>
          </w:pPr>
          <w:hyperlink w:anchor="_Toc235059452" w:history="1">
            <w:r w:rsidRPr="004C197C">
              <w:rPr>
                <w:rStyle w:val="Hyperlink"/>
                <w:noProof/>
              </w:rPr>
              <w:t>5. Getting in</w:t>
            </w:r>
            <w:r>
              <w:rPr>
                <w:noProof/>
              </w:rPr>
              <w:tab/>
            </w:r>
            <w:r>
              <w:rPr>
                <w:noProof/>
              </w:rPr>
              <w:fldChar w:fldCharType="begin"/>
            </w:r>
            <w:r>
              <w:rPr>
                <w:noProof/>
              </w:rPr>
              <w:instrText xml:space="preserve"> PAGEREF _Toc235059452 \h </w:instrText>
            </w:r>
            <w:r>
              <w:rPr>
                <w:noProof/>
              </w:rPr>
            </w:r>
            <w:r>
              <w:rPr>
                <w:noProof/>
              </w:rPr>
              <w:fldChar w:fldCharType="separate"/>
            </w:r>
            <w:r>
              <w:rPr>
                <w:noProof/>
              </w:rPr>
              <w:t>7</w:t>
            </w:r>
            <w:r>
              <w:rPr>
                <w:noProof/>
              </w:rPr>
              <w:fldChar w:fldCharType="end"/>
            </w:r>
          </w:hyperlink>
        </w:p>
        <w:p w14:paraId="4D126CEB" w14:textId="7883B92B" w:rsidR="00D43E49" w:rsidRDefault="00D43E49">
          <w:pPr>
            <w:pStyle w:val="TOC2"/>
            <w:tabs>
              <w:tab w:val="right" w:leader="dot" w:pos="9350"/>
            </w:tabs>
            <w:rPr>
              <w:rFonts w:asciiTheme="minorHAnsi" w:eastAsiaTheme="minorEastAsia" w:hAnsiTheme="minorHAnsi" w:cstheme="minorBidi"/>
              <w:noProof/>
              <w:color w:val="auto"/>
            </w:rPr>
          </w:pPr>
          <w:hyperlink w:anchor="_Toc235059453" w:history="1">
            <w:r w:rsidRPr="004C197C">
              <w:rPr>
                <w:rStyle w:val="Hyperlink"/>
                <w:noProof/>
              </w:rPr>
              <w:t>6. The guided journey (what the sidebar means)</w:t>
            </w:r>
            <w:r>
              <w:rPr>
                <w:noProof/>
              </w:rPr>
              <w:tab/>
            </w:r>
            <w:r>
              <w:rPr>
                <w:noProof/>
              </w:rPr>
              <w:fldChar w:fldCharType="begin"/>
            </w:r>
            <w:r>
              <w:rPr>
                <w:noProof/>
              </w:rPr>
              <w:instrText xml:space="preserve"> PAGEREF _Toc235059453 \h </w:instrText>
            </w:r>
            <w:r>
              <w:rPr>
                <w:noProof/>
              </w:rPr>
            </w:r>
            <w:r>
              <w:rPr>
                <w:noProof/>
              </w:rPr>
              <w:fldChar w:fldCharType="separate"/>
            </w:r>
            <w:r>
              <w:rPr>
                <w:noProof/>
              </w:rPr>
              <w:t>7</w:t>
            </w:r>
            <w:r>
              <w:rPr>
                <w:noProof/>
              </w:rPr>
              <w:fldChar w:fldCharType="end"/>
            </w:r>
          </w:hyperlink>
        </w:p>
        <w:p w14:paraId="56E953BA" w14:textId="0848215D" w:rsidR="00D43E49" w:rsidRDefault="00D43E49">
          <w:pPr>
            <w:pStyle w:val="TOC2"/>
            <w:tabs>
              <w:tab w:val="right" w:leader="dot" w:pos="9350"/>
            </w:tabs>
            <w:rPr>
              <w:rFonts w:asciiTheme="minorHAnsi" w:eastAsiaTheme="minorEastAsia" w:hAnsiTheme="minorHAnsi" w:cstheme="minorBidi"/>
              <w:noProof/>
              <w:color w:val="auto"/>
            </w:rPr>
          </w:pPr>
          <w:hyperlink w:anchor="_Toc235059454" w:history="1">
            <w:r w:rsidRPr="004C197C">
              <w:rPr>
                <w:rStyle w:val="Hyperlink"/>
                <w:noProof/>
              </w:rPr>
              <w:t>7. Guide by stakeholder</w:t>
            </w:r>
            <w:r>
              <w:rPr>
                <w:noProof/>
              </w:rPr>
              <w:tab/>
            </w:r>
            <w:r>
              <w:rPr>
                <w:noProof/>
              </w:rPr>
              <w:fldChar w:fldCharType="begin"/>
            </w:r>
            <w:r>
              <w:rPr>
                <w:noProof/>
              </w:rPr>
              <w:instrText xml:space="preserve"> PAGEREF _Toc235059454 \h </w:instrText>
            </w:r>
            <w:r>
              <w:rPr>
                <w:noProof/>
              </w:rPr>
            </w:r>
            <w:r>
              <w:rPr>
                <w:noProof/>
              </w:rPr>
              <w:fldChar w:fldCharType="separate"/>
            </w:r>
            <w:r>
              <w:rPr>
                <w:noProof/>
              </w:rPr>
              <w:t>8</w:t>
            </w:r>
            <w:r>
              <w:rPr>
                <w:noProof/>
              </w:rPr>
              <w:fldChar w:fldCharType="end"/>
            </w:r>
          </w:hyperlink>
        </w:p>
        <w:p w14:paraId="503DF709" w14:textId="549477A0" w:rsidR="00D43E49" w:rsidRDefault="00D43E49">
          <w:pPr>
            <w:pStyle w:val="TOC1"/>
            <w:tabs>
              <w:tab w:val="right" w:leader="dot" w:pos="9350"/>
            </w:tabs>
            <w:rPr>
              <w:rFonts w:asciiTheme="minorHAnsi" w:eastAsiaTheme="minorEastAsia" w:hAnsiTheme="minorHAnsi" w:cstheme="minorBidi"/>
              <w:noProof/>
              <w:color w:val="auto"/>
            </w:rPr>
          </w:pPr>
          <w:hyperlink w:anchor="_Toc235059455" w:history="1">
            <w:r w:rsidRPr="004C197C">
              <w:rPr>
                <w:rStyle w:val="Hyperlink"/>
                <w:noProof/>
              </w:rPr>
              <w:t>Part IV — The Value, the Strategy, the Economy</w:t>
            </w:r>
            <w:r>
              <w:rPr>
                <w:noProof/>
              </w:rPr>
              <w:tab/>
            </w:r>
            <w:r>
              <w:rPr>
                <w:noProof/>
              </w:rPr>
              <w:fldChar w:fldCharType="begin"/>
            </w:r>
            <w:r>
              <w:rPr>
                <w:noProof/>
              </w:rPr>
              <w:instrText xml:space="preserve"> PAGEREF _Toc235059455 \h </w:instrText>
            </w:r>
            <w:r>
              <w:rPr>
                <w:noProof/>
              </w:rPr>
            </w:r>
            <w:r>
              <w:rPr>
                <w:noProof/>
              </w:rPr>
              <w:fldChar w:fldCharType="separate"/>
            </w:r>
            <w:r>
              <w:rPr>
                <w:noProof/>
              </w:rPr>
              <w:t>10</w:t>
            </w:r>
            <w:r>
              <w:rPr>
                <w:noProof/>
              </w:rPr>
              <w:fldChar w:fldCharType="end"/>
            </w:r>
          </w:hyperlink>
        </w:p>
        <w:p w14:paraId="743B06C2" w14:textId="4D713D57" w:rsidR="00D43E49" w:rsidRDefault="00D43E49">
          <w:pPr>
            <w:pStyle w:val="TOC2"/>
            <w:tabs>
              <w:tab w:val="right" w:leader="dot" w:pos="9350"/>
            </w:tabs>
            <w:rPr>
              <w:rFonts w:asciiTheme="minorHAnsi" w:eastAsiaTheme="minorEastAsia" w:hAnsiTheme="minorHAnsi" w:cstheme="minorBidi"/>
              <w:noProof/>
              <w:color w:val="auto"/>
            </w:rPr>
          </w:pPr>
          <w:hyperlink w:anchor="_Toc235059456" w:history="1">
            <w:r w:rsidRPr="004C197C">
              <w:rPr>
                <w:rStyle w:val="Hyperlink"/>
                <w:noProof/>
              </w:rPr>
              <w:t>8. The value we create</w:t>
            </w:r>
            <w:r>
              <w:rPr>
                <w:noProof/>
              </w:rPr>
              <w:tab/>
            </w:r>
            <w:r>
              <w:rPr>
                <w:noProof/>
              </w:rPr>
              <w:fldChar w:fldCharType="begin"/>
            </w:r>
            <w:r>
              <w:rPr>
                <w:noProof/>
              </w:rPr>
              <w:instrText xml:space="preserve"> PAGEREF _Toc235059456 \h </w:instrText>
            </w:r>
            <w:r>
              <w:rPr>
                <w:noProof/>
              </w:rPr>
            </w:r>
            <w:r>
              <w:rPr>
                <w:noProof/>
              </w:rPr>
              <w:fldChar w:fldCharType="separate"/>
            </w:r>
            <w:r>
              <w:rPr>
                <w:noProof/>
              </w:rPr>
              <w:t>10</w:t>
            </w:r>
            <w:r>
              <w:rPr>
                <w:noProof/>
              </w:rPr>
              <w:fldChar w:fldCharType="end"/>
            </w:r>
          </w:hyperlink>
        </w:p>
        <w:p w14:paraId="177F2F4C" w14:textId="2EE97B27" w:rsidR="00D43E49" w:rsidRDefault="00D43E49">
          <w:pPr>
            <w:pStyle w:val="TOC2"/>
            <w:tabs>
              <w:tab w:val="right" w:leader="dot" w:pos="9350"/>
            </w:tabs>
            <w:rPr>
              <w:rFonts w:asciiTheme="minorHAnsi" w:eastAsiaTheme="minorEastAsia" w:hAnsiTheme="minorHAnsi" w:cstheme="minorBidi"/>
              <w:noProof/>
              <w:color w:val="auto"/>
            </w:rPr>
          </w:pPr>
          <w:hyperlink w:anchor="_Toc235059457" w:history="1">
            <w:r w:rsidRPr="004C197C">
              <w:rPr>
                <w:rStyle w:val="Hyperlink"/>
                <w:noProof/>
              </w:rPr>
              <w:t>9. Strategy and market position</w:t>
            </w:r>
            <w:r>
              <w:rPr>
                <w:noProof/>
              </w:rPr>
              <w:tab/>
            </w:r>
            <w:r>
              <w:rPr>
                <w:noProof/>
              </w:rPr>
              <w:fldChar w:fldCharType="begin"/>
            </w:r>
            <w:r>
              <w:rPr>
                <w:noProof/>
              </w:rPr>
              <w:instrText xml:space="preserve"> PAGEREF _Toc235059457 \h </w:instrText>
            </w:r>
            <w:r>
              <w:rPr>
                <w:noProof/>
              </w:rPr>
            </w:r>
            <w:r>
              <w:rPr>
                <w:noProof/>
              </w:rPr>
              <w:fldChar w:fldCharType="separate"/>
            </w:r>
            <w:r>
              <w:rPr>
                <w:noProof/>
              </w:rPr>
              <w:t>10</w:t>
            </w:r>
            <w:r>
              <w:rPr>
                <w:noProof/>
              </w:rPr>
              <w:fldChar w:fldCharType="end"/>
            </w:r>
          </w:hyperlink>
        </w:p>
        <w:p w14:paraId="054642F7" w14:textId="0A891D7E" w:rsidR="00D43E49" w:rsidRDefault="00D43E49">
          <w:pPr>
            <w:pStyle w:val="TOC2"/>
            <w:tabs>
              <w:tab w:val="right" w:leader="dot" w:pos="9350"/>
            </w:tabs>
            <w:rPr>
              <w:rFonts w:asciiTheme="minorHAnsi" w:eastAsiaTheme="minorEastAsia" w:hAnsiTheme="minorHAnsi" w:cstheme="minorBidi"/>
              <w:noProof/>
              <w:color w:val="auto"/>
            </w:rPr>
          </w:pPr>
          <w:hyperlink w:anchor="_Toc235059458" w:history="1">
            <w:r w:rsidRPr="004C197C">
              <w:rPr>
                <w:rStyle w:val="Hyperlink"/>
                <w:noProof/>
              </w:rPr>
              <w:t>10. The emerging AI economy — and our thesis</w:t>
            </w:r>
            <w:r>
              <w:rPr>
                <w:noProof/>
              </w:rPr>
              <w:tab/>
            </w:r>
            <w:r>
              <w:rPr>
                <w:noProof/>
              </w:rPr>
              <w:fldChar w:fldCharType="begin"/>
            </w:r>
            <w:r>
              <w:rPr>
                <w:noProof/>
              </w:rPr>
              <w:instrText xml:space="preserve"> PAGEREF _Toc235059458 \h </w:instrText>
            </w:r>
            <w:r>
              <w:rPr>
                <w:noProof/>
              </w:rPr>
            </w:r>
            <w:r>
              <w:rPr>
                <w:noProof/>
              </w:rPr>
              <w:fldChar w:fldCharType="separate"/>
            </w:r>
            <w:r>
              <w:rPr>
                <w:noProof/>
              </w:rPr>
              <w:t>11</w:t>
            </w:r>
            <w:r>
              <w:rPr>
                <w:noProof/>
              </w:rPr>
              <w:fldChar w:fldCharType="end"/>
            </w:r>
          </w:hyperlink>
        </w:p>
        <w:p w14:paraId="7383B4BA" w14:textId="56126F70" w:rsidR="00D43E49" w:rsidRDefault="00D43E49">
          <w:pPr>
            <w:pStyle w:val="TOC2"/>
            <w:tabs>
              <w:tab w:val="right" w:leader="dot" w:pos="9350"/>
            </w:tabs>
            <w:rPr>
              <w:rFonts w:asciiTheme="minorHAnsi" w:eastAsiaTheme="minorEastAsia" w:hAnsiTheme="minorHAnsi" w:cstheme="minorBidi"/>
              <w:noProof/>
              <w:color w:val="auto"/>
            </w:rPr>
          </w:pPr>
          <w:hyperlink w:anchor="_Toc235059459" w:history="1">
            <w:r w:rsidRPr="004C197C">
              <w:rPr>
                <w:rStyle w:val="Hyperlink"/>
                <w:noProof/>
              </w:rPr>
              <w:t>11. Changing individuals and organizations</w:t>
            </w:r>
            <w:r>
              <w:rPr>
                <w:noProof/>
              </w:rPr>
              <w:tab/>
            </w:r>
            <w:r>
              <w:rPr>
                <w:noProof/>
              </w:rPr>
              <w:fldChar w:fldCharType="begin"/>
            </w:r>
            <w:r>
              <w:rPr>
                <w:noProof/>
              </w:rPr>
              <w:instrText xml:space="preserve"> PAGEREF _Toc235059459 \h </w:instrText>
            </w:r>
            <w:r>
              <w:rPr>
                <w:noProof/>
              </w:rPr>
            </w:r>
            <w:r>
              <w:rPr>
                <w:noProof/>
              </w:rPr>
              <w:fldChar w:fldCharType="separate"/>
            </w:r>
            <w:r>
              <w:rPr>
                <w:noProof/>
              </w:rPr>
              <w:t>11</w:t>
            </w:r>
            <w:r>
              <w:rPr>
                <w:noProof/>
              </w:rPr>
              <w:fldChar w:fldCharType="end"/>
            </w:r>
          </w:hyperlink>
        </w:p>
        <w:p w14:paraId="1EB929DA" w14:textId="2763AC2B" w:rsidR="00D43E49" w:rsidRDefault="00D43E49">
          <w:pPr>
            <w:pStyle w:val="TOC2"/>
            <w:tabs>
              <w:tab w:val="right" w:leader="dot" w:pos="9350"/>
            </w:tabs>
            <w:rPr>
              <w:rFonts w:asciiTheme="minorHAnsi" w:eastAsiaTheme="minorEastAsia" w:hAnsiTheme="minorHAnsi" w:cstheme="minorBidi"/>
              <w:noProof/>
              <w:color w:val="auto"/>
            </w:rPr>
          </w:pPr>
          <w:hyperlink w:anchor="_Toc235059460" w:history="1">
            <w:r w:rsidRPr="004C197C">
              <w:rPr>
                <w:rStyle w:val="Hyperlink"/>
                <w:noProof/>
              </w:rPr>
              <w:t>12. Building new communities</w:t>
            </w:r>
            <w:r>
              <w:rPr>
                <w:noProof/>
              </w:rPr>
              <w:tab/>
            </w:r>
            <w:r>
              <w:rPr>
                <w:noProof/>
              </w:rPr>
              <w:fldChar w:fldCharType="begin"/>
            </w:r>
            <w:r>
              <w:rPr>
                <w:noProof/>
              </w:rPr>
              <w:instrText xml:space="preserve"> PAGEREF _Toc235059460 \h </w:instrText>
            </w:r>
            <w:r>
              <w:rPr>
                <w:noProof/>
              </w:rPr>
            </w:r>
            <w:r>
              <w:rPr>
                <w:noProof/>
              </w:rPr>
              <w:fldChar w:fldCharType="separate"/>
            </w:r>
            <w:r>
              <w:rPr>
                <w:noProof/>
              </w:rPr>
              <w:t>11</w:t>
            </w:r>
            <w:r>
              <w:rPr>
                <w:noProof/>
              </w:rPr>
              <w:fldChar w:fldCharType="end"/>
            </w:r>
          </w:hyperlink>
        </w:p>
        <w:p w14:paraId="4087416C" w14:textId="57094EC5" w:rsidR="00D43E49" w:rsidRDefault="00D43E49">
          <w:pPr>
            <w:pStyle w:val="TOC2"/>
            <w:tabs>
              <w:tab w:val="right" w:leader="dot" w:pos="9350"/>
            </w:tabs>
            <w:rPr>
              <w:rFonts w:asciiTheme="minorHAnsi" w:eastAsiaTheme="minorEastAsia" w:hAnsiTheme="minorHAnsi" w:cstheme="minorBidi"/>
              <w:noProof/>
              <w:color w:val="auto"/>
            </w:rPr>
          </w:pPr>
          <w:hyperlink w:anchor="_Toc235059461" w:history="1">
            <w:r w:rsidRPr="004C197C">
              <w:rPr>
                <w:rStyle w:val="Hyperlink"/>
                <w:noProof/>
              </w:rPr>
              <w:t>13. The roadmap — the next phase</w:t>
            </w:r>
            <w:r>
              <w:rPr>
                <w:noProof/>
              </w:rPr>
              <w:tab/>
            </w:r>
            <w:r>
              <w:rPr>
                <w:noProof/>
              </w:rPr>
              <w:fldChar w:fldCharType="begin"/>
            </w:r>
            <w:r>
              <w:rPr>
                <w:noProof/>
              </w:rPr>
              <w:instrText xml:space="preserve"> PAGEREF _Toc235059461 \h </w:instrText>
            </w:r>
            <w:r>
              <w:rPr>
                <w:noProof/>
              </w:rPr>
            </w:r>
            <w:r>
              <w:rPr>
                <w:noProof/>
              </w:rPr>
              <w:fldChar w:fldCharType="separate"/>
            </w:r>
            <w:r>
              <w:rPr>
                <w:noProof/>
              </w:rPr>
              <w:t>12</w:t>
            </w:r>
            <w:r>
              <w:rPr>
                <w:noProof/>
              </w:rPr>
              <w:fldChar w:fldCharType="end"/>
            </w:r>
          </w:hyperlink>
        </w:p>
        <w:p w14:paraId="1FE5B30A" w14:textId="2A68399D" w:rsidR="00D43E49" w:rsidRDefault="00D43E49">
          <w:pPr>
            <w:pStyle w:val="TOC1"/>
            <w:tabs>
              <w:tab w:val="right" w:leader="dot" w:pos="9350"/>
            </w:tabs>
            <w:rPr>
              <w:rFonts w:asciiTheme="minorHAnsi" w:eastAsiaTheme="minorEastAsia" w:hAnsiTheme="minorHAnsi" w:cstheme="minorBidi"/>
              <w:noProof/>
              <w:color w:val="auto"/>
            </w:rPr>
          </w:pPr>
          <w:hyperlink w:anchor="_Toc235059462" w:history="1">
            <w:r w:rsidRPr="004C197C">
              <w:rPr>
                <w:rStyle w:val="Hyperlink"/>
                <w:noProof/>
              </w:rPr>
              <w:t>Appendix — Operational references</w:t>
            </w:r>
            <w:r>
              <w:rPr>
                <w:noProof/>
              </w:rPr>
              <w:tab/>
            </w:r>
            <w:r>
              <w:rPr>
                <w:noProof/>
              </w:rPr>
              <w:fldChar w:fldCharType="begin"/>
            </w:r>
            <w:r>
              <w:rPr>
                <w:noProof/>
              </w:rPr>
              <w:instrText xml:space="preserve"> PAGEREF _Toc235059462 \h </w:instrText>
            </w:r>
            <w:r>
              <w:rPr>
                <w:noProof/>
              </w:rPr>
            </w:r>
            <w:r>
              <w:rPr>
                <w:noProof/>
              </w:rPr>
              <w:fldChar w:fldCharType="separate"/>
            </w:r>
            <w:r>
              <w:rPr>
                <w:noProof/>
              </w:rPr>
              <w:t>13</w:t>
            </w:r>
            <w:r>
              <w:rPr>
                <w:noProof/>
              </w:rPr>
              <w:fldChar w:fldCharType="end"/>
            </w:r>
          </w:hyperlink>
        </w:p>
        <w:p w14:paraId="13954631" w14:textId="4A124233" w:rsidR="00AC2DB3" w:rsidRDefault="00D43E49">
          <w:r>
            <w:fldChar w:fldCharType="end"/>
          </w:r>
        </w:p>
      </w:sdtContent>
    </w:sdt>
    <w:p w14:paraId="60B285DD" w14:textId="77777777" w:rsidR="00AC2DB3" w:rsidRDefault="00D43E49">
      <w:r>
        <w:br w:type="page"/>
      </w:r>
    </w:p>
    <w:p w14:paraId="3BC654BD" w14:textId="77777777" w:rsidR="00AC2DB3" w:rsidRDefault="00D43E49">
      <w:pPr>
        <w:pStyle w:val="Heading1"/>
        <w:pageBreakBefore/>
      </w:pPr>
      <w:bookmarkStart w:id="1" w:name="_Toc235059445"/>
      <w:r>
        <w:lastRenderedPageBreak/>
        <w:t>Part I — The Idea</w:t>
      </w:r>
      <w:bookmarkEnd w:id="1"/>
    </w:p>
    <w:p w14:paraId="42ADAE40" w14:textId="77777777" w:rsidR="00AC2DB3" w:rsidRDefault="00D43E49">
      <w:pPr>
        <w:pStyle w:val="Heading2"/>
      </w:pPr>
      <w:bookmarkStart w:id="2" w:name="_Toc235059446"/>
      <w:r>
        <w:t>1. The philosophy</w:t>
      </w:r>
      <w:bookmarkEnd w:id="2"/>
    </w:p>
    <w:p w14:paraId="1C02B40E" w14:textId="77777777" w:rsidR="00AC2DB3" w:rsidRDefault="00D43E49">
      <w:pPr>
        <w:spacing w:after="140"/>
      </w:pPr>
      <w:r>
        <w:t xml:space="preserve">Every enterprise software product before the AI era answered one question: </w:t>
      </w:r>
      <w:r>
        <w:rPr>
          <w:i/>
          <w:iCs/>
        </w:rPr>
        <w:t>how do we record what happened?</w:t>
      </w:r>
      <w:r>
        <w:t xml:space="preserve"> ECARMF answers a different one: </w:t>
      </w:r>
      <w:r>
        <w:rPr>
          <w:b/>
          <w:bCs/>
        </w:rPr>
        <w:t>how does an organization think?</w:t>
      </w:r>
    </w:p>
    <w:p w14:paraId="2EC238A8" w14:textId="77777777" w:rsidR="00AC2DB3" w:rsidRDefault="00D43E49">
      <w:pPr>
        <w:spacing w:after="140"/>
      </w:pPr>
      <w:r>
        <w:t>Five convictions shape everything in the platform:</w:t>
      </w:r>
    </w:p>
    <w:p w14:paraId="6C044804" w14:textId="77777777" w:rsidR="00AC2DB3" w:rsidRDefault="00D43E49">
      <w:pPr>
        <w:pStyle w:val="ListParagraph"/>
        <w:numPr>
          <w:ilvl w:val="0"/>
          <w:numId w:val="2"/>
        </w:numPr>
        <w:spacing w:after="100"/>
      </w:pPr>
      <w:r>
        <w:rPr>
          <w:b/>
          <w:bCs/>
        </w:rPr>
        <w:t xml:space="preserve">AI recommends, </w:t>
      </w:r>
      <w:r>
        <w:rPr>
          <w:b/>
          <w:bCs/>
        </w:rPr>
        <w:t>humans decide.</w:t>
      </w:r>
      <w:r>
        <w:t xml:space="preserve"> Nothing in ECARMF lets a model approve, execute, spend, or file. Every AI output — a score, an extraction, a capital recommendation, an agent's answer — is an </w:t>
      </w:r>
      <w:r>
        <w:rPr>
          <w:i/>
          <w:iCs/>
        </w:rPr>
        <w:t>input to a human decision</w:t>
      </w:r>
      <w:r>
        <w:t>, stamped with its provenance and confidence. When an aut</w:t>
      </w:r>
      <w:r>
        <w:t xml:space="preserve">onomous action is proposed, a governance control (AO-GOV-001) refuses it until a person approves. This is not a limitation we tolerate; it is the product's spine. Trust in AI is not claimed — it is </w:t>
      </w:r>
      <w:r>
        <w:rPr>
          <w:i/>
          <w:iCs/>
        </w:rPr>
        <w:t>earned</w:t>
      </w:r>
      <w:r>
        <w:t>, one human verdict at a time, and the platform keep</w:t>
      </w:r>
      <w:r>
        <w:t>s score (ModelAccuracy tracking on every agent answer).</w:t>
      </w:r>
    </w:p>
    <w:p w14:paraId="7B4BAA20" w14:textId="77777777" w:rsidR="00AC2DB3" w:rsidRDefault="00D43E49">
      <w:pPr>
        <w:pStyle w:val="ListParagraph"/>
        <w:numPr>
          <w:ilvl w:val="0"/>
          <w:numId w:val="2"/>
        </w:numPr>
        <w:spacing w:after="100"/>
      </w:pPr>
      <w:r>
        <w:rPr>
          <w:b/>
          <w:bCs/>
        </w:rPr>
        <w:t>Knowledge is software.</w:t>
      </w:r>
      <w:r>
        <w:t xml:space="preserve"> A tenant's entire operating reality — its entities, events, rules, controls, KPIs, risk registers, AI agents, reference documents — ships as </w:t>
      </w:r>
      <w:r>
        <w:rPr>
          <w:b/>
          <w:bCs/>
        </w:rPr>
        <w:t>knowledge packages</w:t>
      </w:r>
      <w:r>
        <w:t>: declarative JSON</w:t>
      </w:r>
      <w:r>
        <w:t xml:space="preserve"> manifests the kernel executes as metadata. No code is written to onboard a business. The 6th, 7th, and 8th industry builds required </w:t>
      </w:r>
      <w:r>
        <w:rPr>
          <w:i/>
          <w:iCs/>
        </w:rPr>
        <w:t>zero kernel changes</w:t>
      </w:r>
      <w:r>
        <w:t xml:space="preserve"> — the platform's core premise, proven.</w:t>
      </w:r>
    </w:p>
    <w:p w14:paraId="20CA8463" w14:textId="77777777" w:rsidR="00AC2DB3" w:rsidRDefault="00D43E49">
      <w:pPr>
        <w:pStyle w:val="ListParagraph"/>
        <w:numPr>
          <w:ilvl w:val="0"/>
          <w:numId w:val="2"/>
        </w:numPr>
        <w:spacing w:after="100"/>
      </w:pPr>
      <w:r>
        <w:rPr>
          <w:b/>
          <w:bCs/>
        </w:rPr>
        <w:t>Explainability is not a feature — it is the substrate.</w:t>
      </w:r>
      <w:r>
        <w:t xml:space="preserve"> Every rec</w:t>
      </w:r>
      <w:r>
        <w:t>ord is immutable. Every outcome carries the rule that produced it. Every score carries its formula. Every AI answer carries its model reference and the exact context it saw. Every reveal of a masked PHI field is attributed. An examiner, an auditor, or a sk</w:t>
      </w:r>
      <w:r>
        <w:t>eptical board member can walk any conclusion back to its origin.</w:t>
      </w:r>
    </w:p>
    <w:p w14:paraId="1445A00F" w14:textId="77777777" w:rsidR="00AC2DB3" w:rsidRDefault="00D43E49">
      <w:pPr>
        <w:pStyle w:val="ListParagraph"/>
        <w:numPr>
          <w:ilvl w:val="0"/>
          <w:numId w:val="2"/>
        </w:numPr>
        <w:spacing w:after="100"/>
      </w:pPr>
      <w:r>
        <w:rPr>
          <w:b/>
          <w:bCs/>
        </w:rPr>
        <w:t>One kernel, many worlds.</w:t>
      </w:r>
      <w:r>
        <w:t xml:space="preserve"> The same engine that scores a dental practice's compliance risk runs a trading firm's counterparty exposure, a medical biller's claim denials, a spa's social reputati</w:t>
      </w:r>
      <w:r>
        <w:t>on, and a tokenized-asset issuer's investor gating. Multi-tenancy is not an afterthought — TenantId scopes every registry, every record, every credential. A tenant's AI key, data, and trust never cross into another's world.</w:t>
      </w:r>
    </w:p>
    <w:p w14:paraId="4E1A2DF9" w14:textId="77777777" w:rsidR="00AC2DB3" w:rsidRDefault="00D43E49">
      <w:pPr>
        <w:pStyle w:val="ListParagraph"/>
        <w:numPr>
          <w:ilvl w:val="0"/>
          <w:numId w:val="2"/>
        </w:numPr>
        <w:spacing w:after="100"/>
      </w:pPr>
      <w:r>
        <w:rPr>
          <w:b/>
          <w:bCs/>
        </w:rPr>
        <w:t>Deterministic first, intelligent</w:t>
      </w:r>
      <w:r>
        <w:rPr>
          <w:b/>
          <w:bCs/>
        </w:rPr>
        <w:t xml:space="preserve"> second.</w:t>
      </w:r>
      <w:r>
        <w:t xml:space="preserve"> Every AI-powered mechanism has a deterministic core that works with </w:t>
      </w:r>
      <w:r>
        <w:rPr>
          <w:i/>
          <w:iCs/>
        </w:rPr>
        <w:t>no model configured</w:t>
      </w:r>
      <w:r>
        <w:t xml:space="preserve"> — the onboarding profiler, the advisors, the scoring engine. The language model is a refinement layer, strictly validated, with a hard fallback. The platform n</w:t>
      </w:r>
      <w:r>
        <w:t>ever breaks because an API key expired; intelligence is additive, never load-bearing for correctness.</w:t>
      </w:r>
    </w:p>
    <w:p w14:paraId="5D629115" w14:textId="77777777" w:rsidR="00AC2DB3" w:rsidRDefault="00D43E49">
      <w:pPr>
        <w:pStyle w:val="Heading2"/>
      </w:pPr>
      <w:bookmarkStart w:id="3" w:name="_Toc235059447"/>
      <w:r>
        <w:t>2. The concept: an Enterprise AI Operating System</w:t>
      </w:r>
      <w:bookmarkEnd w:id="3"/>
    </w:p>
    <w:p w14:paraId="2964B47D" w14:textId="77777777" w:rsidR="00AC2DB3" w:rsidRDefault="00D43E49">
      <w:pPr>
        <w:spacing w:after="140"/>
      </w:pPr>
      <w:r>
        <w:t>Think of ECARMF as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2DB3" w14:paraId="3D236926" w14:textId="77777777">
        <w:tblPrEx>
          <w:tblCellMar>
            <w:top w:w="0" w:type="dxa"/>
            <w:bottom w:w="0" w:type="dxa"/>
          </w:tblCellMar>
        </w:tblPrEx>
        <w:trPr>
          <w:tblHeader/>
        </w:trPr>
        <w:tc>
          <w:tcPr>
            <w:tcW w:w="3120" w:type="dxa"/>
            <w:shd w:val="clear" w:color="auto" w:fill="4F46E5"/>
            <w:tcMar>
              <w:top w:w="80" w:type="dxa"/>
              <w:left w:w="120" w:type="dxa"/>
              <w:bottom w:w="80" w:type="dxa"/>
              <w:right w:w="120" w:type="dxa"/>
            </w:tcMar>
          </w:tcPr>
          <w:p w14:paraId="176CDB6E" w14:textId="77777777" w:rsidR="00AC2DB3" w:rsidRDefault="00D43E49">
            <w:r>
              <w:rPr>
                <w:b/>
                <w:bCs/>
                <w:color w:val="FFFFFF"/>
                <w:sz w:val="20"/>
                <w:szCs w:val="20"/>
              </w:rPr>
              <w:lastRenderedPageBreak/>
              <w:t>Layer</w:t>
            </w:r>
          </w:p>
        </w:tc>
        <w:tc>
          <w:tcPr>
            <w:tcW w:w="3120" w:type="dxa"/>
            <w:shd w:val="clear" w:color="auto" w:fill="4F46E5"/>
            <w:tcMar>
              <w:top w:w="80" w:type="dxa"/>
              <w:left w:w="120" w:type="dxa"/>
              <w:bottom w:w="80" w:type="dxa"/>
              <w:right w:w="120" w:type="dxa"/>
            </w:tcMar>
          </w:tcPr>
          <w:p w14:paraId="462AD165" w14:textId="77777777" w:rsidR="00AC2DB3" w:rsidRDefault="00D43E49">
            <w:r>
              <w:rPr>
                <w:b/>
                <w:bCs/>
                <w:color w:val="FFFFFF"/>
                <w:sz w:val="20"/>
                <w:szCs w:val="20"/>
              </w:rPr>
              <w:t>What it is</w:t>
            </w:r>
          </w:p>
        </w:tc>
        <w:tc>
          <w:tcPr>
            <w:tcW w:w="3120" w:type="dxa"/>
            <w:shd w:val="clear" w:color="auto" w:fill="4F46E5"/>
            <w:tcMar>
              <w:top w:w="80" w:type="dxa"/>
              <w:left w:w="120" w:type="dxa"/>
              <w:bottom w:w="80" w:type="dxa"/>
              <w:right w:w="120" w:type="dxa"/>
            </w:tcMar>
          </w:tcPr>
          <w:p w14:paraId="73AFDFA3" w14:textId="77777777" w:rsidR="00AC2DB3" w:rsidRDefault="00D43E49">
            <w:r>
              <w:rPr>
                <w:b/>
                <w:bCs/>
                <w:color w:val="FFFFFF"/>
                <w:sz w:val="20"/>
                <w:szCs w:val="20"/>
              </w:rPr>
              <w:t>Analogy</w:t>
            </w:r>
          </w:p>
        </w:tc>
      </w:tr>
      <w:tr w:rsidR="00AC2DB3" w14:paraId="1B0528AB" w14:textId="77777777">
        <w:tblPrEx>
          <w:tblCellMar>
            <w:top w:w="0" w:type="dxa"/>
            <w:bottom w:w="0" w:type="dxa"/>
          </w:tblCellMar>
        </w:tblPrEx>
        <w:tc>
          <w:tcPr>
            <w:tcW w:w="3120" w:type="dxa"/>
            <w:tcMar>
              <w:top w:w="80" w:type="dxa"/>
              <w:left w:w="120" w:type="dxa"/>
              <w:bottom w:w="80" w:type="dxa"/>
              <w:right w:w="120" w:type="dxa"/>
            </w:tcMar>
          </w:tcPr>
          <w:p w14:paraId="1285B73E" w14:textId="77777777" w:rsidR="00AC2DB3" w:rsidRDefault="00D43E49">
            <w:r>
              <w:rPr>
                <w:b/>
                <w:bCs/>
                <w:sz w:val="20"/>
                <w:szCs w:val="20"/>
              </w:rPr>
              <w:t>The Kernel</w:t>
            </w:r>
          </w:p>
        </w:tc>
        <w:tc>
          <w:tcPr>
            <w:tcW w:w="3120" w:type="dxa"/>
            <w:tcMar>
              <w:top w:w="80" w:type="dxa"/>
              <w:left w:w="120" w:type="dxa"/>
              <w:bottom w:w="80" w:type="dxa"/>
              <w:right w:w="120" w:type="dxa"/>
            </w:tcMar>
          </w:tcPr>
          <w:p w14:paraId="2ED3703C" w14:textId="77777777" w:rsidR="00AC2DB3" w:rsidRDefault="00D43E49">
            <w:r>
              <w:rPr>
                <w:sz w:val="20"/>
                <w:szCs w:val="20"/>
              </w:rPr>
              <w:t>Tenant-scoped registries, immutable record intake, rules/controls engine, scoring, audit, identity, governance</w:t>
            </w:r>
          </w:p>
        </w:tc>
        <w:tc>
          <w:tcPr>
            <w:tcW w:w="3120" w:type="dxa"/>
            <w:tcMar>
              <w:top w:w="80" w:type="dxa"/>
              <w:left w:w="120" w:type="dxa"/>
              <w:bottom w:w="80" w:type="dxa"/>
              <w:right w:w="120" w:type="dxa"/>
            </w:tcMar>
          </w:tcPr>
          <w:p w14:paraId="008575CF" w14:textId="77777777" w:rsidR="00AC2DB3" w:rsidRDefault="00D43E49">
            <w:r>
              <w:rPr>
                <w:sz w:val="20"/>
                <w:szCs w:val="20"/>
              </w:rPr>
              <w:t>An operating system kernel</w:t>
            </w:r>
          </w:p>
        </w:tc>
      </w:tr>
      <w:tr w:rsidR="00AC2DB3" w14:paraId="4C868564" w14:textId="77777777">
        <w:tblPrEx>
          <w:tblCellMar>
            <w:top w:w="0" w:type="dxa"/>
            <w:bottom w:w="0" w:type="dxa"/>
          </w:tblCellMar>
        </w:tblPrEx>
        <w:tc>
          <w:tcPr>
            <w:tcW w:w="3120" w:type="dxa"/>
            <w:shd w:val="clear" w:color="auto" w:fill="F3F5FB"/>
            <w:tcMar>
              <w:top w:w="80" w:type="dxa"/>
              <w:left w:w="120" w:type="dxa"/>
              <w:bottom w:w="80" w:type="dxa"/>
              <w:right w:w="120" w:type="dxa"/>
            </w:tcMar>
          </w:tcPr>
          <w:p w14:paraId="2FF5F0E1" w14:textId="77777777" w:rsidR="00AC2DB3" w:rsidRDefault="00D43E49">
            <w:r>
              <w:rPr>
                <w:b/>
                <w:bCs/>
                <w:sz w:val="20"/>
                <w:szCs w:val="20"/>
              </w:rPr>
              <w:t>Knowledge Packages ("Skills")</w:t>
            </w:r>
          </w:p>
        </w:tc>
        <w:tc>
          <w:tcPr>
            <w:tcW w:w="3120" w:type="dxa"/>
            <w:shd w:val="clear" w:color="auto" w:fill="F3F5FB"/>
            <w:tcMar>
              <w:top w:w="80" w:type="dxa"/>
              <w:left w:w="120" w:type="dxa"/>
              <w:bottom w:w="80" w:type="dxa"/>
              <w:right w:w="120" w:type="dxa"/>
            </w:tcMar>
          </w:tcPr>
          <w:p w14:paraId="0926B508" w14:textId="77777777" w:rsidR="00AC2DB3" w:rsidRDefault="00D43E49">
            <w:r>
              <w:rPr>
                <w:sz w:val="20"/>
                <w:szCs w:val="20"/>
              </w:rPr>
              <w:t>Declarative manifests contributing entities, events, rules, KPIs, agents, reference knowledge</w:t>
            </w:r>
          </w:p>
        </w:tc>
        <w:tc>
          <w:tcPr>
            <w:tcW w:w="3120" w:type="dxa"/>
            <w:shd w:val="clear" w:color="auto" w:fill="F3F5FB"/>
            <w:tcMar>
              <w:top w:w="80" w:type="dxa"/>
              <w:left w:w="120" w:type="dxa"/>
              <w:bottom w:w="80" w:type="dxa"/>
              <w:right w:w="120" w:type="dxa"/>
            </w:tcMar>
          </w:tcPr>
          <w:p w14:paraId="2CFBA21A" w14:textId="77777777" w:rsidR="00AC2DB3" w:rsidRDefault="00D43E49">
            <w:r>
              <w:rPr>
                <w:sz w:val="20"/>
                <w:szCs w:val="20"/>
              </w:rPr>
              <w:t>Apps installed on the OS</w:t>
            </w:r>
          </w:p>
        </w:tc>
      </w:tr>
      <w:tr w:rsidR="00AC2DB3" w14:paraId="3ED7AAC6" w14:textId="77777777">
        <w:tblPrEx>
          <w:tblCellMar>
            <w:top w:w="0" w:type="dxa"/>
            <w:bottom w:w="0" w:type="dxa"/>
          </w:tblCellMar>
        </w:tblPrEx>
        <w:tc>
          <w:tcPr>
            <w:tcW w:w="3120" w:type="dxa"/>
            <w:tcMar>
              <w:top w:w="80" w:type="dxa"/>
              <w:left w:w="120" w:type="dxa"/>
              <w:bottom w:w="80" w:type="dxa"/>
              <w:right w:w="120" w:type="dxa"/>
            </w:tcMar>
          </w:tcPr>
          <w:p w14:paraId="5FB82987" w14:textId="77777777" w:rsidR="00AC2DB3" w:rsidRDefault="00D43E49">
            <w:r>
              <w:rPr>
                <w:b/>
                <w:bCs/>
                <w:sz w:val="20"/>
                <w:szCs w:val="20"/>
              </w:rPr>
              <w:t>The Intelligence Layer</w:t>
            </w:r>
          </w:p>
        </w:tc>
        <w:tc>
          <w:tcPr>
            <w:tcW w:w="3120" w:type="dxa"/>
            <w:tcMar>
              <w:top w:w="80" w:type="dxa"/>
              <w:left w:w="120" w:type="dxa"/>
              <w:bottom w:w="80" w:type="dxa"/>
              <w:right w:w="120" w:type="dxa"/>
            </w:tcMar>
          </w:tcPr>
          <w:p w14:paraId="371DFA42" w14:textId="77777777" w:rsidR="00AC2DB3" w:rsidRDefault="00D43E49">
            <w:r>
              <w:rPr>
                <w:sz w:val="20"/>
                <w:szCs w:val="20"/>
              </w:rPr>
              <w:t>Tenant-owned AI credentials powering agents, advisors, extraction, refinement — all guardrailed by the kernel</w:t>
            </w:r>
          </w:p>
        </w:tc>
        <w:tc>
          <w:tcPr>
            <w:tcW w:w="3120" w:type="dxa"/>
            <w:tcMar>
              <w:top w:w="80" w:type="dxa"/>
              <w:left w:w="120" w:type="dxa"/>
              <w:bottom w:w="80" w:type="dxa"/>
              <w:right w:w="120" w:type="dxa"/>
            </w:tcMar>
          </w:tcPr>
          <w:p w14:paraId="14168421" w14:textId="77777777" w:rsidR="00AC2DB3" w:rsidRDefault="00D43E49">
            <w:r>
              <w:rPr>
                <w:sz w:val="20"/>
                <w:szCs w:val="20"/>
              </w:rPr>
              <w:t>The</w:t>
            </w:r>
            <w:r>
              <w:rPr>
                <w:sz w:val="20"/>
                <w:szCs w:val="20"/>
              </w:rPr>
              <w:t xml:space="preserve"> co-processor</w:t>
            </w:r>
          </w:p>
        </w:tc>
      </w:tr>
    </w:tbl>
    <w:p w14:paraId="72BF3E06" w14:textId="77777777" w:rsidR="00AC2DB3" w:rsidRDefault="00AC2DB3">
      <w:pPr>
        <w:spacing w:after="120"/>
      </w:pPr>
    </w:p>
    <w:p w14:paraId="2DBB730D" w14:textId="77777777" w:rsidR="00AC2DB3" w:rsidRDefault="00D43E49">
      <w:pPr>
        <w:spacing w:after="140"/>
      </w:pPr>
      <w:r>
        <w:t xml:space="preserve">The consequence of this architecture is the platform's economic engine: </w:t>
      </w:r>
      <w:r>
        <w:rPr>
          <w:b/>
          <w:bCs/>
        </w:rPr>
        <w:t>onboarding a new industry is authorship, not engineering.</w:t>
      </w:r>
      <w:r>
        <w:t xml:space="preserve"> A domain expert who understands dental compliance, or grant-funded project management, or treasury operations can express that understanding as a package — and the kernel makes it executable, auditable, and billable.</w:t>
      </w:r>
    </w:p>
    <w:p w14:paraId="0B3991C4" w14:textId="77777777" w:rsidR="00AC2DB3" w:rsidRDefault="00D43E49">
      <w:pPr>
        <w:pStyle w:val="Heading2"/>
      </w:pPr>
      <w:bookmarkStart w:id="4" w:name="_Toc235059448"/>
      <w:r>
        <w:t>3. The thinking approach — how this wa</w:t>
      </w:r>
      <w:r>
        <w:t>s built</w:t>
      </w:r>
      <w:bookmarkEnd w:id="4"/>
    </w:p>
    <w:p w14:paraId="3A99D017" w14:textId="77777777" w:rsidR="00AC2DB3" w:rsidRDefault="00D43E49">
      <w:pPr>
        <w:spacing w:after="140"/>
      </w:pPr>
      <w:r>
        <w:t xml:space="preserve">The platform was built by a deliberate method worth naming, because it </w:t>
      </w:r>
      <w:r>
        <w:rPr>
          <w:i/>
          <w:iCs/>
        </w:rPr>
        <w:t>is</w:t>
      </w:r>
      <w:r>
        <w:t xml:space="preserve"> part of the intellectual property:</w:t>
      </w:r>
    </w:p>
    <w:p w14:paraId="39D0CB90" w14:textId="77777777" w:rsidR="00AC2DB3" w:rsidRDefault="00D43E49">
      <w:pPr>
        <w:pStyle w:val="ListParagraph"/>
        <w:numPr>
          <w:ilvl w:val="0"/>
          <w:numId w:val="3"/>
        </w:numPr>
        <w:spacing w:after="60"/>
      </w:pPr>
      <w:r>
        <w:rPr>
          <w:b/>
          <w:bCs/>
        </w:rPr>
        <w:t>Tenant-driven evolution.</w:t>
      </w:r>
      <w:r>
        <w:t xml:space="preserve"> We did not design the kernel in the abstract. We onboarded ten sharply different businesses — private equity, mult</w:t>
      </w:r>
      <w:r>
        <w:t xml:space="preserve">i-location restaurants, a CPA firm, a project/grant nonprofit pattern, an internal knowledge-graph company, a med-spa, two capital-markets issuers, a medical-billing RCM firm, and a full trading/treasury enterprise (67 spec packages) — and let each one's </w:t>
      </w:r>
      <w:r>
        <w:rPr>
          <w:i/>
          <w:iCs/>
        </w:rPr>
        <w:t>i</w:t>
      </w:r>
      <w:r>
        <w:rPr>
          <w:i/>
          <w:iCs/>
        </w:rPr>
        <w:t>rreducible</w:t>
      </w:r>
      <w:r>
        <w:t xml:space="preserve"> requirements pull new mechanisms into the kernel. Whatever two tenants needed became platform; whatever one tenant needed stayed in its package.</w:t>
      </w:r>
    </w:p>
    <w:p w14:paraId="1A1E188D" w14:textId="77777777" w:rsidR="00AC2DB3" w:rsidRDefault="00D43E49">
      <w:pPr>
        <w:pStyle w:val="ListParagraph"/>
        <w:numPr>
          <w:ilvl w:val="0"/>
          <w:numId w:val="3"/>
        </w:numPr>
        <w:spacing w:after="60"/>
      </w:pPr>
      <w:r>
        <w:rPr>
          <w:b/>
          <w:bCs/>
        </w:rPr>
        <w:t>Prove, then generalize.</w:t>
      </w:r>
      <w:r>
        <w:t xml:space="preserve"> The shared </w:t>
      </w:r>
      <w:r>
        <w:rPr>
          <w:rFonts w:ascii="Consolas" w:eastAsia="Consolas" w:hAnsi="Consolas" w:cs="Consolas"/>
          <w:sz w:val="19"/>
          <w:szCs w:val="19"/>
          <w:shd w:val="clear" w:color="auto" w:fill="EEF2F6"/>
        </w:rPr>
        <w:t>ai-capital-markets</w:t>
      </w:r>
      <w:r>
        <w:t xml:space="preserve"> package was written once for the seventh tenan</w:t>
      </w:r>
      <w:r>
        <w:t xml:space="preserve">t and reused </w:t>
      </w:r>
      <w:r>
        <w:rPr>
          <w:i/>
          <w:iCs/>
        </w:rPr>
        <w:t>unchanged</w:t>
      </w:r>
      <w:r>
        <w:t xml:space="preserve"> by the eighth — the "skills library" premise proven before it became strategy.</w:t>
      </w:r>
    </w:p>
    <w:p w14:paraId="0FA08668" w14:textId="77777777" w:rsidR="00AC2DB3" w:rsidRDefault="00D43E49">
      <w:pPr>
        <w:pStyle w:val="ListParagraph"/>
        <w:numPr>
          <w:ilvl w:val="0"/>
          <w:numId w:val="3"/>
        </w:numPr>
        <w:spacing w:after="60"/>
      </w:pPr>
      <w:r>
        <w:rPr>
          <w:b/>
          <w:bCs/>
        </w:rPr>
        <w:t>Refinement batches.</w:t>
      </w:r>
      <w:r>
        <w:t xml:space="preserve"> Cross-tenant learnings were consolidated into deliberate refinement batches (R1–R17): supersedable knowledge assets, entity relationsh</w:t>
      </w:r>
      <w:r>
        <w:t>ips, composite health rollups, weighted-risk math, forecasting on classifications — each one demanded by real usage, not imagination.</w:t>
      </w:r>
    </w:p>
    <w:p w14:paraId="1C510B91" w14:textId="77777777" w:rsidR="00AC2DB3" w:rsidRDefault="00D43E49">
      <w:pPr>
        <w:pStyle w:val="ListParagraph"/>
        <w:numPr>
          <w:ilvl w:val="0"/>
          <w:numId w:val="3"/>
        </w:numPr>
        <w:spacing w:after="60"/>
      </w:pPr>
      <w:r>
        <w:rPr>
          <w:b/>
          <w:bCs/>
        </w:rPr>
        <w:t>Verification as culture.</w:t>
      </w:r>
      <w:r>
        <w:t xml:space="preserve"> Every mechanism ships with tests (336 and counting), is verified against the live system, and is </w:t>
      </w:r>
      <w:r>
        <w:t xml:space="preserve">deployed before it is called done. The review that preceded production </w:t>
      </w:r>
      <w:r>
        <w:lastRenderedPageBreak/>
        <w:t>hardening measured the system honestly — and the gaps it found became a four-phase work order that was then executed to completion (HTTPS, rate limiting, proven backup/restore, config o</w:t>
      </w:r>
      <w:r>
        <w:t>verlay, caching, audit archival).</w:t>
      </w:r>
    </w:p>
    <w:p w14:paraId="6C356D99" w14:textId="77777777" w:rsidR="00AC2DB3" w:rsidRDefault="00D43E49">
      <w:pPr>
        <w:pStyle w:val="Heading1"/>
        <w:pageBreakBefore/>
      </w:pPr>
      <w:bookmarkStart w:id="5" w:name="_Toc235059449"/>
      <w:r>
        <w:lastRenderedPageBreak/>
        <w:t>Part II — The Journey</w:t>
      </w:r>
      <w:bookmarkEnd w:id="5"/>
    </w:p>
    <w:p w14:paraId="58BA8210" w14:textId="77777777" w:rsidR="00AC2DB3" w:rsidRDefault="00D43E49">
      <w:pPr>
        <w:pStyle w:val="Heading2"/>
      </w:pPr>
      <w:bookmarkStart w:id="6" w:name="_Toc235059450"/>
      <w:r>
        <w:t>4. Where we started, where we are</w:t>
      </w:r>
      <w:bookmarkEnd w:id="6"/>
    </w:p>
    <w:p w14:paraId="061C86D8" w14:textId="77777777" w:rsidR="00AC2DB3" w:rsidRDefault="00D43E49">
      <w:pPr>
        <w:spacing w:after="140"/>
      </w:pPr>
      <w:r>
        <w:rPr>
          <w:b/>
          <w:bCs/>
        </w:rPr>
        <w:t>Phase 0 — The kernel.</w:t>
      </w:r>
      <w:r>
        <w:t xml:space="preserve"> Immutable records, package loading, tenant registries, rules and controls, scoring, audit. The bet: metadata execution can carry a real business</w:t>
      </w:r>
      <w:r>
        <w:t>.</w:t>
      </w:r>
    </w:p>
    <w:p w14:paraId="0F6DB695" w14:textId="77777777" w:rsidR="00AC2DB3" w:rsidRDefault="00D43E49">
      <w:pPr>
        <w:spacing w:after="140"/>
      </w:pPr>
      <w:r>
        <w:rPr>
          <w:b/>
          <w:bCs/>
        </w:rPr>
        <w:t>Phase 1 — Ten worlds.</w:t>
      </w:r>
      <w:r>
        <w:t xml:space="preserve"> Ten industry builds, each stressing a different axis: multi-location aggregation, regulated key-only access, person-level professional obligations (CPE), project lifecycles with funding sources and milestone gates, knowledge graphs </w:t>
      </w:r>
      <w:r>
        <w:t>and employee-compensation KPIs, dual frameworks on one business unit, investor accreditation gating, cross-bank treasury sweeps, medical-billing risk registers with multiplicative risk formulas, and a 67-package trading/treasury enterprise with its own ext</w:t>
      </w:r>
      <w:r>
        <w:t>ernal spec.</w:t>
      </w:r>
    </w:p>
    <w:p w14:paraId="7F0228C0" w14:textId="77777777" w:rsidR="00AC2DB3" w:rsidRDefault="00D43E49">
      <w:pPr>
        <w:spacing w:after="140"/>
      </w:pPr>
      <w:r>
        <w:rPr>
          <w:b/>
          <w:bCs/>
        </w:rPr>
        <w:t>Phase 2 — The platform economy.</w:t>
      </w:r>
      <w:r>
        <w:t xml:space="preserve"> Package Library, Skills catalog with billing tiers, the value/assertion Skills Library, a Dictionary, a searchable Capability Explorer (one call, 700+ capabilities), ⌘K command palette, demo twins (14 seeded demo</w:t>
      </w:r>
      <w:r>
        <w:t>nstration tenants), period analysis, cases, risk treatment management, a platform-wide risk heatmap, peer benchmarking, board packs, and an operator Action Center.</w:t>
      </w:r>
    </w:p>
    <w:p w14:paraId="10E2378D" w14:textId="77777777" w:rsidR="00AC2DB3" w:rsidRDefault="00D43E49">
      <w:pPr>
        <w:spacing w:after="140"/>
      </w:pPr>
      <w:r>
        <w:rPr>
          <w:b/>
          <w:bCs/>
        </w:rPr>
        <w:t>Phase 3 — Intelligence everywhere.</w:t>
      </w:r>
      <w:r>
        <w:t xml:space="preserve"> The agent mechanism (declared personas + declared context</w:t>
      </w:r>
      <w:r>
        <w:t xml:space="preserve"> sources + tenant credentials + kernel guardrails + enforced disclaimers), the Executive Advisor, the AI Financial Analyst (confidence-gated statement extraction with a human review gate), the AI-refined onboarding profiler, and learning feedback loops tha</w:t>
      </w:r>
      <w:r>
        <w:t>t track model accuracy from human verdicts.</w:t>
      </w:r>
    </w:p>
    <w:p w14:paraId="5179E1FB" w14:textId="77777777" w:rsidR="00AC2DB3" w:rsidRDefault="00D43E49">
      <w:pPr>
        <w:spacing w:after="140"/>
      </w:pPr>
      <w:r>
        <w:rPr>
          <w:b/>
          <w:bCs/>
        </w:rPr>
        <w:t>Phase 4 — Production grade.</w:t>
      </w:r>
      <w:r>
        <w:t xml:space="preserve"> HTTPS, rate limiting, key-only lockdown machinery, restore-verified nightly backups, health probes, a config overlay that survives deployments, CI on every branch, retention archival f</w:t>
      </w:r>
      <w:r>
        <w:t>or a 78,000-entry audit trail, caching, and a design system (tokens, hand-drawn icon set, chart kit, light/dark themes, skeleton loading) built for non-technical users.</w:t>
      </w:r>
    </w:p>
    <w:p w14:paraId="4BDF3825" w14:textId="77777777" w:rsidR="00AC2DB3" w:rsidRDefault="00D43E49">
      <w:pPr>
        <w:spacing w:after="140"/>
      </w:pPr>
      <w:r>
        <w:rPr>
          <w:b/>
          <w:bCs/>
        </w:rPr>
        <w:t>Today.</w:t>
      </w:r>
      <w:r>
        <w:t xml:space="preserve"> The system is feature-complete for launch. Two switches remain, both owner-held:</w:t>
      </w:r>
      <w:r>
        <w:t xml:space="preserve"> a live AI credential, and the elevated service go-live.</w:t>
      </w:r>
    </w:p>
    <w:p w14:paraId="4D79B4BD" w14:textId="77777777" w:rsidR="00AC2DB3" w:rsidRDefault="00D43E49">
      <w:pPr>
        <w:pStyle w:val="Heading1"/>
        <w:pageBreakBefore/>
      </w:pPr>
      <w:bookmarkStart w:id="7" w:name="_Toc235059451"/>
      <w:r>
        <w:lastRenderedPageBreak/>
        <w:t>Part III — The User Manual</w:t>
      </w:r>
      <w:bookmarkEnd w:id="7"/>
    </w:p>
    <w:p w14:paraId="51179392" w14:textId="77777777" w:rsidR="00AC2DB3" w:rsidRDefault="00D43E49">
      <w:pPr>
        <w:pStyle w:val="Heading2"/>
      </w:pPr>
      <w:bookmarkStart w:id="8" w:name="_Toc235059452"/>
      <w:r>
        <w:t>5. Getting in</w:t>
      </w:r>
      <w:bookmarkEnd w:id="8"/>
    </w:p>
    <w:p w14:paraId="10852ADF" w14:textId="77777777" w:rsidR="00AC2DB3" w:rsidRDefault="00D43E49">
      <w:pPr>
        <w:pStyle w:val="ListParagraph"/>
        <w:numPr>
          <w:ilvl w:val="0"/>
          <w:numId w:val="3"/>
        </w:numPr>
        <w:spacing w:after="60"/>
      </w:pPr>
      <w:r>
        <w:rPr>
          <w:b/>
          <w:bCs/>
        </w:rPr>
        <w:t>Open the app</w:t>
      </w:r>
      <w:r>
        <w:t xml:space="preserve"> (desktop shortcut, or </w:t>
      </w:r>
      <w:r>
        <w:rPr>
          <w:rFonts w:ascii="Consolas" w:eastAsia="Consolas" w:hAnsi="Consolas" w:cs="Consolas"/>
          <w:sz w:val="19"/>
          <w:szCs w:val="19"/>
          <w:shd w:val="clear" w:color="auto" w:fill="EEF2F6"/>
        </w:rPr>
        <w:t>http://&lt;server&gt;:8080</w:t>
      </w:r>
      <w:r>
        <w:t xml:space="preserve">; production serves </w:t>
      </w:r>
      <w:r>
        <w:rPr>
          <w:rFonts w:ascii="Consolas" w:eastAsia="Consolas" w:hAnsi="Consolas" w:cs="Consolas"/>
          <w:sz w:val="19"/>
          <w:szCs w:val="19"/>
          <w:shd w:val="clear" w:color="auto" w:fill="EEF2F6"/>
        </w:rPr>
        <w:t>:5099</w:t>
      </w:r>
      <w:r>
        <w:t xml:space="preserve"> as a Windows service).</w:t>
      </w:r>
    </w:p>
    <w:p w14:paraId="5FCA76E4" w14:textId="77777777" w:rsidR="00AC2DB3" w:rsidRDefault="00D43E49">
      <w:pPr>
        <w:pStyle w:val="ListParagraph"/>
        <w:numPr>
          <w:ilvl w:val="0"/>
          <w:numId w:val="3"/>
        </w:numPr>
        <w:spacing w:after="60"/>
      </w:pPr>
      <w:r>
        <w:rPr>
          <w:b/>
          <w:bCs/>
        </w:rPr>
        <w:t>Two identity modes:</w:t>
      </w:r>
      <w:r>
        <w:t xml:space="preserve"> during evaluation, header identity lets you pick a tenant and role in the top bar. In production lockdown — and </w:t>
      </w:r>
      <w:r>
        <w:rPr>
          <w:i/>
          <w:iCs/>
        </w:rPr>
        <w:t>always</w:t>
      </w:r>
      <w:r>
        <w:t xml:space="preserve"> for Regulated tenants — you sign in with an </w:t>
      </w:r>
      <w:r>
        <w:rPr>
          <w:b/>
          <w:bCs/>
        </w:rPr>
        <w:t>access key</w:t>
      </w:r>
      <w:r>
        <w:t xml:space="preserve"> (</w:t>
      </w:r>
      <w:r>
        <w:rPr>
          <w:rFonts w:ascii="Consolas" w:eastAsia="Consolas" w:hAnsi="Consolas" w:cs="Consolas"/>
          <w:sz w:val="19"/>
          <w:szCs w:val="19"/>
          <w:shd w:val="clear" w:color="auto" w:fill="EEF2F6"/>
        </w:rPr>
        <w:t>ecarmf_…</w:t>
      </w:r>
      <w:r>
        <w:t>). Keys are hashed at rest, rotate on demand, and rate-limited against a</w:t>
      </w:r>
      <w:r>
        <w:t>buse.</w:t>
      </w:r>
    </w:p>
    <w:p w14:paraId="753FE669" w14:textId="77777777" w:rsidR="00AC2DB3" w:rsidRDefault="00D43E49">
      <w:pPr>
        <w:pStyle w:val="ListParagraph"/>
        <w:numPr>
          <w:ilvl w:val="0"/>
          <w:numId w:val="3"/>
        </w:numPr>
        <w:spacing w:after="60"/>
      </w:pPr>
      <w:r>
        <w:rPr>
          <w:b/>
          <w:bCs/>
        </w:rPr>
        <w:t>Theme:</w:t>
      </w:r>
      <w:r>
        <w:t xml:space="preserve"> the sun/moon button flips light/dark; the choice sticks per browser.</w:t>
      </w:r>
    </w:p>
    <w:p w14:paraId="2F774554" w14:textId="77777777" w:rsidR="00AC2DB3" w:rsidRDefault="00D43E49">
      <w:pPr>
        <w:pStyle w:val="ListParagraph"/>
        <w:numPr>
          <w:ilvl w:val="0"/>
          <w:numId w:val="3"/>
        </w:numPr>
        <w:spacing w:after="60"/>
      </w:pPr>
      <w:r>
        <w:rPr>
          <w:b/>
          <w:bCs/>
        </w:rPr>
        <w:t>Search everything:</w:t>
      </w:r>
      <w:r>
        <w:t xml:space="preserve"> </w:t>
      </w:r>
      <w:r>
        <w:rPr>
          <w:rFonts w:ascii="Consolas" w:eastAsia="Consolas" w:hAnsi="Consolas" w:cs="Consolas"/>
          <w:sz w:val="19"/>
          <w:szCs w:val="19"/>
          <w:shd w:val="clear" w:color="auto" w:fill="EEF2F6"/>
        </w:rPr>
        <w:t>Ctrl-K</w:t>
      </w:r>
      <w:r>
        <w:t xml:space="preserve"> opens the command palette — screens, tenants, skills, capabilities.</w:t>
      </w:r>
    </w:p>
    <w:p w14:paraId="0DAB72AC" w14:textId="77777777" w:rsidR="00AC2DB3" w:rsidRDefault="00D43E49">
      <w:pPr>
        <w:pStyle w:val="Heading2"/>
      </w:pPr>
      <w:bookmarkStart w:id="9" w:name="_Toc235059453"/>
      <w:r>
        <w:t>6. The guided journey (what the sidebar means)</w:t>
      </w:r>
      <w:bookmarkEnd w:id="9"/>
    </w:p>
    <w:p w14:paraId="055AEB15" w14:textId="77777777" w:rsidR="00AC2DB3" w:rsidRDefault="00D43E49">
      <w:pPr>
        <w:spacing w:after="140"/>
      </w:pPr>
      <w:r>
        <w:t xml:space="preserve">The navigation is organized by </w:t>
      </w:r>
      <w:r>
        <w:rPr>
          <w:i/>
          <w:iCs/>
        </w:rPr>
        <w:t>wh</w:t>
      </w:r>
      <w:r>
        <w:rPr>
          <w:i/>
          <w:iCs/>
        </w:rPr>
        <w:t>at you are doing</w:t>
      </w:r>
      <w:r>
        <w:t xml:space="preserve">, and the </w:t>
      </w:r>
      <w:r>
        <w:rPr>
          <w:b/>
          <w:bCs/>
        </w:rPr>
        <w:t>Start Here</w:t>
      </w:r>
      <w:r>
        <w:t xml:space="preserve"> and </w:t>
      </w:r>
      <w:r>
        <w:rPr>
          <w:b/>
          <w:bCs/>
        </w:rPr>
        <w:t>System Map</w:t>
      </w:r>
      <w:r>
        <w:t xml:space="preserve"> screens walk you through it live, with each step showing its real status for your tenant:</w:t>
      </w:r>
    </w:p>
    <w:p w14:paraId="0BF939C2" w14:textId="77777777" w:rsidR="00AC2DB3" w:rsidRDefault="00D43E49">
      <w:pPr>
        <w:spacing w:after="140"/>
      </w:pPr>
      <w:r>
        <w:rPr>
          <w:b/>
          <w:bCs/>
        </w:rPr>
        <w:t>Orientation</w:t>
      </w:r>
    </w:p>
    <w:p w14:paraId="732972A2" w14:textId="77777777" w:rsidR="00AC2DB3" w:rsidRDefault="00D43E49">
      <w:pPr>
        <w:pStyle w:val="ListParagraph"/>
        <w:numPr>
          <w:ilvl w:val="0"/>
          <w:numId w:val="3"/>
        </w:numPr>
        <w:spacing w:after="60"/>
      </w:pPr>
      <w:r>
        <w:rPr>
          <w:b/>
          <w:bCs/>
        </w:rPr>
        <w:t>Start Here</w:t>
      </w:r>
      <w:r>
        <w:t xml:space="preserve"> — the guided front door: setup → input → output as numbered steps, plus today's posture str</w:t>
      </w:r>
      <w:r>
        <w:t>ip (risks, period trend with sparkline, renewals due, open cases).</w:t>
      </w:r>
    </w:p>
    <w:p w14:paraId="181FA2AC" w14:textId="77777777" w:rsidR="00AC2DB3" w:rsidRDefault="00D43E49">
      <w:pPr>
        <w:pStyle w:val="ListParagraph"/>
        <w:numPr>
          <w:ilvl w:val="0"/>
          <w:numId w:val="3"/>
        </w:numPr>
        <w:spacing w:after="60"/>
      </w:pPr>
      <w:r>
        <w:rPr>
          <w:b/>
          <w:bCs/>
        </w:rPr>
        <w:t>System Map</w:t>
      </w:r>
      <w:r>
        <w:t xml:space="preserve"> — the seven-stage journey as a launcher: sign in → set up → feed data → see output → ask the AI → discover → grow.</w:t>
      </w:r>
    </w:p>
    <w:p w14:paraId="10B050AB" w14:textId="77777777" w:rsidR="00AC2DB3" w:rsidRDefault="00D43E49">
      <w:pPr>
        <w:pStyle w:val="ListParagraph"/>
        <w:numPr>
          <w:ilvl w:val="0"/>
          <w:numId w:val="3"/>
        </w:numPr>
        <w:spacing w:after="60"/>
      </w:pPr>
      <w:r>
        <w:rPr>
          <w:b/>
          <w:bCs/>
        </w:rPr>
        <w:t>Dictionary</w:t>
      </w:r>
      <w:r>
        <w:t xml:space="preserve"> — every term the platform uses, in plain language.</w:t>
      </w:r>
    </w:p>
    <w:p w14:paraId="57135BBA" w14:textId="77777777" w:rsidR="00AC2DB3" w:rsidRDefault="00D43E49">
      <w:pPr>
        <w:pStyle w:val="ListParagraph"/>
        <w:numPr>
          <w:ilvl w:val="0"/>
          <w:numId w:val="3"/>
        </w:numPr>
        <w:spacing w:after="60"/>
      </w:pPr>
      <w:r>
        <w:rPr>
          <w:b/>
          <w:bCs/>
        </w:rPr>
        <w:t>Capability Explorer</w:t>
      </w:r>
      <w:r>
        <w:t xml:space="preserve"> — a searchable index of </w:t>
      </w:r>
      <w:r>
        <w:rPr>
          <w:i/>
          <w:iCs/>
        </w:rPr>
        <w:t>everything your active packages give you</w:t>
      </w:r>
      <w:r>
        <w:t>: rules, KPIs, agents, entities, events, knowledge assets.</w:t>
      </w:r>
    </w:p>
    <w:p w14:paraId="1CB2E3D6" w14:textId="77777777" w:rsidR="00AC2DB3" w:rsidRDefault="00D43E49">
      <w:pPr>
        <w:spacing w:after="140"/>
      </w:pPr>
      <w:r>
        <w:rPr>
          <w:b/>
          <w:bCs/>
        </w:rPr>
        <w:t>Setup (do once, revisit rarely)</w:t>
      </w:r>
    </w:p>
    <w:p w14:paraId="15DB467C" w14:textId="77777777" w:rsidR="00AC2DB3" w:rsidRDefault="00D43E49">
      <w:pPr>
        <w:pStyle w:val="ListParagraph"/>
        <w:numPr>
          <w:ilvl w:val="0"/>
          <w:numId w:val="3"/>
        </w:numPr>
        <w:spacing w:after="60"/>
      </w:pPr>
      <w:r>
        <w:rPr>
          <w:b/>
          <w:bCs/>
        </w:rPr>
        <w:t>Organization</w:t>
      </w:r>
      <w:r>
        <w:t xml:space="preserve"> — business units, attached frameworks.</w:t>
      </w:r>
    </w:p>
    <w:p w14:paraId="182BD04D" w14:textId="77777777" w:rsidR="00AC2DB3" w:rsidRDefault="00D43E49">
      <w:pPr>
        <w:pStyle w:val="ListParagraph"/>
        <w:numPr>
          <w:ilvl w:val="0"/>
          <w:numId w:val="3"/>
        </w:numPr>
        <w:spacing w:after="60"/>
      </w:pPr>
      <w:r>
        <w:rPr>
          <w:b/>
          <w:bCs/>
        </w:rPr>
        <w:t>Packages</w:t>
      </w:r>
      <w:r>
        <w:t xml:space="preserve"> — activate the knowl</w:t>
      </w:r>
      <w:r>
        <w:t>edge packages that define what the system knows.</w:t>
      </w:r>
    </w:p>
    <w:p w14:paraId="63E2D7DD" w14:textId="77777777" w:rsidR="00AC2DB3" w:rsidRDefault="00D43E49">
      <w:pPr>
        <w:pStyle w:val="ListParagraph"/>
        <w:numPr>
          <w:ilvl w:val="0"/>
          <w:numId w:val="3"/>
        </w:numPr>
        <w:spacing w:after="60"/>
      </w:pPr>
      <w:r>
        <w:rPr>
          <w:b/>
          <w:bCs/>
        </w:rPr>
        <w:t>Controls</w:t>
      </w:r>
      <w:r>
        <w:t xml:space="preserve"> — every control your packages declare, and what it rejects.</w:t>
      </w:r>
    </w:p>
    <w:p w14:paraId="1080147A" w14:textId="77777777" w:rsidR="00AC2DB3" w:rsidRDefault="00D43E49">
      <w:pPr>
        <w:pStyle w:val="ListParagraph"/>
        <w:numPr>
          <w:ilvl w:val="0"/>
          <w:numId w:val="3"/>
        </w:numPr>
        <w:spacing w:after="60"/>
      </w:pPr>
      <w:r>
        <w:rPr>
          <w:b/>
          <w:bCs/>
        </w:rPr>
        <w:t>Integrations</w:t>
      </w:r>
      <w:r>
        <w:t xml:space="preserve"> — </w:t>
      </w:r>
      <w:r>
        <w:rPr>
          <w:i/>
          <w:iCs/>
        </w:rPr>
        <w:t>connect banks, accounting, POS, billing, ERP, CRM systems.</w:t>
      </w:r>
      <w:r>
        <w:t xml:space="preserve"> Register a feed once (push or pull, with auth); data arrives aut</w:t>
      </w:r>
      <w:r>
        <w:t>omatically and shows feed health. (Data Entry cross-links here — connecting is Setup, feeding is Input.)</w:t>
      </w:r>
    </w:p>
    <w:p w14:paraId="1C9E41F9" w14:textId="77777777" w:rsidR="00AC2DB3" w:rsidRDefault="00D43E49">
      <w:pPr>
        <w:pStyle w:val="ListParagraph"/>
        <w:numPr>
          <w:ilvl w:val="0"/>
          <w:numId w:val="3"/>
        </w:numPr>
        <w:spacing w:after="60"/>
      </w:pPr>
      <w:r>
        <w:rPr>
          <w:b/>
          <w:bCs/>
        </w:rPr>
        <w:t>Benchmarks</w:t>
      </w:r>
      <w:r>
        <w:t xml:space="preserve"> — state expectations in plain terms ("GP% ≥ 25%", "no movement above 10k") with severity and routing; breaches raise deviation alerts.</w:t>
      </w:r>
    </w:p>
    <w:p w14:paraId="7E55A307" w14:textId="77777777" w:rsidR="00AC2DB3" w:rsidRDefault="00D43E49">
      <w:pPr>
        <w:pStyle w:val="ListParagraph"/>
        <w:numPr>
          <w:ilvl w:val="0"/>
          <w:numId w:val="3"/>
        </w:numPr>
        <w:spacing w:after="60"/>
      </w:pPr>
      <w:r>
        <w:rPr>
          <w:b/>
          <w:bCs/>
        </w:rPr>
        <w:t>Renew</w:t>
      </w:r>
      <w:r>
        <w:rPr>
          <w:b/>
          <w:bCs/>
        </w:rPr>
        <w:t>als</w:t>
      </w:r>
      <w:r>
        <w:t xml:space="preserve"> — licenses, leases, filings with due-date tracking and document attachments.</w:t>
      </w:r>
    </w:p>
    <w:p w14:paraId="365C3EE0" w14:textId="77777777" w:rsidR="00AC2DB3" w:rsidRDefault="00D43E49">
      <w:pPr>
        <w:pStyle w:val="ListParagraph"/>
        <w:numPr>
          <w:ilvl w:val="0"/>
          <w:numId w:val="3"/>
        </w:numPr>
        <w:spacing w:after="60"/>
      </w:pPr>
      <w:r>
        <w:rPr>
          <w:b/>
          <w:bCs/>
        </w:rPr>
        <w:lastRenderedPageBreak/>
        <w:t>AI Treasury / AI Backend</w:t>
      </w:r>
      <w:r>
        <w:t xml:space="preserve"> — treasury policy and the tenant's own AI credential (Anthropic key or a local endpoint — nothing leaves the premises with a local model).</w:t>
      </w:r>
    </w:p>
    <w:p w14:paraId="0BE4F09E" w14:textId="77777777" w:rsidR="00AC2DB3" w:rsidRDefault="00D43E49">
      <w:pPr>
        <w:spacing w:after="140"/>
      </w:pPr>
      <w:r>
        <w:rPr>
          <w:b/>
          <w:bCs/>
        </w:rPr>
        <w:t xml:space="preserve">Input (the </w:t>
      </w:r>
      <w:r>
        <w:rPr>
          <w:b/>
          <w:bCs/>
        </w:rPr>
        <w:t>ways data gets in)</w:t>
      </w:r>
    </w:p>
    <w:p w14:paraId="68EF9DAF" w14:textId="77777777" w:rsidR="00AC2DB3" w:rsidRDefault="00D43E49">
      <w:pPr>
        <w:pStyle w:val="ListParagraph"/>
        <w:numPr>
          <w:ilvl w:val="0"/>
          <w:numId w:val="3"/>
        </w:numPr>
        <w:spacing w:after="60"/>
      </w:pPr>
      <w:r>
        <w:rPr>
          <w:b/>
          <w:bCs/>
        </w:rPr>
        <w:t>Data Entry</w:t>
      </w:r>
      <w:r>
        <w:t xml:space="preserve"> — four doors: typed records, raw connector payloads (a bank-statement line, a journal entry — pasted exactly as the source produces it), document extraction (PDFs, statements — OCR + template mapping), and CSV bulk import (eve</w:t>
      </w:r>
      <w:r>
        <w:t>ry row runs the full rules pipeline).</w:t>
      </w:r>
    </w:p>
    <w:p w14:paraId="4B813CEF" w14:textId="77777777" w:rsidR="00AC2DB3" w:rsidRDefault="00D43E49">
      <w:pPr>
        <w:pStyle w:val="ListParagraph"/>
        <w:numPr>
          <w:ilvl w:val="0"/>
          <w:numId w:val="3"/>
        </w:numPr>
        <w:spacing w:after="60"/>
      </w:pPr>
      <w:r>
        <w:rPr>
          <w:b/>
          <w:bCs/>
        </w:rPr>
        <w:t>Statement Review</w:t>
      </w:r>
      <w:r>
        <w:t xml:space="preserve"> — the human gate for AI-extracted financial statements: any value below the template's confidence threshold waits here with the exact source text the model read; a person corrects and approves (releasi</w:t>
      </w:r>
      <w:r>
        <w:t>ng it into ratio analysis) or rejects. A misread figure never silently reaches a risk score.</w:t>
      </w:r>
    </w:p>
    <w:p w14:paraId="380B680E" w14:textId="77777777" w:rsidR="00AC2DB3" w:rsidRDefault="00D43E49">
      <w:pPr>
        <w:spacing w:after="140"/>
      </w:pPr>
      <w:r>
        <w:rPr>
          <w:b/>
          <w:bCs/>
        </w:rPr>
        <w:t>Output (what the system gives back)</w:t>
      </w:r>
    </w:p>
    <w:p w14:paraId="28A3A2A6" w14:textId="77777777" w:rsidR="00AC2DB3" w:rsidRDefault="00D43E49">
      <w:pPr>
        <w:pStyle w:val="ListParagraph"/>
        <w:numPr>
          <w:ilvl w:val="0"/>
          <w:numId w:val="3"/>
        </w:numPr>
        <w:spacing w:after="60"/>
      </w:pPr>
      <w:r>
        <w:rPr>
          <w:b/>
          <w:bCs/>
        </w:rPr>
        <w:t>Record Activity</w:t>
      </w:r>
      <w:r>
        <w:t xml:space="preserve"> — every record, its outcomes, and the rules that fired.</w:t>
      </w:r>
    </w:p>
    <w:p w14:paraId="28A391AC" w14:textId="77777777" w:rsidR="00AC2DB3" w:rsidRDefault="00D43E49">
      <w:pPr>
        <w:pStyle w:val="ListParagraph"/>
        <w:numPr>
          <w:ilvl w:val="0"/>
          <w:numId w:val="3"/>
        </w:numPr>
        <w:spacing w:after="60"/>
      </w:pPr>
      <w:r>
        <w:rPr>
          <w:b/>
          <w:bCs/>
        </w:rPr>
        <w:t>Dashboard</w:t>
      </w:r>
      <w:r>
        <w:t xml:space="preserve"> — live, widget-configurable: KPI tiles, outco</w:t>
      </w:r>
      <w:r>
        <w:t>me donut, score averages, OKR attainment, deviation feed, integration health, task inbox.</w:t>
      </w:r>
    </w:p>
    <w:p w14:paraId="26184562" w14:textId="77777777" w:rsidR="00AC2DB3" w:rsidRDefault="00D43E49">
      <w:pPr>
        <w:pStyle w:val="ListParagraph"/>
        <w:numPr>
          <w:ilvl w:val="0"/>
          <w:numId w:val="3"/>
        </w:numPr>
        <w:spacing w:after="60"/>
      </w:pPr>
      <w:r>
        <w:rPr>
          <w:b/>
          <w:bCs/>
        </w:rPr>
        <w:t>Risk Register / Risk Treatment</w:t>
      </w:r>
      <w:r>
        <w:t xml:space="preserve"> — risks scored by severity × likelihood, treatment plans, and the governed remediation loop: spawn a remediation action → a human appro</w:t>
      </w:r>
      <w:r>
        <w:t>ves → the orchestration skill executes → residual risk is computed and the risk is marked Mitigated.</w:t>
      </w:r>
    </w:p>
    <w:p w14:paraId="0C2A8889" w14:textId="77777777" w:rsidR="00AC2DB3" w:rsidRDefault="00D43E49">
      <w:pPr>
        <w:pStyle w:val="ListParagraph"/>
        <w:numPr>
          <w:ilvl w:val="0"/>
          <w:numId w:val="3"/>
        </w:numPr>
        <w:spacing w:after="60"/>
      </w:pPr>
      <w:r>
        <w:rPr>
          <w:b/>
          <w:bCs/>
        </w:rPr>
        <w:t>Period Analysis</w:t>
      </w:r>
      <w:r>
        <w:t xml:space="preserve"> — this month/quarter vs last, with trend charts and plain-language recommendations.</w:t>
      </w:r>
    </w:p>
    <w:p w14:paraId="56C4B1A1" w14:textId="77777777" w:rsidR="00AC2DB3" w:rsidRDefault="00D43E49">
      <w:pPr>
        <w:pStyle w:val="ListParagraph"/>
        <w:numPr>
          <w:ilvl w:val="0"/>
          <w:numId w:val="3"/>
        </w:numPr>
        <w:spacing w:after="60"/>
      </w:pPr>
      <w:r>
        <w:rPr>
          <w:b/>
          <w:bCs/>
        </w:rPr>
        <w:t>Cases</w:t>
      </w:r>
      <w:r>
        <w:t xml:space="preserve">, </w:t>
      </w:r>
      <w:r>
        <w:rPr>
          <w:b/>
          <w:bCs/>
        </w:rPr>
        <w:t>Reports</w:t>
      </w:r>
      <w:r>
        <w:t xml:space="preserve">, </w:t>
      </w:r>
      <w:r>
        <w:rPr>
          <w:b/>
          <w:bCs/>
        </w:rPr>
        <w:t>Board Pack</w:t>
      </w:r>
      <w:r>
        <w:t xml:space="preserve"> (a printable one-page executive brief), </w:t>
      </w:r>
      <w:r>
        <w:rPr>
          <w:b/>
          <w:bCs/>
        </w:rPr>
        <w:t>Peer Benchmark</w:t>
      </w:r>
      <w:r>
        <w:t xml:space="preserve"> (your number against the anonymized distribution of comparable businesses — nothing shown</w:t>
      </w:r>
      <w:r>
        <w:t xml:space="preserve"> unless ≥3 peers), </w:t>
      </w:r>
      <w:r>
        <w:rPr>
          <w:b/>
          <w:bCs/>
        </w:rPr>
        <w:t>Audit Trail</w:t>
      </w:r>
      <w:r>
        <w:t xml:space="preserve">, </w:t>
      </w:r>
      <w:r>
        <w:rPr>
          <w:b/>
          <w:bCs/>
        </w:rPr>
        <w:t>Library</w:t>
      </w:r>
      <w:r>
        <w:t xml:space="preserve"> (every original upload preserved), </w:t>
      </w:r>
      <w:r>
        <w:rPr>
          <w:b/>
          <w:bCs/>
        </w:rPr>
        <w:t>Capital Flows</w:t>
      </w:r>
      <w:r>
        <w:t>.</w:t>
      </w:r>
    </w:p>
    <w:p w14:paraId="52DF60BA" w14:textId="77777777" w:rsidR="00AC2DB3" w:rsidRDefault="00D43E49">
      <w:pPr>
        <w:pStyle w:val="ListParagraph"/>
        <w:numPr>
          <w:ilvl w:val="0"/>
          <w:numId w:val="3"/>
        </w:numPr>
        <w:spacing w:after="60"/>
      </w:pPr>
      <w:r>
        <w:rPr>
          <w:b/>
          <w:bCs/>
        </w:rPr>
        <w:t>AI Advisor / AI Agents</w:t>
      </w:r>
      <w:r>
        <w:t xml:space="preserve"> — consult the executive advisor or any agent your packages declare. Every answer is grounded in declared context only, disclaimed where require</w:t>
      </w:r>
      <w:r>
        <w:t>d, audited, and rated by you — ratings feed the trust ledger.</w:t>
      </w:r>
    </w:p>
    <w:p w14:paraId="5E8EA758" w14:textId="77777777" w:rsidR="00AC2DB3" w:rsidRDefault="00D43E49">
      <w:pPr>
        <w:spacing w:after="140"/>
      </w:pPr>
      <w:r>
        <w:rPr>
          <w:b/>
          <w:bCs/>
        </w:rPr>
        <w:t>Platform (operators only)</w:t>
      </w:r>
    </w:p>
    <w:p w14:paraId="21B6CAC4" w14:textId="77777777" w:rsidR="00AC2DB3" w:rsidRDefault="00D43E49">
      <w:pPr>
        <w:pStyle w:val="ListParagraph"/>
        <w:numPr>
          <w:ilvl w:val="0"/>
          <w:numId w:val="3"/>
        </w:numPr>
        <w:spacing w:after="60"/>
      </w:pPr>
      <w:r>
        <w:rPr>
          <w:b/>
          <w:bCs/>
        </w:rPr>
        <w:t>Action Center</w:t>
      </w:r>
      <w:r>
        <w:t xml:space="preserve"> (everything needing operator attention), </w:t>
      </w:r>
      <w:r>
        <w:rPr>
          <w:b/>
          <w:bCs/>
        </w:rPr>
        <w:t>Platform Risk</w:t>
      </w:r>
      <w:r>
        <w:t xml:space="preserve"> (the cross-tenant heatmap), </w:t>
      </w:r>
      <w:r>
        <w:rPr>
          <w:b/>
          <w:bCs/>
        </w:rPr>
        <w:t>Health Board</w:t>
      </w:r>
      <w:r>
        <w:t xml:space="preserve">, </w:t>
      </w:r>
      <w:r>
        <w:rPr>
          <w:b/>
          <w:bCs/>
        </w:rPr>
        <w:t>Enroll Tenant</w:t>
      </w:r>
      <w:r>
        <w:t xml:space="preserve"> (the self-service wizard with AI-refined re</w:t>
      </w:r>
      <w:r>
        <w:t xml:space="preserve">commendations), </w:t>
      </w:r>
      <w:r>
        <w:rPr>
          <w:b/>
          <w:bCs/>
        </w:rPr>
        <w:t>Package Library</w:t>
      </w:r>
      <w:r>
        <w:t xml:space="preserve">, </w:t>
      </w:r>
      <w:r>
        <w:rPr>
          <w:b/>
          <w:bCs/>
        </w:rPr>
        <w:t>Skills</w:t>
      </w:r>
      <w:r>
        <w:t xml:space="preserve"> &amp; </w:t>
      </w:r>
      <w:r>
        <w:rPr>
          <w:b/>
          <w:bCs/>
        </w:rPr>
        <w:t>Skills Library</w:t>
      </w:r>
      <w:r>
        <w:t xml:space="preserve"> (catalog, tiers, billing), </w:t>
      </w:r>
      <w:r>
        <w:rPr>
          <w:b/>
          <w:bCs/>
        </w:rPr>
        <w:t>Demo Twins</w:t>
      </w:r>
      <w:r>
        <w:t xml:space="preserve">, </w:t>
      </w:r>
      <w:r>
        <w:rPr>
          <w:b/>
          <w:bCs/>
        </w:rPr>
        <w:t>Clients</w:t>
      </w:r>
      <w:r>
        <w:t xml:space="preserve">, </w:t>
      </w:r>
      <w:r>
        <w:rPr>
          <w:b/>
          <w:bCs/>
        </w:rPr>
        <w:t>Billing</w:t>
      </w:r>
      <w:r>
        <w:t xml:space="preserve">, </w:t>
      </w:r>
      <w:r>
        <w:rPr>
          <w:b/>
          <w:bCs/>
        </w:rPr>
        <w:t>Email</w:t>
      </w:r>
      <w:r>
        <w:t>.</w:t>
      </w:r>
    </w:p>
    <w:p w14:paraId="7C8D74FA" w14:textId="77777777" w:rsidR="00AC2DB3" w:rsidRDefault="00D43E49">
      <w:pPr>
        <w:pStyle w:val="Heading2"/>
      </w:pPr>
      <w:bookmarkStart w:id="10" w:name="_Toc235059454"/>
      <w:r>
        <w:t>7. Guide by stakeholder</w:t>
      </w:r>
      <w:bookmarkEnd w:id="10"/>
    </w:p>
    <w:p w14:paraId="59CD885D" w14:textId="77777777" w:rsidR="00AC2DB3" w:rsidRDefault="00D43E49">
      <w:pPr>
        <w:spacing w:after="140"/>
      </w:pPr>
      <w:r>
        <w:rPr>
          <w:b/>
          <w:bCs/>
        </w:rPr>
        <w:t>For the client executive (owner, board, partner):</w:t>
      </w:r>
    </w:p>
    <w:p w14:paraId="3CF54734" w14:textId="77777777" w:rsidR="00AC2DB3" w:rsidRDefault="00D43E49">
      <w:pPr>
        <w:spacing w:after="140"/>
      </w:pPr>
      <w:r>
        <w:t>Your screens are Start Here, Dashboard, Board Pack, Period An</w:t>
      </w:r>
      <w:r>
        <w:t xml:space="preserve">alysis, Peer Benchmark, and the AI Advisor. The platform's promise to you: </w:t>
      </w:r>
      <w:r>
        <w:rPr>
          <w:i/>
          <w:iCs/>
        </w:rPr>
        <w:t>you will never be surprised.</w:t>
      </w:r>
      <w:r>
        <w:t xml:space="preserve"> Expectations you state become </w:t>
      </w:r>
      <w:r>
        <w:lastRenderedPageBreak/>
        <w:t>alarms; risks are scored and tracked to treatment; the board pack assembles itself from live data; and when you ask the AI</w:t>
      </w:r>
      <w:r>
        <w:t xml:space="preserve"> a question, the answer tells you exactly what it looked at.</w:t>
      </w:r>
    </w:p>
    <w:p w14:paraId="28B9738E" w14:textId="77777777" w:rsidR="00AC2DB3" w:rsidRDefault="00D43E49">
      <w:pPr>
        <w:spacing w:after="140"/>
      </w:pPr>
      <w:r>
        <w:rPr>
          <w:b/>
          <w:bCs/>
        </w:rPr>
        <w:t>For operations staff:</w:t>
      </w:r>
    </w:p>
    <w:p w14:paraId="6D92C402" w14:textId="77777777" w:rsidR="00AC2DB3" w:rsidRDefault="00D43E49">
      <w:pPr>
        <w:spacing w:after="140"/>
      </w:pPr>
      <w:r>
        <w:t>Data Entry and Statement Review are your daily doors; Record Activity is your receipt. Rules run the moment data lands. If a control rejects something, the outcome says whic</w:t>
      </w:r>
      <w:r>
        <w:t>h rule and why — fix the input, not a mystery.</w:t>
      </w:r>
    </w:p>
    <w:p w14:paraId="32766E1F" w14:textId="77777777" w:rsidR="00AC2DB3" w:rsidRDefault="00D43E49">
      <w:pPr>
        <w:spacing w:after="140"/>
      </w:pPr>
      <w:r>
        <w:rPr>
          <w:b/>
          <w:bCs/>
        </w:rPr>
        <w:t>For the compliance officer / auditor / examiner:</w:t>
      </w:r>
    </w:p>
    <w:p w14:paraId="046B7C99" w14:textId="77777777" w:rsidR="00AC2DB3" w:rsidRDefault="00D43E49">
      <w:pPr>
        <w:spacing w:after="140"/>
      </w:pPr>
      <w:r>
        <w:t>The Audit Trail is complete and tamper-evident by design (immutable records, append-only audit, archival retention). PHI is masked by default with attributed re</w:t>
      </w:r>
      <w:r>
        <w:t>veals. Regulated tenants refuse header identity entirely. Controls are declarative and inspectable (Controls screen), and every AI output is labeled AI-generated with its model reference. You can reconstruct any decision.</w:t>
      </w:r>
    </w:p>
    <w:p w14:paraId="2A97AB30" w14:textId="77777777" w:rsidR="00AC2DB3" w:rsidRDefault="00D43E49">
      <w:pPr>
        <w:spacing w:after="140"/>
      </w:pPr>
      <w:r>
        <w:rPr>
          <w:b/>
          <w:bCs/>
        </w:rPr>
        <w:t>For the platform operator:</w:t>
      </w:r>
    </w:p>
    <w:p w14:paraId="178F0D5B" w14:textId="77777777" w:rsidR="00AC2DB3" w:rsidRDefault="00D43E49">
      <w:pPr>
        <w:spacing w:after="140"/>
      </w:pPr>
      <w:r>
        <w:t xml:space="preserve">Enroll Tenant is your growth engine — profile a prospect, get an AI-refined skill/posture recommendation, provision with a click, issue keys. The Action Center is your morning coffee; Platform Risk your weather map; the runbooks </w:t>
      </w:r>
      <w:r>
        <w:t xml:space="preserve">in </w:t>
      </w:r>
      <w:r>
        <w:rPr>
          <w:rFonts w:ascii="Consolas" w:eastAsia="Consolas" w:hAnsi="Consolas" w:cs="Consolas"/>
          <w:sz w:val="19"/>
          <w:szCs w:val="19"/>
          <w:shd w:val="clear" w:color="auto" w:fill="EEF2F6"/>
        </w:rPr>
        <w:t>deploy/</w:t>
      </w:r>
      <w:r>
        <w:t xml:space="preserve"> your operations manual (go-live, AI setup, backups with proven restore, server migration).</w:t>
      </w:r>
    </w:p>
    <w:p w14:paraId="66002962" w14:textId="77777777" w:rsidR="00AC2DB3" w:rsidRDefault="00D43E49">
      <w:pPr>
        <w:spacing w:after="140"/>
      </w:pPr>
      <w:r>
        <w:rPr>
          <w:b/>
          <w:bCs/>
        </w:rPr>
        <w:t>For the package author / domain-expert partner:</w:t>
      </w:r>
    </w:p>
    <w:p w14:paraId="2F407FD3" w14:textId="77777777" w:rsidR="00AC2DB3" w:rsidRDefault="00D43E49">
      <w:pPr>
        <w:spacing w:after="140"/>
      </w:pPr>
      <w:r>
        <w:rPr>
          <w:rFonts w:ascii="Consolas" w:eastAsia="Consolas" w:hAnsi="Consolas" w:cs="Consolas"/>
          <w:sz w:val="19"/>
          <w:szCs w:val="19"/>
          <w:shd w:val="clear" w:color="auto" w:fill="EEF2F6"/>
        </w:rPr>
        <w:t>packages/templates/</w:t>
      </w:r>
      <w:r>
        <w:t xml:space="preserve"> holds the authoring templates; the ID ledger and validation scripts keep contributions</w:t>
      </w:r>
      <w:r>
        <w:t xml:space="preserve"> collision-free; heuristics detect overlap and consolidation opportunities. You bring domain knowledge; the kernel brings execution, audit, tenancy, and billing. This is the partnership model the ecosystem grows on.</w:t>
      </w:r>
    </w:p>
    <w:p w14:paraId="587498B8" w14:textId="77777777" w:rsidR="00AC2DB3" w:rsidRDefault="00D43E49">
      <w:pPr>
        <w:pStyle w:val="Heading1"/>
        <w:pageBreakBefore/>
      </w:pPr>
      <w:bookmarkStart w:id="11" w:name="_Toc235059455"/>
      <w:r>
        <w:lastRenderedPageBreak/>
        <w:t>Part IV — The Value, the Strategy, the E</w:t>
      </w:r>
      <w:r>
        <w:t>conomy</w:t>
      </w:r>
      <w:bookmarkEnd w:id="11"/>
    </w:p>
    <w:p w14:paraId="0C13A73C" w14:textId="77777777" w:rsidR="00AC2DB3" w:rsidRDefault="00D43E49">
      <w:pPr>
        <w:pStyle w:val="Heading2"/>
      </w:pPr>
      <w:bookmarkStart w:id="12" w:name="_Toc235059456"/>
      <w:r>
        <w:t>8. The value we create</w:t>
      </w:r>
      <w:bookmarkEnd w:id="12"/>
    </w:p>
    <w:p w14:paraId="69035AD9" w14:textId="77777777" w:rsidR="00AC2DB3" w:rsidRDefault="00D43E49">
      <w:pPr>
        <w:pStyle w:val="ListParagraph"/>
        <w:numPr>
          <w:ilvl w:val="0"/>
          <w:numId w:val="3"/>
        </w:numPr>
        <w:spacing w:after="60"/>
      </w:pPr>
      <w:r>
        <w:rPr>
          <w:b/>
          <w:bCs/>
        </w:rPr>
        <w:t>For the client business:</w:t>
      </w:r>
      <w:r>
        <w:t xml:space="preserve"> a governed operating brain at a fraction of enterprise-software cost — risk visibility that used to require consultants, board reporting that used to take a week, benchmark intelligence no single firm </w:t>
      </w:r>
      <w:r>
        <w:t xml:space="preserve">could compute alone, and AI that is </w:t>
      </w:r>
      <w:r>
        <w:rPr>
          <w:i/>
          <w:iCs/>
        </w:rPr>
        <w:t>safe to use</w:t>
      </w:r>
      <w:r>
        <w:t xml:space="preserve"> because the platform makes it explainable and keeps humans in command.</w:t>
      </w:r>
    </w:p>
    <w:p w14:paraId="40C11D8F" w14:textId="77777777" w:rsidR="00AC2DB3" w:rsidRDefault="00D43E49">
      <w:pPr>
        <w:pStyle w:val="ListParagraph"/>
        <w:numPr>
          <w:ilvl w:val="0"/>
          <w:numId w:val="3"/>
        </w:numPr>
        <w:spacing w:after="60"/>
      </w:pPr>
      <w:r>
        <w:rPr>
          <w:b/>
          <w:bCs/>
        </w:rPr>
        <w:t>For the operator:</w:t>
      </w:r>
      <w:r>
        <w:t xml:space="preserve"> a multi-tenant SaaS with near-zero marginal onboarding cost (packages, not projects), recurring skill-tier billing, and</w:t>
      </w:r>
      <w:r>
        <w:t xml:space="preserve"> a data-network moat (peer benchmarks improve with every tenant — a value no entrant can copy without the community).</w:t>
      </w:r>
    </w:p>
    <w:p w14:paraId="4B97D1E9" w14:textId="77777777" w:rsidR="00AC2DB3" w:rsidRDefault="00D43E49">
      <w:pPr>
        <w:pStyle w:val="ListParagraph"/>
        <w:numPr>
          <w:ilvl w:val="0"/>
          <w:numId w:val="3"/>
        </w:numPr>
        <w:spacing w:after="60"/>
      </w:pPr>
      <w:r>
        <w:rPr>
          <w:b/>
          <w:bCs/>
        </w:rPr>
        <w:t>For domain experts:</w:t>
      </w:r>
      <w:r>
        <w:t xml:space="preserve"> a new profession — encoding expertise as executable, sellable knowledge packages.</w:t>
      </w:r>
    </w:p>
    <w:p w14:paraId="1A5CC51E" w14:textId="77777777" w:rsidR="00AC2DB3" w:rsidRDefault="00D43E49">
      <w:pPr>
        <w:pStyle w:val="ListParagraph"/>
        <w:numPr>
          <w:ilvl w:val="0"/>
          <w:numId w:val="3"/>
        </w:numPr>
        <w:spacing w:after="60"/>
      </w:pPr>
      <w:r>
        <w:rPr>
          <w:b/>
          <w:bCs/>
        </w:rPr>
        <w:t>For regulators and the public:</w:t>
      </w:r>
      <w:r>
        <w:t xml:space="preserve"> an existence proof that autonomous AI in business operations can be governed, attributed, and human-accountable </w:t>
      </w:r>
      <w:r>
        <w:rPr>
          <w:i/>
          <w:iCs/>
        </w:rPr>
        <w:t>by construction</w:t>
      </w:r>
      <w:r>
        <w:t>.</w:t>
      </w:r>
    </w:p>
    <w:p w14:paraId="7402D1D5" w14:textId="77777777" w:rsidR="00AC2DB3" w:rsidRDefault="00D43E49">
      <w:pPr>
        <w:pStyle w:val="Heading2"/>
      </w:pPr>
      <w:bookmarkStart w:id="13" w:name="_Toc235059457"/>
      <w:r>
        <w:t>9. Strategy and market position</w:t>
      </w:r>
      <w:bookmarkEnd w:id="13"/>
    </w:p>
    <w:p w14:paraId="2B38D297" w14:textId="77777777" w:rsidR="00AC2DB3" w:rsidRDefault="00D43E49">
      <w:pPr>
        <w:spacing w:after="140"/>
      </w:pPr>
      <w:r>
        <w:t xml:space="preserve">The AI market is splitting into three camps: </w:t>
      </w:r>
      <w:r>
        <w:rPr>
          <w:b/>
          <w:bCs/>
        </w:rPr>
        <w:t>model vendors</w:t>
      </w:r>
      <w:r>
        <w:t xml:space="preserve"> (selling intelligence by the token)</w:t>
      </w:r>
      <w:r>
        <w:t xml:space="preserve">, </w:t>
      </w:r>
      <w:r>
        <w:rPr>
          <w:b/>
          <w:bCs/>
        </w:rPr>
        <w:t>copilot features</w:t>
      </w:r>
      <w:r>
        <w:t xml:space="preserve"> (bolting chat onto legacy software), and </w:t>
      </w:r>
      <w:r>
        <w:rPr>
          <w:b/>
          <w:bCs/>
        </w:rPr>
        <w:t>agent frameworks</w:t>
      </w:r>
      <w:r>
        <w:t xml:space="preserve"> (developer toolkits without governance). ECARMF occupies the position all three leave open:</w:t>
      </w:r>
    </w:p>
    <w:p w14:paraId="3DF3A839" w14:textId="77777777" w:rsidR="00AC2DB3" w:rsidRDefault="00D43E49">
      <w:pPr>
        <w:pBdr>
          <w:left w:val="single" w:sz="18" w:space="12" w:color="4F46E5"/>
        </w:pBdr>
        <w:spacing w:before="160" w:after="160"/>
        <w:ind w:left="480" w:right="480"/>
      </w:pPr>
      <w:r>
        <w:rPr>
          <w:b/>
          <w:bCs/>
          <w:i/>
          <w:iCs/>
          <w:sz w:val="23"/>
          <w:szCs w:val="23"/>
        </w:rPr>
        <w:t>The governed operating system for AI-run business operations — where the intelligence i</w:t>
      </w:r>
      <w:r>
        <w:rPr>
          <w:b/>
          <w:bCs/>
          <w:i/>
          <w:iCs/>
          <w:sz w:val="23"/>
          <w:szCs w:val="23"/>
        </w:rPr>
        <w:t>s pluggable, the knowledge is packaged, and the accountability is structural.</w:t>
      </w:r>
    </w:p>
    <w:p w14:paraId="4789637B" w14:textId="77777777" w:rsidR="00AC2DB3" w:rsidRDefault="00D43E49">
      <w:pPr>
        <w:spacing w:after="140"/>
      </w:pPr>
      <w:r>
        <w:t>Our strategic choices, deliberately:</w:t>
      </w:r>
    </w:p>
    <w:p w14:paraId="7CBA382D" w14:textId="77777777" w:rsidR="00AC2DB3" w:rsidRDefault="00D43E49">
      <w:pPr>
        <w:pStyle w:val="ListParagraph"/>
        <w:numPr>
          <w:ilvl w:val="0"/>
          <w:numId w:val="2"/>
        </w:numPr>
        <w:spacing w:after="100"/>
      </w:pPr>
      <w:r>
        <w:rPr>
          <w:b/>
          <w:bCs/>
        </w:rPr>
        <w:t>Model-agnostic by contract.</w:t>
      </w:r>
      <w:r>
        <w:t xml:space="preserve"> Tenants bring their own credential — Anthropic, or a fully local model for the sovereignty-minded. We are positio</w:t>
      </w:r>
      <w:r>
        <w:t>ned to benefit from intelligence getting better and cheaper, not to compete with it.</w:t>
      </w:r>
    </w:p>
    <w:p w14:paraId="0F0A1607" w14:textId="77777777" w:rsidR="00AC2DB3" w:rsidRDefault="00D43E49">
      <w:pPr>
        <w:pStyle w:val="ListParagraph"/>
        <w:numPr>
          <w:ilvl w:val="0"/>
          <w:numId w:val="2"/>
        </w:numPr>
        <w:spacing w:after="100"/>
      </w:pPr>
      <w:r>
        <w:rPr>
          <w:b/>
          <w:bCs/>
        </w:rPr>
        <w:t>Vertical depth over horizontal breadth.</w:t>
      </w:r>
      <w:r>
        <w:t xml:space="preserve"> Ten proven industry patterns, each a repeatable sales motion. The wedge is always the same: risk &amp; compliance visibility (the pain </w:t>
      </w:r>
      <w:r>
        <w:t>every regulated or capital-intensive business feels), then expansion into the full operating picture.</w:t>
      </w:r>
    </w:p>
    <w:p w14:paraId="10FBD1CE" w14:textId="77777777" w:rsidR="00AC2DB3" w:rsidRDefault="00D43E49">
      <w:pPr>
        <w:pStyle w:val="ListParagraph"/>
        <w:numPr>
          <w:ilvl w:val="0"/>
          <w:numId w:val="2"/>
        </w:numPr>
        <w:spacing w:after="100"/>
      </w:pPr>
      <w:r>
        <w:rPr>
          <w:b/>
          <w:bCs/>
        </w:rPr>
        <w:t>The middle market first.</w:t>
      </w:r>
      <w:r>
        <w:t xml:space="preserve"> Enterprises have platforms teams; micro-businesses have spreadsheets. The multi-location practice, the regional firm, the emergin</w:t>
      </w:r>
      <w:r>
        <w:t>g fund — big enough to need governance, too small to build it — is underserved and reachable.</w:t>
      </w:r>
    </w:p>
    <w:p w14:paraId="27AC7559" w14:textId="77777777" w:rsidR="00AC2DB3" w:rsidRDefault="00D43E49">
      <w:pPr>
        <w:pStyle w:val="ListParagraph"/>
        <w:numPr>
          <w:ilvl w:val="0"/>
          <w:numId w:val="2"/>
        </w:numPr>
        <w:spacing w:after="100"/>
      </w:pPr>
      <w:r>
        <w:rPr>
          <w:b/>
          <w:bCs/>
        </w:rPr>
        <w:t>Compliance as the moat, community as the flywheel.</w:t>
      </w:r>
      <w:r>
        <w:t xml:space="preserve"> Explainability and human-gating are expensive to retrofit and native here. Peer benchmarking makes each new ten</w:t>
      </w:r>
      <w:r>
        <w:t>ant more valuable to every existing one.</w:t>
      </w:r>
    </w:p>
    <w:p w14:paraId="1E1EA2F0" w14:textId="77777777" w:rsidR="00AC2DB3" w:rsidRDefault="00D43E49">
      <w:pPr>
        <w:pStyle w:val="Heading2"/>
      </w:pPr>
      <w:bookmarkStart w:id="14" w:name="_Toc235059458"/>
      <w:r>
        <w:lastRenderedPageBreak/>
        <w:t>10. The emerging AI economy — and our thesis</w:t>
      </w:r>
      <w:bookmarkEnd w:id="14"/>
    </w:p>
    <w:p w14:paraId="185D8F3B" w14:textId="77777777" w:rsidR="00AC2DB3" w:rsidRDefault="00D43E49">
      <w:pPr>
        <w:spacing w:after="140"/>
      </w:pPr>
      <w:r>
        <w:t xml:space="preserve">The first AI economy (now) sells </w:t>
      </w:r>
      <w:r>
        <w:rPr>
          <w:i/>
          <w:iCs/>
        </w:rPr>
        <w:t>capability</w:t>
      </w:r>
      <w:r>
        <w:t xml:space="preserve">: tokens, seats, copilots. The second AI economy — arriving fast — will trade in </w:t>
      </w:r>
      <w:r>
        <w:rPr>
          <w:b/>
          <w:bCs/>
        </w:rPr>
        <w:t>accountable outcomes</w:t>
      </w:r>
      <w:r>
        <w:t>: not "can the model do it</w:t>
      </w:r>
      <w:r>
        <w:t xml:space="preserve">?" but </w:t>
      </w:r>
      <w:r>
        <w:rPr>
          <w:i/>
          <w:iCs/>
        </w:rPr>
        <w:t>"who owns the decision, what knowledge did it run on, and how is the work priced?"</w:t>
      </w:r>
    </w:p>
    <w:p w14:paraId="584C8D32" w14:textId="77777777" w:rsidR="00AC2DB3" w:rsidRDefault="00D43E49">
      <w:pPr>
        <w:spacing w:after="140"/>
      </w:pPr>
      <w:r>
        <w:t>Three markets emerge, and the platform is built to broker all three:</w:t>
      </w:r>
    </w:p>
    <w:p w14:paraId="0BD18AF0" w14:textId="77777777" w:rsidR="00AC2DB3" w:rsidRDefault="00D43E49">
      <w:pPr>
        <w:pStyle w:val="ListParagraph"/>
        <w:numPr>
          <w:ilvl w:val="0"/>
          <w:numId w:val="3"/>
        </w:numPr>
        <w:spacing w:after="60"/>
      </w:pPr>
      <w:r>
        <w:rPr>
          <w:b/>
          <w:bCs/>
        </w:rPr>
        <w:t>A knowledge market.</w:t>
      </w:r>
      <w:r>
        <w:t xml:space="preserve"> Expertise, once locked in practitioners' heads, becomes packaged, versioned, </w:t>
      </w:r>
      <w:r>
        <w:t>effective-dated assets (our KnowledgeAsset registry already handles supersession — tax rules that expire, regulations that change). Authors are compensated; users get current, provable knowledge.</w:t>
      </w:r>
    </w:p>
    <w:p w14:paraId="00CBCF84" w14:textId="77777777" w:rsidR="00AC2DB3" w:rsidRDefault="00D43E49">
      <w:pPr>
        <w:pStyle w:val="ListParagraph"/>
        <w:numPr>
          <w:ilvl w:val="0"/>
          <w:numId w:val="3"/>
        </w:numPr>
        <w:spacing w:after="60"/>
      </w:pPr>
      <w:r>
        <w:rPr>
          <w:b/>
          <w:bCs/>
        </w:rPr>
        <w:t>A trust market.</w:t>
      </w:r>
      <w:r>
        <w:t xml:space="preserve"> As agents multiply, </w:t>
      </w:r>
      <w:r>
        <w:rPr>
          <w:i/>
          <w:iCs/>
        </w:rPr>
        <w:t>verified track record</w:t>
      </w:r>
      <w:r>
        <w:t xml:space="preserve"> be</w:t>
      </w:r>
      <w:r>
        <w:t>comes the scarce asset. Our agents earn trust scores from human verdicts, act under their own provisioned identities, and carry their accuracy history — the raw material of an agent labor market with references.</w:t>
      </w:r>
    </w:p>
    <w:p w14:paraId="25E4A284" w14:textId="77777777" w:rsidR="00AC2DB3" w:rsidRDefault="00D43E49">
      <w:pPr>
        <w:pStyle w:val="ListParagraph"/>
        <w:numPr>
          <w:ilvl w:val="0"/>
          <w:numId w:val="3"/>
        </w:numPr>
        <w:spacing w:after="60"/>
      </w:pPr>
      <w:r>
        <w:rPr>
          <w:b/>
          <w:bCs/>
        </w:rPr>
        <w:t>A governance market.</w:t>
      </w:r>
      <w:r>
        <w:t xml:space="preserve"> Regulation of operation</w:t>
      </w:r>
      <w:r>
        <w:t xml:space="preserve">al AI is coming everywhere. Platforms that can </w:t>
      </w:r>
      <w:r>
        <w:rPr>
          <w:i/>
          <w:iCs/>
        </w:rPr>
        <w:t>demonstrate</w:t>
      </w:r>
      <w:r>
        <w:t xml:space="preserve"> human accountability, provenance, and control — not promise it — become the compliant rails everyone else must rent.</w:t>
      </w:r>
    </w:p>
    <w:p w14:paraId="4F3B7832" w14:textId="77777777" w:rsidR="00AC2DB3" w:rsidRDefault="00D43E49">
      <w:pPr>
        <w:spacing w:after="140"/>
      </w:pPr>
      <w:r>
        <w:t xml:space="preserve">Our thesis in one line: </w:t>
      </w:r>
      <w:r>
        <w:rPr>
          <w:b/>
          <w:bCs/>
        </w:rPr>
        <w:t>in an economy of abundant intelligence, the scarce goods are governed knowledge and earned trust — and ECARMF is a machine for producing both.</w:t>
      </w:r>
    </w:p>
    <w:p w14:paraId="377EFE21" w14:textId="77777777" w:rsidR="00AC2DB3" w:rsidRDefault="00D43E49">
      <w:pPr>
        <w:pStyle w:val="Heading2"/>
      </w:pPr>
      <w:bookmarkStart w:id="15" w:name="_Toc235059459"/>
      <w:r>
        <w:t>11. Changing individuals and organizations</w:t>
      </w:r>
      <w:bookmarkEnd w:id="15"/>
    </w:p>
    <w:p w14:paraId="1DE7FF9F" w14:textId="77777777" w:rsidR="00AC2DB3" w:rsidRDefault="00D43E49">
      <w:pPr>
        <w:spacing w:after="140"/>
      </w:pPr>
      <w:r>
        <w:t>The platform is also a theory of change:</w:t>
      </w:r>
    </w:p>
    <w:p w14:paraId="6846431D" w14:textId="77777777" w:rsidR="00AC2DB3" w:rsidRDefault="00D43E49">
      <w:pPr>
        <w:spacing w:after="140"/>
      </w:pPr>
      <w:r>
        <w:rPr>
          <w:b/>
          <w:bCs/>
        </w:rPr>
        <w:t>For individuals.</w:t>
      </w:r>
      <w:r>
        <w:t xml:space="preserve"> The professi</w:t>
      </w:r>
      <w:r>
        <w:t xml:space="preserve">onal's job shifts from </w:t>
      </w:r>
      <w:r>
        <w:rPr>
          <w:i/>
          <w:iCs/>
        </w:rPr>
        <w:t>doing the checking</w:t>
      </w:r>
      <w:r>
        <w:t xml:space="preserve"> to </w:t>
      </w:r>
      <w:r>
        <w:rPr>
          <w:i/>
          <w:iCs/>
        </w:rPr>
        <w:t>judging the checked</w:t>
      </w:r>
      <w:r>
        <w:t>. A reviewer in Statement Review is not keying numbers — they are exercising judgment on flagged uncertainty, with the source text in front of them. The bookkeeper becomes a controller; the co</w:t>
      </w:r>
      <w:r>
        <w:t>mpliance clerk becomes a risk analyst; the domain veteran becomes a package author whose expertise outlives their tenure. Every screen is designed to teach as it works — the Dictionary, the System Map, the plain-language rationale on every recommendation —</w:t>
      </w:r>
      <w:r>
        <w:t xml:space="preserve"> because the transition only succeeds if people </w:t>
      </w:r>
      <w:r>
        <w:rPr>
          <w:i/>
          <w:iCs/>
        </w:rPr>
        <w:t>understand</w:t>
      </w:r>
      <w:r>
        <w:t xml:space="preserve"> the machine they now direct.</w:t>
      </w:r>
    </w:p>
    <w:p w14:paraId="6A898CE5" w14:textId="77777777" w:rsidR="00AC2DB3" w:rsidRDefault="00D43E49">
      <w:pPr>
        <w:spacing w:after="140"/>
      </w:pPr>
      <w:r>
        <w:rPr>
          <w:b/>
          <w:bCs/>
        </w:rPr>
        <w:t>For organizations.</w:t>
      </w:r>
      <w:r>
        <w:t xml:space="preserve"> The org chart quietly gains a new layer: declared AI actors with real identities, audited actions, and earned trust — supervised by humans whose appr</w:t>
      </w:r>
      <w:r>
        <w:t>oval is structurally required. Institutional knowledge stops evaporating with staff turnover; it accumulates in packages. Risk management stops being an annual binder; it becomes a live posture on the Home screen. And the board's oversight instrument stops</w:t>
      </w:r>
      <w:r>
        <w:t xml:space="preserve"> being a lagging report; it becomes a self-assembling, always-current pack.</w:t>
      </w:r>
    </w:p>
    <w:p w14:paraId="39EF1378" w14:textId="77777777" w:rsidR="00AC2DB3" w:rsidRDefault="00D43E49">
      <w:pPr>
        <w:pStyle w:val="Heading2"/>
      </w:pPr>
      <w:bookmarkStart w:id="16" w:name="_Toc235059460"/>
      <w:r>
        <w:t>12. Building new communities</w:t>
      </w:r>
      <w:bookmarkEnd w:id="16"/>
    </w:p>
    <w:p w14:paraId="23CABA1D" w14:textId="77777777" w:rsidR="00AC2DB3" w:rsidRDefault="00D43E49">
      <w:pPr>
        <w:spacing w:after="140"/>
      </w:pPr>
      <w:r>
        <w:lastRenderedPageBreak/>
        <w:t>The next phase is deliberately communal, because every mechanism above gets stronger with membership:</w:t>
      </w:r>
    </w:p>
    <w:p w14:paraId="3352A402" w14:textId="77777777" w:rsidR="00AC2DB3" w:rsidRDefault="00D43E49">
      <w:pPr>
        <w:pStyle w:val="ListParagraph"/>
        <w:numPr>
          <w:ilvl w:val="0"/>
          <w:numId w:val="3"/>
        </w:numPr>
        <w:spacing w:after="60"/>
      </w:pPr>
      <w:r>
        <w:rPr>
          <w:b/>
          <w:bCs/>
        </w:rPr>
        <w:t>Peer circles.</w:t>
      </w:r>
      <w:r>
        <w:t xml:space="preserve"> Anonymized benchmarking already shi</w:t>
      </w:r>
      <w:r>
        <w:t xml:space="preserve">ps (≥3-peer minimum, identities never leave the aggregation). As verticals densify — ten dental practices, twenty restaurants — the benchmark becomes the industry's own nervous system: </w:t>
      </w:r>
      <w:r>
        <w:rPr>
          <w:i/>
          <w:iCs/>
        </w:rPr>
        <w:t>what does good look like, this month, for businesses like mine?</w:t>
      </w:r>
    </w:p>
    <w:p w14:paraId="046AA06B" w14:textId="77777777" w:rsidR="00AC2DB3" w:rsidRDefault="00D43E49">
      <w:pPr>
        <w:pStyle w:val="ListParagraph"/>
        <w:numPr>
          <w:ilvl w:val="0"/>
          <w:numId w:val="3"/>
        </w:numPr>
        <w:spacing w:after="60"/>
      </w:pPr>
      <w:r>
        <w:rPr>
          <w:b/>
          <w:bCs/>
        </w:rPr>
        <w:t>The aut</w:t>
      </w:r>
      <w:r>
        <w:rPr>
          <w:b/>
          <w:bCs/>
        </w:rPr>
        <w:t>hor guild.</w:t>
      </w:r>
      <w:r>
        <w:t xml:space="preserve"> Package authors form the supply side of the knowledge market. Templates, ID ledgers, validation tooling, and overlap detection already exist; the community layer adds attribution, revenue share, and reputation.</w:t>
      </w:r>
    </w:p>
    <w:p w14:paraId="0998EB7C" w14:textId="77777777" w:rsidR="00AC2DB3" w:rsidRDefault="00D43E49">
      <w:pPr>
        <w:pStyle w:val="ListParagraph"/>
        <w:numPr>
          <w:ilvl w:val="0"/>
          <w:numId w:val="3"/>
        </w:numPr>
        <w:spacing w:after="60"/>
      </w:pPr>
      <w:r>
        <w:rPr>
          <w:b/>
          <w:bCs/>
        </w:rPr>
        <w:t>Practice networks.</w:t>
      </w:r>
      <w:r>
        <w:t xml:space="preserve"> Accountants, fr</w:t>
      </w:r>
      <w:r>
        <w:t xml:space="preserve">actional CFOs, and consultants can operate </w:t>
      </w:r>
      <w:r>
        <w:rPr>
          <w:i/>
          <w:iCs/>
        </w:rPr>
        <w:t>many</w:t>
      </w:r>
      <w:r>
        <w:t xml:space="preserve"> clients through one operator console — the platform as the practice's chassis, the practice as the platform's distribution.</w:t>
      </w:r>
    </w:p>
    <w:p w14:paraId="4A8EB9E1" w14:textId="77777777" w:rsidR="00AC2DB3" w:rsidRDefault="00D43E49">
      <w:pPr>
        <w:pStyle w:val="ListParagraph"/>
        <w:numPr>
          <w:ilvl w:val="0"/>
          <w:numId w:val="3"/>
        </w:numPr>
        <w:spacing w:after="60"/>
      </w:pPr>
      <w:r>
        <w:rPr>
          <w:b/>
          <w:bCs/>
        </w:rPr>
        <w:t>The trust commons.</w:t>
      </w:r>
      <w:r>
        <w:t xml:space="preserve"> Model-accuracy data, control catalogs, and risk registers — aggregated and anonymized — become shared infrastructure: the actuarial tables of the AI economy, owned by the community that generated them.</w:t>
      </w:r>
    </w:p>
    <w:p w14:paraId="607DD1AA" w14:textId="77777777" w:rsidR="00AC2DB3" w:rsidRDefault="00D43E49">
      <w:pPr>
        <w:pStyle w:val="Heading2"/>
      </w:pPr>
      <w:bookmarkStart w:id="17" w:name="_Toc235059461"/>
      <w:r>
        <w:t>13. The roadmap — the next phase</w:t>
      </w:r>
      <w:bookmarkEnd w:id="17"/>
    </w:p>
    <w:p w14:paraId="55E15A4C" w14:textId="77777777" w:rsidR="00AC2DB3" w:rsidRDefault="00D43E49">
      <w:pPr>
        <w:spacing w:after="140"/>
      </w:pPr>
      <w:r>
        <w:rPr>
          <w:b/>
          <w:bCs/>
        </w:rPr>
        <w:t>Now (owner-gated, da</w:t>
      </w:r>
      <w:r>
        <w:rPr>
          <w:b/>
          <w:bCs/>
        </w:rPr>
        <w:t>ys):</w:t>
      </w:r>
      <w:r>
        <w:t xml:space="preserve"> live AI credential → every agent, advisor, extractor, and profiler goes from proven-plumbing to live reasoning. Elevated go-live → durable service, key-only access, real TLS, scheduled backups and probes. </w:t>
      </w:r>
      <w:r>
        <w:rPr>
          <w:i/>
          <w:iCs/>
        </w:rPr>
        <w:t>(Runbook: `deploy/RUNBOOK-golive-and-ai.md`.)</w:t>
      </w:r>
    </w:p>
    <w:p w14:paraId="4151F2E5" w14:textId="77777777" w:rsidR="00AC2DB3" w:rsidRDefault="00D43E49">
      <w:pPr>
        <w:spacing w:after="140"/>
      </w:pPr>
      <w:r>
        <w:rPr>
          <w:b/>
          <w:bCs/>
        </w:rPr>
        <w:t>Next (quarters):</w:t>
      </w:r>
    </w:p>
    <w:p w14:paraId="7FE01A7F" w14:textId="77777777" w:rsidR="00AC2DB3" w:rsidRDefault="00D43E49">
      <w:pPr>
        <w:pStyle w:val="ListParagraph"/>
        <w:numPr>
          <w:ilvl w:val="0"/>
          <w:numId w:val="3"/>
        </w:numPr>
        <w:spacing w:after="60"/>
      </w:pPr>
      <w:r>
        <w:rPr>
          <w:b/>
          <w:bCs/>
        </w:rPr>
        <w:t>Handwritten document extraction</w:t>
      </w:r>
      <w:r>
        <w:t xml:space="preserve"> — its own validated phase (printed documents ship today).</w:t>
      </w:r>
    </w:p>
    <w:p w14:paraId="53657C23" w14:textId="77777777" w:rsidR="00AC2DB3" w:rsidRDefault="00D43E49">
      <w:pPr>
        <w:pStyle w:val="ListParagraph"/>
        <w:numPr>
          <w:ilvl w:val="0"/>
          <w:numId w:val="3"/>
        </w:numPr>
        <w:spacing w:after="60"/>
      </w:pPr>
      <w:r>
        <w:rPr>
          <w:b/>
          <w:bCs/>
        </w:rPr>
        <w:t>First external tenants</w:t>
      </w:r>
      <w:r>
        <w:t xml:space="preserve"> on the proven wedge (risk &amp; compliance visibility), and the vendor-mapping/credential steps the pilot tenants left open.</w:t>
      </w:r>
    </w:p>
    <w:p w14:paraId="77582A3F" w14:textId="77777777" w:rsidR="00AC2DB3" w:rsidRDefault="00D43E49">
      <w:pPr>
        <w:pStyle w:val="ListParagraph"/>
        <w:numPr>
          <w:ilvl w:val="0"/>
          <w:numId w:val="3"/>
        </w:numPr>
        <w:spacing w:after="60"/>
      </w:pPr>
      <w:r>
        <w:rPr>
          <w:b/>
          <w:bCs/>
        </w:rPr>
        <w:t>Skill</w:t>
      </w:r>
      <w:r>
        <w:rPr>
          <w:b/>
          <w:bCs/>
        </w:rPr>
        <w:t>s marketplace v1</w:t>
      </w:r>
      <w:r>
        <w:t xml:space="preserve"> — packaging the author toolchain into a submission→review→publish→bill loop.</w:t>
      </w:r>
    </w:p>
    <w:p w14:paraId="0C59A36F" w14:textId="77777777" w:rsidR="00AC2DB3" w:rsidRDefault="00D43E49">
      <w:pPr>
        <w:pStyle w:val="ListParagraph"/>
        <w:numPr>
          <w:ilvl w:val="0"/>
          <w:numId w:val="3"/>
        </w:numPr>
        <w:spacing w:after="60"/>
      </w:pPr>
      <w:r>
        <w:rPr>
          <w:b/>
          <w:bCs/>
        </w:rPr>
        <w:t>Deeper feed automation</w:t>
      </w:r>
      <w:r>
        <w:t xml:space="preserve"> — from registered integrations to hands-free reconciliation.</w:t>
      </w:r>
    </w:p>
    <w:p w14:paraId="65DF8634" w14:textId="77777777" w:rsidR="00AC2DB3" w:rsidRDefault="00D43E49">
      <w:pPr>
        <w:spacing w:after="140"/>
      </w:pPr>
      <w:r>
        <w:rPr>
          <w:b/>
          <w:bCs/>
        </w:rPr>
        <w:t>Then (the horizon):</w:t>
      </w:r>
    </w:p>
    <w:p w14:paraId="4B2C7186" w14:textId="77777777" w:rsidR="00AC2DB3" w:rsidRDefault="00D43E49">
      <w:pPr>
        <w:pStyle w:val="ListParagraph"/>
        <w:numPr>
          <w:ilvl w:val="0"/>
          <w:numId w:val="3"/>
        </w:numPr>
        <w:spacing w:after="60"/>
      </w:pPr>
      <w:r>
        <w:rPr>
          <w:b/>
          <w:bCs/>
        </w:rPr>
        <w:t>Agent-to-agent operations under governance</w:t>
      </w:r>
      <w:r>
        <w:t xml:space="preserve"> — agents consul</w:t>
      </w:r>
      <w:r>
        <w:t>ting agents, every hop audited, humans at every consequential gate.</w:t>
      </w:r>
    </w:p>
    <w:p w14:paraId="030C0C75" w14:textId="77777777" w:rsidR="00AC2DB3" w:rsidRDefault="00D43E49">
      <w:pPr>
        <w:pStyle w:val="ListParagraph"/>
        <w:numPr>
          <w:ilvl w:val="0"/>
          <w:numId w:val="3"/>
        </w:numPr>
        <w:spacing w:after="60"/>
      </w:pPr>
      <w:r>
        <w:rPr>
          <w:b/>
          <w:bCs/>
        </w:rPr>
        <w:t>The community data products</w:t>
      </w:r>
      <w:r>
        <w:t xml:space="preserve"> — vertical benchmarks, trust ledgers, knowledge subscriptions.</w:t>
      </w:r>
    </w:p>
    <w:p w14:paraId="004691C4" w14:textId="77777777" w:rsidR="00AC2DB3" w:rsidRDefault="00D43E49">
      <w:pPr>
        <w:pStyle w:val="ListParagraph"/>
        <w:numPr>
          <w:ilvl w:val="0"/>
          <w:numId w:val="3"/>
        </w:numPr>
        <w:spacing w:after="60"/>
      </w:pPr>
      <w:r>
        <w:rPr>
          <w:b/>
          <w:bCs/>
        </w:rPr>
        <w:t>Federation</w:t>
      </w:r>
      <w:r>
        <w:t xml:space="preserve"> — operator instances (practices, associations) interconnecting: many kernels, one econ</w:t>
      </w:r>
      <w:r>
        <w:t>omy.</w:t>
      </w:r>
    </w:p>
    <w:p w14:paraId="2E52B498" w14:textId="77777777" w:rsidR="00AC2DB3" w:rsidRDefault="00D43E49">
      <w:pPr>
        <w:pStyle w:val="Heading1"/>
      </w:pPr>
      <w:bookmarkStart w:id="18" w:name="_Toc235059462"/>
      <w:r>
        <w:lastRenderedPageBreak/>
        <w:t>Appendix — Operational references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C2DB3" w14:paraId="561806B3" w14:textId="77777777">
        <w:tblPrEx>
          <w:tblCellMar>
            <w:top w:w="0" w:type="dxa"/>
            <w:bottom w:w="0" w:type="dxa"/>
          </w:tblCellMar>
        </w:tblPrEx>
        <w:trPr>
          <w:tblHeader/>
        </w:trPr>
        <w:tc>
          <w:tcPr>
            <w:tcW w:w="4680" w:type="dxa"/>
            <w:shd w:val="clear" w:color="auto" w:fill="4F46E5"/>
            <w:tcMar>
              <w:top w:w="80" w:type="dxa"/>
              <w:left w:w="120" w:type="dxa"/>
              <w:bottom w:w="80" w:type="dxa"/>
              <w:right w:w="120" w:type="dxa"/>
            </w:tcMar>
          </w:tcPr>
          <w:p w14:paraId="35E6F205" w14:textId="77777777" w:rsidR="00AC2DB3" w:rsidRDefault="00D43E49">
            <w:r>
              <w:rPr>
                <w:b/>
                <w:bCs/>
                <w:color w:val="FFFFFF"/>
                <w:sz w:val="20"/>
                <w:szCs w:val="20"/>
              </w:rPr>
              <w:t>Need</w:t>
            </w:r>
          </w:p>
        </w:tc>
        <w:tc>
          <w:tcPr>
            <w:tcW w:w="4680" w:type="dxa"/>
            <w:shd w:val="clear" w:color="auto" w:fill="4F46E5"/>
            <w:tcMar>
              <w:top w:w="80" w:type="dxa"/>
              <w:left w:w="120" w:type="dxa"/>
              <w:bottom w:w="80" w:type="dxa"/>
              <w:right w:w="120" w:type="dxa"/>
            </w:tcMar>
          </w:tcPr>
          <w:p w14:paraId="77DF8C58" w14:textId="77777777" w:rsidR="00AC2DB3" w:rsidRDefault="00D43E49">
            <w:r>
              <w:rPr>
                <w:b/>
                <w:bCs/>
                <w:color w:val="FFFFFF"/>
                <w:sz w:val="20"/>
                <w:szCs w:val="20"/>
              </w:rPr>
              <w:t>Where</w:t>
            </w:r>
          </w:p>
        </w:tc>
      </w:tr>
      <w:tr w:rsidR="00AC2DB3" w14:paraId="5235CD97" w14:textId="77777777">
        <w:tblPrEx>
          <w:tblCellMar>
            <w:top w:w="0" w:type="dxa"/>
            <w:bottom w:w="0" w:type="dxa"/>
          </w:tblCellMar>
        </w:tblPrEx>
        <w:tc>
          <w:tcPr>
            <w:tcW w:w="4680" w:type="dxa"/>
            <w:tcMar>
              <w:top w:w="80" w:type="dxa"/>
              <w:left w:w="120" w:type="dxa"/>
              <w:bottom w:w="80" w:type="dxa"/>
              <w:right w:w="120" w:type="dxa"/>
            </w:tcMar>
          </w:tcPr>
          <w:p w14:paraId="72C5EF3E" w14:textId="77777777" w:rsidR="00AC2DB3" w:rsidRDefault="00D43E49">
            <w:r>
              <w:rPr>
                <w:sz w:val="20"/>
                <w:szCs w:val="20"/>
              </w:rPr>
              <w:t>Go-live &amp; AI setup</w:t>
            </w:r>
          </w:p>
        </w:tc>
        <w:tc>
          <w:tcPr>
            <w:tcW w:w="4680" w:type="dxa"/>
            <w:tcMar>
              <w:top w:w="80" w:type="dxa"/>
              <w:left w:w="120" w:type="dxa"/>
              <w:bottom w:w="80" w:type="dxa"/>
              <w:right w:w="120" w:type="dxa"/>
            </w:tcMar>
          </w:tcPr>
          <w:p w14:paraId="2E782525" w14:textId="77777777" w:rsidR="00AC2DB3" w:rsidRDefault="00D43E49">
            <w:r>
              <w:rPr>
                <w:rFonts w:ascii="Consolas" w:eastAsia="Consolas" w:hAnsi="Consolas" w:cs="Consolas"/>
                <w:sz w:val="20"/>
                <w:szCs w:val="20"/>
                <w:shd w:val="clear" w:color="auto" w:fill="EEF2F6"/>
              </w:rPr>
              <w:t>deploy/RUNBOOK-golive-and-ai.md</w:t>
            </w:r>
          </w:p>
        </w:tc>
      </w:tr>
      <w:tr w:rsidR="00AC2DB3" w14:paraId="7F66538F" w14:textId="77777777">
        <w:tblPrEx>
          <w:tblCellMar>
            <w:top w:w="0" w:type="dxa"/>
            <w:bottom w:w="0" w:type="dxa"/>
          </w:tblCellMar>
        </w:tblPrEx>
        <w:tc>
          <w:tcPr>
            <w:tcW w:w="4680" w:type="dxa"/>
            <w:shd w:val="clear" w:color="auto" w:fill="F3F5FB"/>
            <w:tcMar>
              <w:top w:w="80" w:type="dxa"/>
              <w:left w:w="120" w:type="dxa"/>
              <w:bottom w:w="80" w:type="dxa"/>
              <w:right w:w="120" w:type="dxa"/>
            </w:tcMar>
          </w:tcPr>
          <w:p w14:paraId="751CE8D4" w14:textId="77777777" w:rsidR="00AC2DB3" w:rsidRDefault="00D43E49">
            <w:r>
              <w:rPr>
                <w:sz w:val="20"/>
                <w:szCs w:val="20"/>
              </w:rPr>
              <w:t>Server migration</w:t>
            </w:r>
          </w:p>
        </w:tc>
        <w:tc>
          <w:tcPr>
            <w:tcW w:w="4680" w:type="dxa"/>
            <w:shd w:val="clear" w:color="auto" w:fill="F3F5FB"/>
            <w:tcMar>
              <w:top w:w="80" w:type="dxa"/>
              <w:left w:w="120" w:type="dxa"/>
              <w:bottom w:w="80" w:type="dxa"/>
              <w:right w:w="120" w:type="dxa"/>
            </w:tcMar>
          </w:tcPr>
          <w:p w14:paraId="711CF816" w14:textId="77777777" w:rsidR="00AC2DB3" w:rsidRDefault="00D43E49">
            <w:r>
              <w:rPr>
                <w:rFonts w:ascii="Consolas" w:eastAsia="Consolas" w:hAnsi="Consolas" w:cs="Consolas"/>
                <w:sz w:val="20"/>
                <w:szCs w:val="20"/>
                <w:shd w:val="clear" w:color="auto" w:fill="EEF2F6"/>
              </w:rPr>
              <w:t>deploy/MIGRATION-new-server.md</w:t>
            </w:r>
          </w:p>
        </w:tc>
      </w:tr>
      <w:tr w:rsidR="00AC2DB3" w14:paraId="50C5FD53" w14:textId="77777777">
        <w:tblPrEx>
          <w:tblCellMar>
            <w:top w:w="0" w:type="dxa"/>
            <w:bottom w:w="0" w:type="dxa"/>
          </w:tblCellMar>
        </w:tblPrEx>
        <w:tc>
          <w:tcPr>
            <w:tcW w:w="4680" w:type="dxa"/>
            <w:tcMar>
              <w:top w:w="80" w:type="dxa"/>
              <w:left w:w="120" w:type="dxa"/>
              <w:bottom w:w="80" w:type="dxa"/>
              <w:right w:w="120" w:type="dxa"/>
            </w:tcMar>
          </w:tcPr>
          <w:p w14:paraId="13A080A0" w14:textId="77777777" w:rsidR="00AC2DB3" w:rsidRDefault="00D43E49">
            <w:r>
              <w:rPr>
                <w:sz w:val="20"/>
                <w:szCs w:val="20"/>
              </w:rPr>
              <w:t>Backups (restore-proven)</w:t>
            </w:r>
          </w:p>
        </w:tc>
        <w:tc>
          <w:tcPr>
            <w:tcW w:w="4680" w:type="dxa"/>
            <w:tcMar>
              <w:top w:w="80" w:type="dxa"/>
              <w:left w:w="120" w:type="dxa"/>
              <w:bottom w:w="80" w:type="dxa"/>
              <w:right w:w="120" w:type="dxa"/>
            </w:tcMar>
          </w:tcPr>
          <w:p w14:paraId="0F732E5A" w14:textId="77777777" w:rsidR="00AC2DB3" w:rsidRDefault="00D43E49">
            <w:r>
              <w:rPr>
                <w:rFonts w:ascii="Consolas" w:eastAsia="Consolas" w:hAnsi="Consolas" w:cs="Consolas"/>
                <w:sz w:val="20"/>
                <w:szCs w:val="20"/>
                <w:shd w:val="clear" w:color="auto" w:fill="EEF2F6"/>
              </w:rPr>
              <w:t>deploy/backup-nightly.ps1 -VerifyRestore</w:t>
            </w:r>
          </w:p>
        </w:tc>
      </w:tr>
      <w:tr w:rsidR="00AC2DB3" w14:paraId="473DE91D" w14:textId="77777777">
        <w:tblPrEx>
          <w:tblCellMar>
            <w:top w:w="0" w:type="dxa"/>
            <w:bottom w:w="0" w:type="dxa"/>
          </w:tblCellMar>
        </w:tblPrEx>
        <w:tc>
          <w:tcPr>
            <w:tcW w:w="4680" w:type="dxa"/>
            <w:shd w:val="clear" w:color="auto" w:fill="F3F5FB"/>
            <w:tcMar>
              <w:top w:w="80" w:type="dxa"/>
              <w:left w:w="120" w:type="dxa"/>
              <w:bottom w:w="80" w:type="dxa"/>
              <w:right w:w="120" w:type="dxa"/>
            </w:tcMar>
          </w:tcPr>
          <w:p w14:paraId="56942FB2" w14:textId="77777777" w:rsidR="00AC2DB3" w:rsidRDefault="00D43E49">
            <w:r>
              <w:rPr>
                <w:sz w:val="20"/>
                <w:szCs w:val="20"/>
              </w:rPr>
              <w:t>Measured system review</w:t>
            </w:r>
          </w:p>
        </w:tc>
        <w:tc>
          <w:tcPr>
            <w:tcW w:w="4680" w:type="dxa"/>
            <w:shd w:val="clear" w:color="auto" w:fill="F3F5FB"/>
            <w:tcMar>
              <w:top w:w="80" w:type="dxa"/>
              <w:left w:w="120" w:type="dxa"/>
              <w:bottom w:w="80" w:type="dxa"/>
              <w:right w:w="120" w:type="dxa"/>
            </w:tcMar>
          </w:tcPr>
          <w:p w14:paraId="0DF691A4" w14:textId="77777777" w:rsidR="00AC2DB3" w:rsidRDefault="00D43E49">
            <w:r>
              <w:rPr>
                <w:rFonts w:ascii="Consolas" w:eastAsia="Consolas" w:hAnsi="Consolas" w:cs="Consolas"/>
                <w:sz w:val="20"/>
                <w:szCs w:val="20"/>
                <w:shd w:val="clear" w:color="auto" w:fill="EEF2F6"/>
              </w:rPr>
              <w:t>docs/PLATFORM-REVIEW-2026-07.md</w:t>
            </w:r>
          </w:p>
        </w:tc>
      </w:tr>
      <w:tr w:rsidR="00AC2DB3" w14:paraId="0F123246" w14:textId="77777777">
        <w:tblPrEx>
          <w:tblCellMar>
            <w:top w:w="0" w:type="dxa"/>
            <w:bottom w:w="0" w:type="dxa"/>
          </w:tblCellMar>
        </w:tblPrEx>
        <w:tc>
          <w:tcPr>
            <w:tcW w:w="4680" w:type="dxa"/>
            <w:tcMar>
              <w:top w:w="80" w:type="dxa"/>
              <w:left w:w="120" w:type="dxa"/>
              <w:bottom w:w="80" w:type="dxa"/>
              <w:right w:w="120" w:type="dxa"/>
            </w:tcMar>
          </w:tcPr>
          <w:p w14:paraId="2D24E1A4" w14:textId="77777777" w:rsidR="00AC2DB3" w:rsidRDefault="00D43E49">
            <w:r>
              <w:rPr>
                <w:sz w:val="20"/>
                <w:szCs w:val="20"/>
              </w:rPr>
              <w:t>Production hardening record</w:t>
            </w:r>
          </w:p>
        </w:tc>
        <w:tc>
          <w:tcPr>
            <w:tcW w:w="4680" w:type="dxa"/>
            <w:tcMar>
              <w:top w:w="80" w:type="dxa"/>
              <w:left w:w="120" w:type="dxa"/>
              <w:bottom w:w="80" w:type="dxa"/>
              <w:right w:w="120" w:type="dxa"/>
            </w:tcMar>
          </w:tcPr>
          <w:p w14:paraId="7AF11DD3" w14:textId="77777777" w:rsidR="00AC2DB3" w:rsidRDefault="00D43E49">
            <w:r>
              <w:rPr>
                <w:rFonts w:ascii="Consolas" w:eastAsia="Consolas" w:hAnsi="Consolas" w:cs="Consolas"/>
                <w:sz w:val="20"/>
                <w:szCs w:val="20"/>
                <w:shd w:val="clear" w:color="auto" w:fill="EEF2F6"/>
              </w:rPr>
              <w:t>docs/WORK-ORDER-production-program.md</w:t>
            </w:r>
          </w:p>
        </w:tc>
      </w:tr>
      <w:tr w:rsidR="00AC2DB3" w14:paraId="15287AD9" w14:textId="77777777">
        <w:tblPrEx>
          <w:tblCellMar>
            <w:top w:w="0" w:type="dxa"/>
            <w:bottom w:w="0" w:type="dxa"/>
          </w:tblCellMar>
        </w:tblPrEx>
        <w:tc>
          <w:tcPr>
            <w:tcW w:w="4680" w:type="dxa"/>
            <w:shd w:val="clear" w:color="auto" w:fill="F3F5FB"/>
            <w:tcMar>
              <w:top w:w="80" w:type="dxa"/>
              <w:left w:w="120" w:type="dxa"/>
              <w:bottom w:w="80" w:type="dxa"/>
              <w:right w:w="120" w:type="dxa"/>
            </w:tcMar>
          </w:tcPr>
          <w:p w14:paraId="481F5C67" w14:textId="77777777" w:rsidR="00AC2DB3" w:rsidRDefault="00D43E49">
            <w:r>
              <w:rPr>
                <w:sz w:val="20"/>
                <w:szCs w:val="20"/>
              </w:rPr>
              <w:t>Package authoring</w:t>
            </w:r>
          </w:p>
        </w:tc>
        <w:tc>
          <w:tcPr>
            <w:tcW w:w="4680" w:type="dxa"/>
            <w:shd w:val="clear" w:color="auto" w:fill="F3F5FB"/>
            <w:tcMar>
              <w:top w:w="80" w:type="dxa"/>
              <w:left w:w="120" w:type="dxa"/>
              <w:bottom w:w="80" w:type="dxa"/>
              <w:right w:w="120" w:type="dxa"/>
            </w:tcMar>
          </w:tcPr>
          <w:p w14:paraId="7628C55D" w14:textId="77777777" w:rsidR="00AC2DB3" w:rsidRDefault="00D43E49">
            <w:r>
              <w:rPr>
                <w:rFonts w:ascii="Consolas" w:eastAsia="Consolas" w:hAnsi="Consolas" w:cs="Consolas"/>
                <w:sz w:val="20"/>
                <w:szCs w:val="20"/>
                <w:shd w:val="clear" w:color="auto" w:fill="EEF2F6"/>
              </w:rPr>
              <w:t>packages/templates/</w:t>
            </w:r>
            <w:r>
              <w:rPr>
                <w:sz w:val="20"/>
                <w:szCs w:val="20"/>
              </w:rPr>
              <w:t xml:space="preserve">, </w:t>
            </w:r>
            <w:r>
              <w:rPr>
                <w:rFonts w:ascii="Consolas" w:eastAsia="Consolas" w:hAnsi="Consolas" w:cs="Consolas"/>
                <w:sz w:val="20"/>
                <w:szCs w:val="20"/>
                <w:shd w:val="clear" w:color="auto" w:fill="EEF2F6"/>
              </w:rPr>
              <w:t>scripts/id-ledger.ps1</w:t>
            </w:r>
          </w:p>
        </w:tc>
      </w:tr>
      <w:tr w:rsidR="00AC2DB3" w14:paraId="711921CD" w14:textId="77777777">
        <w:tblPrEx>
          <w:tblCellMar>
            <w:top w:w="0" w:type="dxa"/>
            <w:bottom w:w="0" w:type="dxa"/>
          </w:tblCellMar>
        </w:tblPrEx>
        <w:tc>
          <w:tcPr>
            <w:tcW w:w="4680" w:type="dxa"/>
            <w:tcMar>
              <w:top w:w="80" w:type="dxa"/>
              <w:left w:w="120" w:type="dxa"/>
              <w:bottom w:w="80" w:type="dxa"/>
              <w:right w:w="120" w:type="dxa"/>
            </w:tcMar>
          </w:tcPr>
          <w:p w14:paraId="4CFD8643" w14:textId="77777777" w:rsidR="00AC2DB3" w:rsidRDefault="00D43E49">
            <w:r>
              <w:rPr>
                <w:sz w:val="20"/>
                <w:szCs w:val="20"/>
              </w:rPr>
              <w:t>Architecture</w:t>
            </w:r>
          </w:p>
        </w:tc>
        <w:tc>
          <w:tcPr>
            <w:tcW w:w="4680" w:type="dxa"/>
            <w:tcMar>
              <w:top w:w="80" w:type="dxa"/>
              <w:left w:w="120" w:type="dxa"/>
              <w:bottom w:w="80" w:type="dxa"/>
              <w:right w:w="120" w:type="dxa"/>
            </w:tcMar>
          </w:tcPr>
          <w:p w14:paraId="3514915B" w14:textId="77777777" w:rsidR="00AC2DB3" w:rsidRDefault="00D43E49">
            <w:r>
              <w:rPr>
                <w:rFonts w:ascii="Consolas" w:eastAsia="Consolas" w:hAnsi="Consolas" w:cs="Consolas"/>
                <w:sz w:val="20"/>
                <w:szCs w:val="20"/>
                <w:shd w:val="clear" w:color="auto" w:fill="EEF2F6"/>
              </w:rPr>
              <w:t>ARCHITECTURE.md</w:t>
            </w:r>
          </w:p>
        </w:tc>
      </w:tr>
    </w:tbl>
    <w:p w14:paraId="6C32BC31" w14:textId="77777777" w:rsidR="00AC2DB3" w:rsidRDefault="00AC2DB3">
      <w:pPr>
        <w:spacing w:after="120"/>
      </w:pPr>
    </w:p>
    <w:p w14:paraId="716A946A" w14:textId="77777777" w:rsidR="00AC2DB3" w:rsidRDefault="00D43E49">
      <w:pPr>
        <w:spacing w:before="120" w:after="160"/>
      </w:pPr>
      <w:r>
        <w:rPr>
          <w:i/>
          <w:iCs/>
          <w:color w:val="55677A"/>
        </w:rPr>
        <w:t>ECARMF Platform Kernel — where AI recommends, humans decide, and knowledge becomes infrastructure.</w:t>
      </w:r>
    </w:p>
    <w:sectPr w:rsidR="00AC2D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B50F7" w14:textId="77777777" w:rsidR="00000000" w:rsidRDefault="00D43E49">
      <w:pPr>
        <w:spacing w:line="240" w:lineRule="auto"/>
      </w:pPr>
      <w:r>
        <w:separator/>
      </w:r>
    </w:p>
  </w:endnote>
  <w:endnote w:type="continuationSeparator" w:id="0">
    <w:p w14:paraId="008A738C" w14:textId="77777777" w:rsidR="00000000" w:rsidRDefault="00D43E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7100" w14:textId="77777777" w:rsidR="00AC2DB3" w:rsidRDefault="00D43E49">
    <w:pPr>
      <w:jc w:val="center"/>
    </w:pPr>
    <w:r>
      <w:rPr>
        <w:color w:val="55677A"/>
        <w:sz w:val="17"/>
        <w:szCs w:val="17"/>
      </w:rPr>
      <w:t xml:space="preserve">ECARMF Platform Kernel — Stakeholder Guide   ·   Page </w:t>
    </w:r>
    <w:r>
      <w:rPr>
        <w:color w:val="55677A"/>
        <w:sz w:val="17"/>
        <w:szCs w:val="17"/>
      </w:rPr>
      <w:fldChar w:fldCharType="begin"/>
    </w:r>
    <w:r>
      <w:rPr>
        <w:color w:val="55677A"/>
        <w:sz w:val="17"/>
        <w:szCs w:val="17"/>
      </w:rPr>
      <w:instrText>PAGE</w:instrText>
    </w:r>
    <w:r>
      <w:rPr>
        <w:color w:val="55677A"/>
        <w:sz w:val="17"/>
        <w:szCs w:val="17"/>
      </w:rPr>
      <w:fldChar w:fldCharType="separate"/>
    </w:r>
    <w:r>
      <w:rPr>
        <w:noProof/>
        <w:color w:val="55677A"/>
        <w:sz w:val="17"/>
        <w:szCs w:val="17"/>
      </w:rPr>
      <w:t>1</w:t>
    </w:r>
    <w:r>
      <w:rPr>
        <w:color w:val="55677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CA703" w14:textId="77777777" w:rsidR="00000000" w:rsidRDefault="00D43E49">
      <w:pPr>
        <w:spacing w:line="240" w:lineRule="auto"/>
      </w:pPr>
      <w:r>
        <w:separator/>
      </w:r>
    </w:p>
  </w:footnote>
  <w:footnote w:type="continuationSeparator" w:id="0">
    <w:p w14:paraId="567E5734" w14:textId="77777777" w:rsidR="00000000" w:rsidRDefault="00D43E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C5AB5"/>
    <w:multiLevelType w:val="hybridMultilevel"/>
    <w:tmpl w:val="35A45840"/>
    <w:lvl w:ilvl="0" w:tplc="1D0A5A2E">
      <w:start w:val="1"/>
      <w:numFmt w:val="decimal"/>
      <w:lvlText w:val="%1."/>
      <w:lvlJc w:val="left"/>
      <w:pPr>
        <w:ind w:left="480" w:hanging="300"/>
      </w:pPr>
    </w:lvl>
    <w:lvl w:ilvl="1" w:tplc="00844358">
      <w:numFmt w:val="decimal"/>
      <w:lvlText w:val=""/>
      <w:lvlJc w:val="left"/>
    </w:lvl>
    <w:lvl w:ilvl="2" w:tplc="DD1064B2">
      <w:numFmt w:val="decimal"/>
      <w:lvlText w:val=""/>
      <w:lvlJc w:val="left"/>
    </w:lvl>
    <w:lvl w:ilvl="3" w:tplc="6450B3F2">
      <w:numFmt w:val="decimal"/>
      <w:lvlText w:val=""/>
      <w:lvlJc w:val="left"/>
    </w:lvl>
    <w:lvl w:ilvl="4" w:tplc="F820988C">
      <w:numFmt w:val="decimal"/>
      <w:lvlText w:val=""/>
      <w:lvlJc w:val="left"/>
    </w:lvl>
    <w:lvl w:ilvl="5" w:tplc="DAE66D06">
      <w:numFmt w:val="decimal"/>
      <w:lvlText w:val=""/>
      <w:lvlJc w:val="left"/>
    </w:lvl>
    <w:lvl w:ilvl="6" w:tplc="DCF0895E">
      <w:numFmt w:val="decimal"/>
      <w:lvlText w:val=""/>
      <w:lvlJc w:val="left"/>
    </w:lvl>
    <w:lvl w:ilvl="7" w:tplc="7FAA293A">
      <w:numFmt w:val="decimal"/>
      <w:lvlText w:val=""/>
      <w:lvlJc w:val="left"/>
    </w:lvl>
    <w:lvl w:ilvl="8" w:tplc="D9D66D90">
      <w:numFmt w:val="decimal"/>
      <w:lvlText w:val=""/>
      <w:lvlJc w:val="left"/>
    </w:lvl>
  </w:abstractNum>
  <w:abstractNum w:abstractNumId="1" w15:restartNumberingAfterBreak="0">
    <w:nsid w:val="447B6608"/>
    <w:multiLevelType w:val="hybridMultilevel"/>
    <w:tmpl w:val="3D16015A"/>
    <w:lvl w:ilvl="0" w:tplc="2B20E670">
      <w:start w:val="1"/>
      <w:numFmt w:val="bullet"/>
      <w:lvlText w:val="●"/>
      <w:lvlJc w:val="left"/>
      <w:pPr>
        <w:ind w:left="720" w:hanging="360"/>
      </w:pPr>
    </w:lvl>
    <w:lvl w:ilvl="1" w:tplc="EDAC9F72">
      <w:start w:val="1"/>
      <w:numFmt w:val="bullet"/>
      <w:lvlText w:val="○"/>
      <w:lvlJc w:val="left"/>
      <w:pPr>
        <w:ind w:left="1440" w:hanging="360"/>
      </w:pPr>
    </w:lvl>
    <w:lvl w:ilvl="2" w:tplc="6EEA8C38">
      <w:start w:val="1"/>
      <w:numFmt w:val="bullet"/>
      <w:lvlText w:val="■"/>
      <w:lvlJc w:val="left"/>
      <w:pPr>
        <w:ind w:left="2160" w:hanging="360"/>
      </w:pPr>
    </w:lvl>
    <w:lvl w:ilvl="3" w:tplc="B20C1D1E">
      <w:start w:val="1"/>
      <w:numFmt w:val="bullet"/>
      <w:lvlText w:val="●"/>
      <w:lvlJc w:val="left"/>
      <w:pPr>
        <w:ind w:left="2880" w:hanging="360"/>
      </w:pPr>
    </w:lvl>
    <w:lvl w:ilvl="4" w:tplc="4E22DFB4">
      <w:start w:val="1"/>
      <w:numFmt w:val="bullet"/>
      <w:lvlText w:val="○"/>
      <w:lvlJc w:val="left"/>
      <w:pPr>
        <w:ind w:left="3600" w:hanging="360"/>
      </w:pPr>
    </w:lvl>
    <w:lvl w:ilvl="5" w:tplc="AD3428EC">
      <w:start w:val="1"/>
      <w:numFmt w:val="bullet"/>
      <w:lvlText w:val="■"/>
      <w:lvlJc w:val="left"/>
      <w:pPr>
        <w:ind w:left="4320" w:hanging="360"/>
      </w:pPr>
    </w:lvl>
    <w:lvl w:ilvl="6" w:tplc="5F468C12">
      <w:start w:val="1"/>
      <w:numFmt w:val="bullet"/>
      <w:lvlText w:val="●"/>
      <w:lvlJc w:val="left"/>
      <w:pPr>
        <w:ind w:left="5040" w:hanging="360"/>
      </w:pPr>
    </w:lvl>
    <w:lvl w:ilvl="7" w:tplc="2638B4C6">
      <w:start w:val="1"/>
      <w:numFmt w:val="bullet"/>
      <w:lvlText w:val="●"/>
      <w:lvlJc w:val="left"/>
      <w:pPr>
        <w:ind w:left="5760" w:hanging="360"/>
      </w:pPr>
    </w:lvl>
    <w:lvl w:ilvl="8" w:tplc="ACC48A52">
      <w:start w:val="1"/>
      <w:numFmt w:val="bullet"/>
      <w:lvlText w:val="●"/>
      <w:lvlJc w:val="left"/>
      <w:pPr>
        <w:ind w:left="6480" w:hanging="360"/>
      </w:pPr>
    </w:lvl>
  </w:abstractNum>
  <w:abstractNum w:abstractNumId="2" w15:restartNumberingAfterBreak="0">
    <w:nsid w:val="74814786"/>
    <w:multiLevelType w:val="hybridMultilevel"/>
    <w:tmpl w:val="500650C6"/>
    <w:lvl w:ilvl="0" w:tplc="5614C8C0">
      <w:start w:val="1"/>
      <w:numFmt w:val="bullet"/>
      <w:lvlText w:val="•"/>
      <w:lvlJc w:val="left"/>
      <w:pPr>
        <w:ind w:left="480" w:hanging="240"/>
      </w:pPr>
    </w:lvl>
    <w:lvl w:ilvl="1" w:tplc="1E4A85E4">
      <w:numFmt w:val="decimal"/>
      <w:lvlText w:val=""/>
      <w:lvlJc w:val="left"/>
    </w:lvl>
    <w:lvl w:ilvl="2" w:tplc="E79029F2">
      <w:numFmt w:val="decimal"/>
      <w:lvlText w:val=""/>
      <w:lvlJc w:val="left"/>
    </w:lvl>
    <w:lvl w:ilvl="3" w:tplc="87F2C7DE">
      <w:numFmt w:val="decimal"/>
      <w:lvlText w:val=""/>
      <w:lvlJc w:val="left"/>
    </w:lvl>
    <w:lvl w:ilvl="4" w:tplc="41FCEB1E">
      <w:numFmt w:val="decimal"/>
      <w:lvlText w:val=""/>
      <w:lvlJc w:val="left"/>
    </w:lvl>
    <w:lvl w:ilvl="5" w:tplc="954603F8">
      <w:numFmt w:val="decimal"/>
      <w:lvlText w:val=""/>
      <w:lvlJc w:val="left"/>
    </w:lvl>
    <w:lvl w:ilvl="6" w:tplc="C4048174">
      <w:numFmt w:val="decimal"/>
      <w:lvlText w:val=""/>
      <w:lvlJc w:val="left"/>
    </w:lvl>
    <w:lvl w:ilvl="7" w:tplc="AA76E77A">
      <w:numFmt w:val="decimal"/>
      <w:lvlText w:val=""/>
      <w:lvlJc w:val="left"/>
    </w:lvl>
    <w:lvl w:ilvl="8" w:tplc="EA6AA422">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DB3"/>
    <w:rsid w:val="00AC2DB3"/>
    <w:rsid w:val="00D43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B3E"/>
  <w15:docId w15:val="{D9490B16-2EED-4A18-95F4-11222FBC5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530"/>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libri Light" w:eastAsia="Calibri Light" w:hAnsi="Calibri Light" w:cs="Calibri Light"/>
      <w:b/>
      <w:bCs/>
      <w:color w:val="4F46E5"/>
      <w:sz w:val="34"/>
      <w:szCs w:val="34"/>
    </w:rPr>
  </w:style>
  <w:style w:type="paragraph" w:styleId="Heading2">
    <w:name w:val="heading 2"/>
    <w:uiPriority w:val="9"/>
    <w:unhideWhenUsed/>
    <w:qFormat/>
    <w:pPr>
      <w:spacing w:before="280" w:after="120"/>
      <w:outlineLvl w:val="1"/>
    </w:pPr>
    <w:rPr>
      <w:rFonts w:ascii="Calibri Light" w:eastAsia="Calibri Light" w:hAnsi="Calibri Light" w:cs="Calibri Light"/>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3E49"/>
    <w:pPr>
      <w:spacing w:after="100"/>
    </w:pPr>
  </w:style>
  <w:style w:type="paragraph" w:styleId="TOC2">
    <w:name w:val="toc 2"/>
    <w:basedOn w:val="Normal"/>
    <w:next w:val="Normal"/>
    <w:autoRedefine/>
    <w:uiPriority w:val="39"/>
    <w:unhideWhenUsed/>
    <w:rsid w:val="00D43E4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3420</Words>
  <Characters>19497</Characters>
  <Application>Microsoft Office Word</Application>
  <DocSecurity>0</DocSecurity>
  <Lines>162</Lines>
  <Paragraphs>45</Paragraphs>
  <ScaleCrop>false</ScaleCrop>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AbuGhoush</cp:lastModifiedBy>
  <cp:revision>2</cp:revision>
  <dcterms:created xsi:type="dcterms:W3CDTF">2026-07-16T06:56:00Z</dcterms:created>
  <dcterms:modified xsi:type="dcterms:W3CDTF">2026-07-16T06:56:00Z</dcterms:modified>
</cp:coreProperties>
</file>