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إثبات</w:t>
      </w:r>
      <w:r>
        <w:rPr>
          <w:rFonts w:cs="Arial"/>
          <w:b/>
          <w:bCs/>
          <w:sz w:val="32"/>
          <w:szCs w:val="32"/>
          <w:rtl/>
        </w:rPr>
        <w:t xml:space="preserve"> </w:t>
      </w:r>
      <w:r>
        <w:rPr>
          <w:rFonts w:cs="Arial" w:hint="cs"/>
          <w:b/>
          <w:bCs/>
          <w:sz w:val="32"/>
          <w:szCs w:val="32"/>
          <w:rtl/>
        </w:rPr>
        <w:t>غش</w:t>
      </w:r>
      <w:r>
        <w:rPr>
          <w:rFonts w:cs="Arial"/>
          <w:b/>
          <w:bCs/>
          <w:sz w:val="32"/>
          <w:szCs w:val="32"/>
          <w:rtl/>
        </w:rPr>
        <w:t xml:space="preserve"> </w:t>
      </w:r>
      <w:r>
        <w:rPr>
          <w:rFonts w:cs="Arial" w:hint="cs"/>
          <w:b/>
          <w:bCs/>
          <w:sz w:val="32"/>
          <w:szCs w:val="32"/>
          <w:rtl/>
        </w:rPr>
        <w:t>العصائر</w:t>
      </w:r>
      <w:r>
        <w:rPr>
          <w:rFonts w:cs="Arial"/>
          <w:b/>
          <w:bCs/>
          <w:sz w:val="32"/>
          <w:szCs w:val="32"/>
          <w:rtl/>
        </w:rPr>
        <w:t xml:space="preserve"> </w:t>
      </w:r>
      <w:r>
        <w:rPr>
          <w:rFonts w:cs="Arial" w:hint="cs"/>
          <w:b/>
          <w:bCs/>
          <w:sz w:val="32"/>
          <w:szCs w:val="32"/>
          <w:rtl/>
        </w:rPr>
        <w:t>في</w:t>
      </w:r>
      <w:r>
        <w:rPr>
          <w:rFonts w:cs="Arial"/>
          <w:b/>
          <w:bCs/>
          <w:sz w:val="32"/>
          <w:szCs w:val="32"/>
          <w:rtl/>
        </w:rPr>
        <w:t xml:space="preserve"> </w:t>
      </w:r>
      <w:r>
        <w:rPr>
          <w:rFonts w:cs="Arial" w:hint="cs"/>
          <w:b/>
          <w:bCs/>
          <w:sz w:val="32"/>
          <w:szCs w:val="32"/>
          <w:rtl/>
        </w:rPr>
        <w:t>البوفيات</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عبد المؤمن </w:t>
      </w:r>
      <w:r>
        <w:rPr>
          <w:rFonts w:cs="Arial" w:hint="cs"/>
          <w:sz w:val="32"/>
          <w:szCs w:val="32"/>
          <w:rtl/>
        </w:rPr>
        <w:t>شجاع</w:t>
      </w:r>
      <w:r>
        <w:rPr>
          <w:rFonts w:cs="Arial" w:hint="cs"/>
          <w:sz w:val="32"/>
          <w:szCs w:val="32"/>
          <w:rtl/>
        </w:rPr>
        <w:t xml:space="preserve">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 </w:t>
      </w:r>
    </w:p>
    <w:p>
      <w:pPr>
        <w:pStyle w:val="style0"/>
        <w:jc w:val="lowKashida"/>
        <w:rPr>
          <w:rFonts w:cs="Arial" w:hint="cs"/>
          <w:sz w:val="32"/>
          <w:szCs w:val="32"/>
          <w:rtl/>
        </w:rPr>
      </w:pPr>
      <w:r>
        <w:rPr>
          <w:rFonts w:cs="Arial" w:hint="cs"/>
          <w:sz w:val="32"/>
          <w:szCs w:val="32"/>
          <w:rtl/>
        </w:rPr>
        <w:t xml:space="preserve">تقدم </w:t>
      </w:r>
      <w:r>
        <w:rPr>
          <w:rFonts w:cs="Arial" w:hint="cs"/>
          <w:sz w:val="32"/>
          <w:szCs w:val="32"/>
          <w:rtl/>
        </w:rPr>
        <w:t>البوفيا</w:t>
      </w:r>
      <w:r>
        <w:rPr>
          <w:rFonts w:cs="Arial" w:hint="cs"/>
          <w:sz w:val="32"/>
          <w:szCs w:val="32"/>
          <w:rtl/>
        </w:rPr>
        <w:t>ت</w:t>
      </w:r>
      <w:r>
        <w:rPr>
          <w:rFonts w:cs="Arial" w:hint="cs"/>
          <w:sz w:val="32"/>
          <w:szCs w:val="32"/>
          <w:rtl/>
        </w:rPr>
        <w:t xml:space="preserve"> لمرتاديها عصائر طبيعية لفواكه </w:t>
      </w:r>
      <w:r>
        <w:rPr>
          <w:rFonts w:cs="Arial" w:hint="cs"/>
          <w:sz w:val="32"/>
          <w:szCs w:val="32"/>
          <w:rtl/>
        </w:rPr>
        <w:t xml:space="preserve">لا يعرف الا الله نوعها وحالتها قبل </w:t>
      </w:r>
      <w:r>
        <w:rPr>
          <w:rFonts w:cs="Arial" w:hint="cs"/>
          <w:sz w:val="32"/>
          <w:szCs w:val="32"/>
          <w:rtl/>
        </w:rPr>
        <w:t xml:space="preserve">أن </w:t>
      </w:r>
      <w:r>
        <w:rPr>
          <w:rFonts w:cs="Arial" w:hint="cs"/>
          <w:sz w:val="32"/>
          <w:szCs w:val="32"/>
          <w:rtl/>
        </w:rPr>
        <w:t>تعصر</w:t>
      </w:r>
      <w:r>
        <w:rPr>
          <w:rFonts w:cs="Arial" w:hint="cs"/>
          <w:sz w:val="32"/>
          <w:szCs w:val="32"/>
          <w:rtl/>
        </w:rPr>
        <w:t xml:space="preserve"> </w:t>
      </w:r>
      <w:r>
        <w:rPr>
          <w:rFonts w:cs="Arial" w:hint="cs"/>
          <w:sz w:val="32"/>
          <w:szCs w:val="32"/>
          <w:rtl/>
        </w:rPr>
        <w:t xml:space="preserve"> </w:t>
      </w:r>
      <w:r>
        <w:rPr>
          <w:rFonts w:cs="Arial" w:hint="cs"/>
          <w:sz w:val="32"/>
          <w:szCs w:val="32"/>
          <w:rtl/>
        </w:rPr>
        <w:t xml:space="preserve">وكذا </w:t>
      </w:r>
      <w:r>
        <w:rPr>
          <w:rFonts w:cs="Arial" w:hint="cs"/>
          <w:sz w:val="32"/>
          <w:szCs w:val="32"/>
          <w:rtl/>
        </w:rPr>
        <w:t xml:space="preserve">المكونات والمواد المضافة اليها حيث يطغى جانب </w:t>
      </w:r>
      <w:r>
        <w:rPr>
          <w:rFonts w:cs="Arial" w:hint="cs"/>
          <w:sz w:val="32"/>
          <w:szCs w:val="32"/>
          <w:rtl/>
        </w:rPr>
        <w:t>الربح</w:t>
      </w:r>
      <w:r>
        <w:rPr>
          <w:rFonts w:cs="Arial" w:hint="cs"/>
          <w:sz w:val="32"/>
          <w:szCs w:val="32"/>
          <w:rtl/>
        </w:rPr>
        <w:t xml:space="preserve"> على الجوانب الدينية </w:t>
      </w:r>
      <w:r>
        <w:rPr>
          <w:rFonts w:cs="Arial" w:hint="cs"/>
          <w:sz w:val="32"/>
          <w:szCs w:val="32"/>
          <w:rtl/>
        </w:rPr>
        <w:t xml:space="preserve">والقانونية </w:t>
      </w:r>
      <w:r>
        <w:rPr>
          <w:rFonts w:cs="Arial" w:hint="cs"/>
          <w:sz w:val="32"/>
          <w:szCs w:val="32"/>
          <w:rtl/>
        </w:rPr>
        <w:t>والاخلاقية والانسا</w:t>
      </w:r>
      <w:r>
        <w:rPr>
          <w:rFonts w:cs="Arial" w:hint="cs"/>
          <w:sz w:val="32"/>
          <w:szCs w:val="32"/>
          <w:rtl/>
        </w:rPr>
        <w:t>نية،</w:t>
      </w:r>
      <w:r>
        <w:rPr>
          <w:rFonts w:cs="Arial" w:hint="cs"/>
          <w:sz w:val="32"/>
          <w:szCs w:val="32"/>
          <w:rtl/>
        </w:rPr>
        <w:t xml:space="preserve"> </w:t>
      </w:r>
      <w:r>
        <w:rPr>
          <w:rFonts w:cs="Arial" w:hint="cs"/>
          <w:sz w:val="32"/>
          <w:szCs w:val="32"/>
          <w:rtl/>
        </w:rPr>
        <w:t xml:space="preserve">لاريب </w:t>
      </w:r>
      <w:r>
        <w:rPr>
          <w:rFonts w:cs="Arial" w:hint="cs"/>
          <w:sz w:val="32"/>
          <w:szCs w:val="32"/>
          <w:rtl/>
        </w:rPr>
        <w:t>أن</w:t>
      </w:r>
      <w:r>
        <w:rPr>
          <w:rFonts w:cs="Arial" w:hint="cs"/>
          <w:sz w:val="32"/>
          <w:szCs w:val="32"/>
          <w:rtl/>
        </w:rPr>
        <w:t xml:space="preserve"> </w:t>
      </w:r>
      <w:r>
        <w:rPr>
          <w:rFonts w:cs="Arial" w:hint="cs"/>
          <w:sz w:val="32"/>
          <w:szCs w:val="32"/>
          <w:rtl/>
        </w:rPr>
        <w:t xml:space="preserve"> غش العصائر له خطورته البالغة التي تتسبب في حالات مرضية </w:t>
      </w:r>
      <w:r>
        <w:rPr>
          <w:rFonts w:cs="Arial" w:hint="cs"/>
          <w:sz w:val="32"/>
          <w:szCs w:val="32"/>
          <w:rtl/>
        </w:rPr>
        <w:t>قد تتسسب في ب</w:t>
      </w:r>
      <w:r>
        <w:rPr>
          <w:rFonts w:cs="Arial" w:hint="cs"/>
          <w:sz w:val="32"/>
          <w:szCs w:val="32"/>
          <w:rtl/>
        </w:rPr>
        <w:t xml:space="preserve">عض </w:t>
      </w:r>
      <w:r>
        <w:rPr>
          <w:rFonts w:cs="Arial" w:hint="cs"/>
          <w:sz w:val="32"/>
          <w:szCs w:val="32"/>
          <w:rtl/>
        </w:rPr>
        <w:t>الحالات في ال</w:t>
      </w:r>
      <w:r>
        <w:rPr>
          <w:rFonts w:cs="Arial" w:hint="cs"/>
          <w:sz w:val="32"/>
          <w:szCs w:val="32"/>
          <w:rtl/>
        </w:rPr>
        <w:t>و</w:t>
      </w:r>
      <w:r>
        <w:rPr>
          <w:rFonts w:cs="Arial" w:hint="cs"/>
          <w:sz w:val="32"/>
          <w:szCs w:val="32"/>
          <w:rtl/>
        </w:rPr>
        <w:t>فاة</w:t>
      </w:r>
      <w:r>
        <w:rPr>
          <w:rFonts w:cs="Arial" w:hint="cs"/>
          <w:sz w:val="32"/>
          <w:szCs w:val="32"/>
          <w:rtl/>
        </w:rPr>
        <w:t xml:space="preserve"> </w:t>
      </w:r>
      <w:r>
        <w:rPr>
          <w:rFonts w:cs="Arial" w:hint="cs"/>
          <w:sz w:val="32"/>
          <w:szCs w:val="32"/>
          <w:rtl/>
        </w:rPr>
        <w:t>،</w:t>
      </w:r>
      <w:r>
        <w:rPr>
          <w:rFonts w:cs="Arial" w:hint="cs"/>
          <w:sz w:val="32"/>
          <w:szCs w:val="32"/>
          <w:rtl/>
        </w:rPr>
        <w:t>و</w:t>
      </w:r>
      <w:r>
        <w:rPr>
          <w:rFonts w:cs="Arial" w:hint="cs"/>
          <w:sz w:val="32"/>
          <w:szCs w:val="32"/>
          <w:rtl/>
        </w:rPr>
        <w:t xml:space="preserve">غش </w:t>
      </w:r>
      <w:r>
        <w:rPr>
          <w:rFonts w:cs="Arial" w:hint="cs"/>
          <w:sz w:val="32"/>
          <w:szCs w:val="32"/>
          <w:rtl/>
        </w:rPr>
        <w:t>العصائر</w:t>
      </w:r>
      <w:r>
        <w:rPr>
          <w:rFonts w:cs="Arial" w:hint="cs"/>
          <w:sz w:val="32"/>
          <w:szCs w:val="32"/>
          <w:rtl/>
        </w:rPr>
        <w:t xml:space="preserve"> والوجبات السريعة </w:t>
      </w:r>
      <w:r>
        <w:rPr>
          <w:rFonts w:cs="Arial" w:hint="cs"/>
          <w:sz w:val="32"/>
          <w:szCs w:val="32"/>
          <w:rtl/>
        </w:rPr>
        <w:t xml:space="preserve"> </w:t>
      </w:r>
      <w:r>
        <w:rPr>
          <w:rFonts w:cs="Arial" w:hint="cs"/>
          <w:sz w:val="32"/>
          <w:szCs w:val="32"/>
          <w:rtl/>
        </w:rPr>
        <w:t>تمثل جانباً من ظاهرة الغش التي تكاد تسيطر على كافة الانشطة والنواحي في المجتمع اليمني الذي يخلط دوماً بين الذكاء والمغالطة، حيث اصبحت حالات الغش المتعددة</w:t>
      </w:r>
      <w:r>
        <w:rPr>
          <w:rFonts w:cs="Arial" w:hint="cs"/>
          <w:sz w:val="32"/>
          <w:szCs w:val="32"/>
          <w:rtl/>
        </w:rPr>
        <w:t xml:space="preserve"> وا</w:t>
      </w:r>
      <w:r>
        <w:rPr>
          <w:rFonts w:cs="Arial" w:hint="cs"/>
          <w:sz w:val="32"/>
          <w:szCs w:val="32"/>
          <w:rtl/>
        </w:rPr>
        <w:t>ل</w:t>
      </w:r>
      <w:r>
        <w:rPr>
          <w:rFonts w:cs="Arial" w:hint="cs"/>
          <w:sz w:val="32"/>
          <w:szCs w:val="32"/>
          <w:rtl/>
        </w:rPr>
        <w:t xml:space="preserve">مختلفة </w:t>
      </w:r>
      <w:r>
        <w:rPr>
          <w:rFonts w:cs="Arial" w:hint="cs"/>
          <w:sz w:val="32"/>
          <w:szCs w:val="32"/>
          <w:rtl/>
        </w:rPr>
        <w:t xml:space="preserve">في </w:t>
      </w:r>
      <w:r>
        <w:rPr>
          <w:rFonts w:cs="Arial" w:hint="cs"/>
          <w:sz w:val="32"/>
          <w:szCs w:val="32"/>
          <w:rtl/>
        </w:rPr>
        <w:t xml:space="preserve">ستة المجالات </w:t>
      </w:r>
      <w:r>
        <w:rPr>
          <w:rFonts w:cs="Arial" w:hint="cs"/>
          <w:sz w:val="32"/>
          <w:szCs w:val="32"/>
          <w:rtl/>
        </w:rPr>
        <w:t xml:space="preserve"> شيء مألوف يتم التعامل معه بمنتهى التساهل</w:t>
      </w:r>
      <w:r>
        <w:rPr>
          <w:rFonts w:cs="Arial" w:hint="cs"/>
          <w:sz w:val="32"/>
          <w:szCs w:val="32"/>
          <w:rtl/>
        </w:rPr>
        <w:t xml:space="preserve"> والتسامح </w:t>
      </w:r>
      <w:r>
        <w:rPr>
          <w:rFonts w:cs="Arial" w:hint="cs"/>
          <w:sz w:val="32"/>
          <w:szCs w:val="32"/>
          <w:rtl/>
        </w:rPr>
        <w:t xml:space="preserve">، ولأهمية هذا الموضوع فقد اخترنا التعليق على الحكم الصادر عن الدائرة الجزائية بالمحكمة العليا في جلستها المنعقدة بتاريخ 17/9/2013م في الطعن رقم (47844) وتتلخص وقائع الدعوى التي تناولها هذا الحكم أن النيابة العامة أتهمت اثنين من أصحاب </w:t>
      </w:r>
      <w:r>
        <w:rPr>
          <w:rFonts w:cs="Arial" w:hint="cs"/>
          <w:sz w:val="32"/>
          <w:szCs w:val="32"/>
          <w:rtl/>
        </w:rPr>
        <w:t xml:space="preserve">يملكان مجموعة من </w:t>
      </w:r>
      <w:r>
        <w:rPr>
          <w:rFonts w:cs="Arial" w:hint="cs"/>
          <w:sz w:val="32"/>
          <w:szCs w:val="32"/>
          <w:rtl/>
        </w:rPr>
        <w:t>البوافي</w:t>
      </w:r>
      <w:r>
        <w:rPr>
          <w:rFonts w:cs="Arial" w:hint="cs"/>
          <w:sz w:val="32"/>
          <w:szCs w:val="32"/>
          <w:rtl/>
        </w:rPr>
        <w:t xml:space="preserve"> بانهما غشا في غذاء الانسان وذلك بان قاما بإضافة مادة المبيض</w:t>
      </w:r>
      <w:r>
        <w:rPr>
          <w:rFonts w:cs="Arial" w:hint="cs"/>
          <w:sz w:val="32"/>
          <w:szCs w:val="32"/>
          <w:rtl/>
        </w:rPr>
        <w:t xml:space="preserve"> </w:t>
      </w:r>
      <w:r>
        <w:rPr>
          <w:rFonts w:cs="Arial" w:hint="cs"/>
          <w:sz w:val="32"/>
          <w:szCs w:val="32"/>
          <w:rtl/>
        </w:rPr>
        <w:t xml:space="preserve">إلى العصير مع </w:t>
      </w:r>
      <w:r>
        <w:rPr>
          <w:rFonts w:cs="Arial" w:hint="cs"/>
          <w:sz w:val="32"/>
          <w:szCs w:val="32"/>
          <w:rtl/>
        </w:rPr>
        <w:t xml:space="preserve">أن هذه المادة </w:t>
      </w:r>
      <w:r>
        <w:rPr>
          <w:rFonts w:cs="Arial" w:hint="cs"/>
          <w:sz w:val="32"/>
          <w:szCs w:val="32"/>
          <w:rtl/>
        </w:rPr>
        <w:t xml:space="preserve"> تحتوي على </w:t>
      </w:r>
      <w:r>
        <w:rPr>
          <w:rFonts w:cs="Arial" w:hint="cs"/>
          <w:sz w:val="32"/>
          <w:szCs w:val="32"/>
          <w:rtl/>
        </w:rPr>
        <w:t xml:space="preserve"> ثاني اكسيد التيتانيوم وهي مادة مضر</w:t>
      </w:r>
      <w:r>
        <w:rPr>
          <w:rFonts w:cs="Arial" w:hint="cs"/>
          <w:sz w:val="32"/>
          <w:szCs w:val="32"/>
          <w:rtl/>
        </w:rPr>
        <w:t>ة</w:t>
      </w:r>
      <w:r>
        <w:rPr>
          <w:rFonts w:cs="Arial" w:hint="cs"/>
          <w:sz w:val="32"/>
          <w:szCs w:val="32"/>
          <w:rtl/>
        </w:rPr>
        <w:t xml:space="preserve"> </w:t>
      </w:r>
      <w:r>
        <w:rPr>
          <w:rFonts w:cs="Arial" w:hint="cs"/>
          <w:sz w:val="32"/>
          <w:szCs w:val="32"/>
          <w:rtl/>
        </w:rPr>
        <w:t>ب</w:t>
      </w:r>
      <w:r>
        <w:rPr>
          <w:rFonts w:cs="Arial" w:hint="cs"/>
          <w:sz w:val="32"/>
          <w:szCs w:val="32"/>
          <w:rtl/>
        </w:rPr>
        <w:t>صحة الإنسان</w:t>
      </w:r>
      <w:r>
        <w:rPr>
          <w:rFonts w:cs="Arial" w:hint="cs"/>
          <w:sz w:val="32"/>
          <w:szCs w:val="32"/>
          <w:rtl/>
        </w:rPr>
        <w:t xml:space="preserve"> حيث يتم </w:t>
      </w:r>
      <w:r>
        <w:rPr>
          <w:rFonts w:cs="Arial" w:hint="cs"/>
          <w:sz w:val="32"/>
          <w:szCs w:val="32"/>
          <w:rtl/>
        </w:rPr>
        <w:t xml:space="preserve">إضافة تلك المادة </w:t>
      </w:r>
      <w:r>
        <w:rPr>
          <w:rFonts w:cs="Arial" w:hint="cs"/>
          <w:sz w:val="32"/>
          <w:szCs w:val="32"/>
          <w:rtl/>
        </w:rPr>
        <w:t xml:space="preserve"> إلى عصير الليمون وعصير المانجو</w:t>
      </w:r>
      <w:r>
        <w:rPr>
          <w:rFonts w:cs="Arial" w:hint="cs"/>
          <w:sz w:val="32"/>
          <w:szCs w:val="32"/>
          <w:rtl/>
        </w:rPr>
        <w:t xml:space="preserve"> في </w:t>
      </w:r>
      <w:r>
        <w:rPr>
          <w:rFonts w:cs="Arial" w:hint="cs"/>
          <w:sz w:val="32"/>
          <w:szCs w:val="32"/>
          <w:rtl/>
        </w:rPr>
        <w:t>البوفيات</w:t>
      </w:r>
      <w:r>
        <w:rPr>
          <w:rFonts w:cs="Arial" w:hint="cs"/>
          <w:sz w:val="32"/>
          <w:szCs w:val="32"/>
          <w:rtl/>
        </w:rPr>
        <w:t xml:space="preserve"> التابعة لهما ويبيعا</w:t>
      </w:r>
      <w:r>
        <w:rPr>
          <w:rFonts w:cs="Arial" w:hint="cs"/>
          <w:sz w:val="32"/>
          <w:szCs w:val="32"/>
          <w:rtl/>
        </w:rPr>
        <w:t xml:space="preserve"> العصير  </w:t>
      </w:r>
      <w:r>
        <w:rPr>
          <w:rFonts w:cs="Arial" w:hint="cs"/>
          <w:sz w:val="32"/>
          <w:szCs w:val="32"/>
          <w:rtl/>
        </w:rPr>
        <w:t xml:space="preserve">إلى </w:t>
      </w:r>
      <w:r>
        <w:rPr>
          <w:rFonts w:cs="Arial" w:hint="cs"/>
          <w:sz w:val="32"/>
          <w:szCs w:val="32"/>
          <w:rtl/>
        </w:rPr>
        <w:t>الزبائن الذين يرتادوا تلك البوفيات</w:t>
      </w:r>
      <w:r>
        <w:rPr>
          <w:rFonts w:cs="Arial" w:hint="cs"/>
          <w:sz w:val="32"/>
          <w:szCs w:val="32"/>
          <w:rtl/>
        </w:rPr>
        <w:t xml:space="preserve"> </w:t>
      </w:r>
      <w:r>
        <w:rPr>
          <w:rFonts w:cs="Arial" w:hint="cs"/>
          <w:sz w:val="32"/>
          <w:szCs w:val="32"/>
          <w:rtl/>
        </w:rPr>
        <w:t xml:space="preserve"> حيث يستخدما تلك المادة كبديل عن الحليب وفي حالة استعمالهما للحليب فانهما يستعملا حليب ليس عليه علامات ايضاحية تبين</w:t>
      </w:r>
      <w:r>
        <w:rPr>
          <w:rFonts w:cs="Arial" w:hint="cs"/>
          <w:sz w:val="32"/>
          <w:szCs w:val="32"/>
          <w:rtl/>
        </w:rPr>
        <w:t xml:space="preserve"> تاريخ انتاجه</w:t>
      </w:r>
      <w:r>
        <w:rPr>
          <w:rFonts w:cs="Arial" w:hint="cs"/>
          <w:sz w:val="32"/>
          <w:szCs w:val="32"/>
          <w:rtl/>
        </w:rPr>
        <w:t xml:space="preserve"> </w:t>
      </w:r>
      <w:r>
        <w:rPr>
          <w:rFonts w:cs="Arial" w:hint="cs"/>
          <w:sz w:val="32"/>
          <w:szCs w:val="32"/>
          <w:rtl/>
        </w:rPr>
        <w:t>ومكان</w:t>
      </w:r>
      <w:r>
        <w:rPr>
          <w:rFonts w:cs="Arial" w:hint="cs"/>
          <w:sz w:val="32"/>
          <w:szCs w:val="32"/>
          <w:rtl/>
        </w:rPr>
        <w:t>ه</w:t>
      </w:r>
      <w:r>
        <w:rPr>
          <w:rFonts w:cs="Arial" w:hint="cs"/>
          <w:sz w:val="32"/>
          <w:szCs w:val="32"/>
          <w:rtl/>
        </w:rPr>
        <w:t xml:space="preserve"> </w:t>
      </w:r>
      <w:r>
        <w:rPr>
          <w:rFonts w:cs="Arial" w:hint="cs"/>
          <w:sz w:val="32"/>
          <w:szCs w:val="32"/>
          <w:rtl/>
        </w:rPr>
        <w:t>و</w:t>
      </w:r>
      <w:r>
        <w:rPr>
          <w:rFonts w:cs="Arial" w:hint="cs"/>
          <w:sz w:val="32"/>
          <w:szCs w:val="32"/>
          <w:rtl/>
        </w:rPr>
        <w:t>مركباته ...الخ، وطلبت النيابة العامة</w:t>
      </w:r>
      <w:r>
        <w:rPr>
          <w:rFonts w:cs="Arial" w:hint="cs"/>
          <w:sz w:val="32"/>
          <w:szCs w:val="32"/>
          <w:rtl/>
        </w:rPr>
        <w:t xml:space="preserve"> من المحكمة</w:t>
      </w:r>
      <w:r>
        <w:rPr>
          <w:rFonts w:cs="Arial" w:hint="cs"/>
          <w:sz w:val="32"/>
          <w:szCs w:val="32"/>
          <w:rtl/>
        </w:rPr>
        <w:t xml:space="preserve"> معاقبتهما بموجب المادتين (217 و 312) عقوبات والمادة (425) من قانون </w:t>
      </w:r>
      <w:r>
        <w:rPr>
          <w:rFonts w:cs="Arial" w:hint="cs"/>
          <w:sz w:val="32"/>
          <w:szCs w:val="32"/>
          <w:rtl/>
        </w:rPr>
        <w:t xml:space="preserve">المخالفات العامة والمواد (20 و 21 و 22 و 29) من قانون الرقابة على الاغذية وتنظيم تداولها، وقد توصلت المحكمة الابتدائية إلى الحكم بإدانة المتهمين بالتهمة المسندة اليهما وتغريم كل واحد منهما مبلغ خمسة الاف ريال للخزينة العامة والتعهد بعدم العودة إلى </w:t>
      </w:r>
      <w:r>
        <w:rPr>
          <w:rFonts w:cs="Arial" w:hint="cs"/>
          <w:sz w:val="32"/>
          <w:szCs w:val="32"/>
          <w:rtl/>
        </w:rPr>
        <w:t>إرتكاب</w:t>
      </w:r>
      <w:r>
        <w:rPr>
          <w:rFonts w:cs="Arial" w:hint="cs"/>
          <w:sz w:val="32"/>
          <w:szCs w:val="32"/>
          <w:rtl/>
        </w:rPr>
        <w:t xml:space="preserve"> هذه المخالفات، وقد ورد في أسباب الحكم الابتدائي </w:t>
      </w:r>
      <w:r>
        <w:rPr>
          <w:rFonts w:cs="Arial" w:hint="cs"/>
          <w:sz w:val="32"/>
          <w:szCs w:val="32"/>
          <w:rtl/>
        </w:rPr>
        <w:t>:</w:t>
      </w:r>
      <w:r>
        <w:rPr>
          <w:rFonts w:cs="Arial" w:hint="cs"/>
          <w:sz w:val="32"/>
          <w:szCs w:val="32"/>
          <w:rtl/>
        </w:rPr>
        <w:t>حيث ان المتهمين قد اعترفا بالمخالفات المنسوبة لهما و</w:t>
      </w:r>
      <w:r>
        <w:rPr>
          <w:rFonts w:cs="Arial" w:hint="cs"/>
          <w:sz w:val="32"/>
          <w:szCs w:val="32"/>
          <w:rtl/>
        </w:rPr>
        <w:t xml:space="preserve">ابديا توبتهما وعدم عودتهما إلى تلك المخالفات، فقامت النيابة العامة باستئناف الحكم الابتدائي حيث قبلت الشعبة الجزائية الاستئناف وقضت بتعديل العقوبة إلى حبس المتهمين لمدة ثلاثة أشهر مع وقف التنفيذ، فلم يقبل المتهمان بالحكم الاستئنافي حيث قاما بالطعن فيه بالنقض فقبلت الدائرة الجزائية الطعن ونقضت الحكم، وقد ورد ضمن أسباب حكم المحكمة العليا (وبالرجوع إلى أوراق القضية فقد وجدت الدائرة أن الطاعنين قد عابا على الحكم الاستئنافي أنه لم يتحقق من المواد المضافة إلى العصائر والتأكد مما اذا كانت مضرة ووجه الضرر فيها، والدائرة تجد أن تلك المناعي في محلها لان المادة المضافة إلى العصائر لم يتم </w:t>
      </w:r>
      <w:r>
        <w:rPr>
          <w:rFonts w:cs="Arial" w:hint="cs"/>
          <w:sz w:val="32"/>
          <w:szCs w:val="32"/>
          <w:rtl/>
        </w:rPr>
        <w:t xml:space="preserve">فحصها في أي مختبر رسمي بل أنه تم اتلافها فوراً بحسب ما جاء في محضر الضبط كما لم يتم فحص العصير ذاته حتى يتم التأكد من انهما قد استخدما تلك المادة في العصير ومن ثم فان الحكم المطعون فيه جاء مخالفاً للقانون) وسيكون تعليقنا على هذا الحكم حسب </w:t>
      </w:r>
      <w:r>
        <w:rPr>
          <w:rFonts w:cs="Arial" w:hint="cs"/>
          <w:sz w:val="32"/>
          <w:szCs w:val="32"/>
          <w:rtl/>
        </w:rPr>
        <w:t>ماهو</w:t>
      </w:r>
      <w:r>
        <w:rPr>
          <w:rFonts w:cs="Arial" w:hint="cs"/>
          <w:sz w:val="32"/>
          <w:szCs w:val="32"/>
          <w:rtl/>
        </w:rPr>
        <w:t xml:space="preserve"> مبين في الاوجه الأتية : </w:t>
      </w:r>
    </w:p>
    <w:p>
      <w:pPr>
        <w:pStyle w:val="style0"/>
        <w:jc w:val="lowKashida"/>
        <w:rPr>
          <w:rFonts w:cs="Arial" w:hint="cs"/>
          <w:sz w:val="32"/>
          <w:szCs w:val="32"/>
          <w:rtl/>
        </w:rPr>
      </w:pPr>
      <w:r>
        <w:rPr>
          <w:rFonts w:cs="Arial" w:hint="cs"/>
          <w:sz w:val="32"/>
          <w:szCs w:val="32"/>
          <w:rtl/>
        </w:rPr>
        <w:t>الو</w:t>
      </w:r>
      <w:r>
        <w:rPr>
          <w:rFonts w:cs="Arial" w:hint="cs"/>
          <w:sz w:val="32"/>
          <w:szCs w:val="32"/>
          <w:rtl/>
        </w:rPr>
        <w:t xml:space="preserve">جه الأول : ظاهرة الغش في </w:t>
      </w:r>
      <w:r>
        <w:rPr>
          <w:rFonts w:cs="Arial" w:hint="cs"/>
          <w:sz w:val="32"/>
          <w:szCs w:val="32"/>
          <w:rtl/>
        </w:rPr>
        <w:t>البوفيات</w:t>
      </w:r>
      <w:r>
        <w:rPr>
          <w:rFonts w:cs="Arial" w:hint="cs"/>
          <w:sz w:val="32"/>
          <w:szCs w:val="32"/>
          <w:rtl/>
        </w:rPr>
        <w:t xml:space="preserve"> : </w:t>
      </w:r>
    </w:p>
    <w:p>
      <w:pPr>
        <w:pStyle w:val="style0"/>
        <w:jc w:val="lowKashida"/>
        <w:rPr>
          <w:rFonts w:cs="Arial" w:hint="cs"/>
          <w:sz w:val="32"/>
          <w:szCs w:val="32"/>
          <w:rtl/>
        </w:rPr>
      </w:pPr>
      <w:r>
        <w:rPr>
          <w:rFonts w:cs="Arial" w:hint="cs"/>
          <w:sz w:val="32"/>
          <w:szCs w:val="32"/>
          <w:rtl/>
        </w:rPr>
        <w:t xml:space="preserve">يكشف الحكم محل تعليقنا عن الغش الذي يتم في </w:t>
      </w:r>
      <w:r>
        <w:rPr>
          <w:rFonts w:cs="Arial" w:hint="cs"/>
          <w:sz w:val="32"/>
          <w:szCs w:val="32"/>
          <w:rtl/>
        </w:rPr>
        <w:t>البوفيات</w:t>
      </w:r>
      <w:r>
        <w:rPr>
          <w:rFonts w:cs="Arial" w:hint="cs"/>
          <w:sz w:val="32"/>
          <w:szCs w:val="32"/>
          <w:rtl/>
        </w:rPr>
        <w:t xml:space="preserve"> </w:t>
      </w:r>
      <w:r>
        <w:rPr>
          <w:rFonts w:cs="Arial" w:hint="cs"/>
          <w:sz w:val="32"/>
          <w:szCs w:val="32"/>
          <w:rtl/>
        </w:rPr>
        <w:t>ا</w:t>
      </w:r>
      <w:r>
        <w:rPr>
          <w:rFonts w:cs="Arial" w:hint="cs"/>
          <w:sz w:val="32"/>
          <w:szCs w:val="32"/>
          <w:rtl/>
        </w:rPr>
        <w:t xml:space="preserve">وما يسمى </w:t>
      </w:r>
      <w:r>
        <w:rPr>
          <w:rFonts w:cs="Arial" w:hint="cs"/>
          <w:sz w:val="32"/>
          <w:szCs w:val="32"/>
          <w:rtl/>
        </w:rPr>
        <w:t>بالكافتيريات</w:t>
      </w:r>
      <w:r>
        <w:rPr>
          <w:rFonts w:cs="Arial" w:hint="cs"/>
          <w:sz w:val="32"/>
          <w:szCs w:val="32"/>
          <w:rtl/>
        </w:rPr>
        <w:t xml:space="preserve"> بل ان الغش ظاهر ومشاهد </w:t>
      </w:r>
      <w:r>
        <w:rPr>
          <w:rFonts w:cs="Arial" w:hint="cs"/>
          <w:sz w:val="32"/>
          <w:szCs w:val="32"/>
          <w:rtl/>
        </w:rPr>
        <w:t>لكل ذي بصر وبصيرة، فباعة الفواكه</w:t>
      </w:r>
      <w:r>
        <w:rPr>
          <w:rFonts w:cs="Arial" w:hint="cs"/>
          <w:sz w:val="32"/>
          <w:szCs w:val="32"/>
          <w:rtl/>
        </w:rPr>
        <w:t xml:space="preserve"> يج</w:t>
      </w:r>
      <w:r>
        <w:rPr>
          <w:rFonts w:cs="Arial" w:hint="cs"/>
          <w:sz w:val="32"/>
          <w:szCs w:val="32"/>
          <w:rtl/>
        </w:rPr>
        <w:t>ن</w:t>
      </w:r>
      <w:r>
        <w:rPr>
          <w:rFonts w:cs="Arial" w:hint="cs"/>
          <w:sz w:val="32"/>
          <w:szCs w:val="32"/>
          <w:rtl/>
        </w:rPr>
        <w:t xml:space="preserve">بون الفاكهة الفاسدة وعندما تسألهم عن مصيرها يقولون لك (هذا </w:t>
      </w:r>
      <w:r>
        <w:rPr>
          <w:rFonts w:cs="Arial" w:hint="cs"/>
          <w:sz w:val="32"/>
          <w:szCs w:val="32"/>
          <w:rtl/>
        </w:rPr>
        <w:t>للبوفيات</w:t>
      </w:r>
      <w:r>
        <w:rPr>
          <w:rFonts w:cs="Arial" w:hint="cs"/>
          <w:sz w:val="32"/>
          <w:szCs w:val="32"/>
          <w:rtl/>
        </w:rPr>
        <w:t xml:space="preserve">) أن أنه يباع بمبالغ زهيدة </w:t>
      </w:r>
      <w:r>
        <w:rPr>
          <w:rFonts w:cs="Arial" w:hint="cs"/>
          <w:sz w:val="32"/>
          <w:szCs w:val="32"/>
          <w:rtl/>
        </w:rPr>
        <w:t>للبوفيات</w:t>
      </w:r>
      <w:r>
        <w:rPr>
          <w:rFonts w:cs="Arial" w:hint="cs"/>
          <w:sz w:val="32"/>
          <w:szCs w:val="32"/>
          <w:rtl/>
        </w:rPr>
        <w:t xml:space="preserve"> كي تصنع منه العصير بعد ان تدخل عليه بعض المواد لتحسين رائحته وطعمه</w:t>
      </w:r>
      <w:r>
        <w:rPr>
          <w:rFonts w:cs="Arial" w:hint="cs"/>
          <w:sz w:val="32"/>
          <w:szCs w:val="32"/>
          <w:rtl/>
        </w:rPr>
        <w:t>،</w:t>
      </w:r>
      <w:r>
        <w:rPr>
          <w:rFonts w:cs="Arial" w:hint="cs"/>
          <w:sz w:val="32"/>
          <w:szCs w:val="32"/>
          <w:rtl/>
        </w:rPr>
        <w:t xml:space="preserve"> فليس خافياً ان </w:t>
      </w:r>
      <w:r>
        <w:rPr>
          <w:rFonts w:cs="Arial" w:hint="cs"/>
          <w:sz w:val="32"/>
          <w:szCs w:val="32"/>
          <w:rtl/>
        </w:rPr>
        <w:t>البوفيات</w:t>
      </w:r>
      <w:r>
        <w:rPr>
          <w:rFonts w:cs="Arial" w:hint="cs"/>
          <w:sz w:val="32"/>
          <w:szCs w:val="32"/>
          <w:rtl/>
        </w:rPr>
        <w:t xml:space="preserve"> هي المستهلك الرئيسي </w:t>
      </w:r>
      <w:r>
        <w:rPr>
          <w:rFonts w:cs="Arial" w:hint="cs"/>
          <w:sz w:val="32"/>
          <w:szCs w:val="32"/>
          <w:rtl/>
        </w:rPr>
        <w:t>للأطعمة</w:t>
      </w:r>
      <w:r>
        <w:rPr>
          <w:rFonts w:cs="Arial" w:hint="cs"/>
          <w:sz w:val="32"/>
          <w:szCs w:val="32"/>
          <w:rtl/>
        </w:rPr>
        <w:t xml:space="preserve"> والعصائر وال</w:t>
      </w:r>
      <w:r>
        <w:rPr>
          <w:rFonts w:cs="Arial" w:hint="cs"/>
          <w:sz w:val="32"/>
          <w:szCs w:val="32"/>
          <w:rtl/>
        </w:rPr>
        <w:t>مع</w:t>
      </w:r>
      <w:r>
        <w:rPr>
          <w:rFonts w:cs="Arial" w:hint="cs"/>
          <w:sz w:val="32"/>
          <w:szCs w:val="32"/>
          <w:rtl/>
        </w:rPr>
        <w:t xml:space="preserve">لبات التي انتهت صلاحيتها </w:t>
      </w:r>
      <w:r>
        <w:rPr>
          <w:rFonts w:cs="Arial" w:hint="cs"/>
          <w:sz w:val="32"/>
          <w:szCs w:val="32"/>
          <w:rtl/>
        </w:rPr>
        <w:t>،</w:t>
      </w:r>
      <w:r>
        <w:rPr>
          <w:rFonts w:cs="Arial" w:hint="cs"/>
          <w:sz w:val="32"/>
          <w:szCs w:val="32"/>
          <w:rtl/>
        </w:rPr>
        <w:t xml:space="preserve">فباعة هذه المواد يصرحون بذلك للكافة، </w:t>
      </w:r>
      <w:r>
        <w:rPr>
          <w:rFonts w:cs="Arial" w:hint="cs"/>
          <w:sz w:val="32"/>
          <w:szCs w:val="32"/>
          <w:rtl/>
        </w:rPr>
        <w:t xml:space="preserve">ولا ريب ان هناك اضرار فادحة تصيب عامة الناس المرتادين لتلك </w:t>
      </w:r>
      <w:r>
        <w:rPr>
          <w:rFonts w:cs="Arial" w:hint="cs"/>
          <w:sz w:val="32"/>
          <w:szCs w:val="32"/>
          <w:rtl/>
        </w:rPr>
        <w:t>البوفيات</w:t>
      </w:r>
      <w:r>
        <w:rPr>
          <w:rFonts w:cs="Arial" w:hint="cs"/>
          <w:sz w:val="32"/>
          <w:szCs w:val="32"/>
          <w:rtl/>
        </w:rPr>
        <w:t xml:space="preserve">، فحالات التسمم </w:t>
      </w:r>
      <w:r>
        <w:rPr>
          <w:rFonts w:cs="Arial" w:hint="cs"/>
          <w:sz w:val="32"/>
          <w:szCs w:val="32"/>
          <w:rtl/>
        </w:rPr>
        <w:t>والاسهالات</w:t>
      </w:r>
      <w:r>
        <w:rPr>
          <w:rFonts w:cs="Arial" w:hint="cs"/>
          <w:sz w:val="32"/>
          <w:szCs w:val="32"/>
          <w:rtl/>
        </w:rPr>
        <w:t xml:space="preserve"> والامراض الخفيفة والخطيرة </w:t>
      </w:r>
      <w:r>
        <w:rPr>
          <w:rFonts w:cs="Arial" w:hint="cs"/>
          <w:sz w:val="32"/>
          <w:szCs w:val="32"/>
          <w:rtl/>
        </w:rPr>
        <w:t xml:space="preserve">يكون سببها تناول العصائر والوجبات السريعة، ونظراً لجسامة هذه المخالفات وخطورتها على المجتمع </w:t>
      </w:r>
      <w:r>
        <w:rPr>
          <w:rFonts w:cs="Arial" w:hint="cs"/>
          <w:sz w:val="32"/>
          <w:szCs w:val="32"/>
          <w:rtl/>
        </w:rPr>
        <w:t xml:space="preserve">ينبغي ان تكون العقوبات المقررة عليها رادعة حتى تتناسب مع هذه الأفعال </w:t>
      </w:r>
      <w:r>
        <w:rPr>
          <w:rFonts w:cs="Arial" w:hint="cs"/>
          <w:sz w:val="32"/>
          <w:szCs w:val="32"/>
          <w:rtl/>
        </w:rPr>
        <w:t xml:space="preserve">البالغة الخطورة والتي تلحق </w:t>
      </w:r>
      <w:r>
        <w:rPr>
          <w:rFonts w:cs="Arial" w:hint="cs"/>
          <w:sz w:val="32"/>
          <w:szCs w:val="32"/>
          <w:rtl/>
        </w:rPr>
        <w:t>بالإنسان</w:t>
      </w:r>
      <w:r>
        <w:rPr>
          <w:rFonts w:cs="Arial" w:hint="cs"/>
          <w:sz w:val="32"/>
          <w:szCs w:val="32"/>
          <w:rtl/>
        </w:rPr>
        <w:t xml:space="preserve"> اضراراً فادحة وتعطل وظيفة الدولة في الحفاظ على الصحة العامة</w:t>
      </w:r>
      <w:r>
        <w:rPr>
          <w:rFonts w:cs="Arial" w:hint="cs"/>
          <w:sz w:val="32"/>
          <w:szCs w:val="32"/>
          <w:rtl/>
        </w:rPr>
        <w:t xml:space="preserve"> </w:t>
      </w:r>
      <w:r>
        <w:rPr>
          <w:rFonts w:cs="Arial" w:hint="cs"/>
          <w:sz w:val="32"/>
          <w:szCs w:val="32"/>
          <w:rtl/>
        </w:rPr>
        <w:t xml:space="preserve">للمجتمع </w:t>
      </w:r>
      <w:r>
        <w:rPr>
          <w:rFonts w:cs="Arial" w:hint="cs"/>
          <w:sz w:val="32"/>
          <w:szCs w:val="32"/>
          <w:rtl/>
        </w:rPr>
        <w:t xml:space="preserve">، فليس من المناسب في السياسة العقابية </w:t>
      </w:r>
      <w:r>
        <w:rPr>
          <w:rFonts w:cs="Arial" w:hint="cs"/>
          <w:sz w:val="32"/>
          <w:szCs w:val="32"/>
          <w:rtl/>
        </w:rPr>
        <w:t xml:space="preserve">الحديثة </w:t>
      </w:r>
      <w:r>
        <w:rPr>
          <w:rFonts w:cs="Arial" w:hint="cs"/>
          <w:sz w:val="32"/>
          <w:szCs w:val="32"/>
          <w:rtl/>
        </w:rPr>
        <w:t>ان تكون عقوبة هذه الافعال الغرامة خمسة الاف ريالاً أو الحبس ثلاثة أشهر مع وقف التنفيذ</w:t>
      </w:r>
      <w:r>
        <w:rPr>
          <w:rFonts w:cs="Arial" w:hint="cs"/>
          <w:sz w:val="32"/>
          <w:szCs w:val="32"/>
          <w:rtl/>
        </w:rPr>
        <w:t>!!!!!</w:t>
      </w:r>
      <w:r>
        <w:rPr>
          <w:rFonts w:cs="Arial" w:hint="cs"/>
          <w:sz w:val="32"/>
          <w:szCs w:val="32"/>
          <w:rtl/>
        </w:rPr>
        <w:t>.</w:t>
      </w:r>
      <w:r>
        <w:rPr>
          <w:rFonts w:cs="Arial" w:hint="cs"/>
          <w:sz w:val="32"/>
          <w:szCs w:val="32"/>
          <w:rtl/>
        </w:rPr>
        <w:t xml:space="preserve"> </w:t>
      </w:r>
    </w:p>
    <w:p>
      <w:pPr>
        <w:pStyle w:val="style0"/>
        <w:jc w:val="lowKashida"/>
        <w:rPr>
          <w:rFonts w:cs="Arial" w:hint="cs"/>
          <w:b/>
          <w:bCs/>
          <w:sz w:val="32"/>
          <w:szCs w:val="32"/>
          <w:rtl/>
        </w:rPr>
      </w:pPr>
      <w:r>
        <w:rPr>
          <w:rFonts w:cs="Arial" w:hint="cs"/>
          <w:b/>
          <w:bCs/>
          <w:sz w:val="32"/>
          <w:szCs w:val="32"/>
          <w:rtl/>
        </w:rPr>
        <w:t xml:space="preserve">الوجه الثاني : الوضعية القانونية لجرائم الغش في </w:t>
      </w:r>
      <w:r>
        <w:rPr>
          <w:rFonts w:cs="Arial" w:hint="cs"/>
          <w:b/>
          <w:bCs/>
          <w:sz w:val="32"/>
          <w:szCs w:val="32"/>
          <w:rtl/>
        </w:rPr>
        <w:t>البوفيات</w:t>
      </w:r>
      <w:r>
        <w:rPr>
          <w:rFonts w:cs="Arial" w:hint="cs"/>
          <w:b/>
          <w:bCs/>
          <w:sz w:val="32"/>
          <w:szCs w:val="32"/>
          <w:rtl/>
        </w:rPr>
        <w:t xml:space="preserve"> : </w:t>
      </w:r>
    </w:p>
    <w:p>
      <w:pPr>
        <w:pStyle w:val="style0"/>
        <w:jc w:val="lowKashida"/>
        <w:rPr>
          <w:rFonts w:cs="Arial" w:hint="cs"/>
          <w:sz w:val="32"/>
          <w:szCs w:val="32"/>
          <w:rtl/>
        </w:rPr>
      </w:pPr>
      <w:r>
        <w:rPr>
          <w:rFonts w:cs="Arial" w:hint="cs"/>
          <w:sz w:val="32"/>
          <w:szCs w:val="32"/>
          <w:rtl/>
        </w:rPr>
        <w:t>من خلال المطالعة للحكمين الابتدائي والاستئنافي نجد أنهما قد استندا إلى قانون</w:t>
      </w:r>
      <w:r>
        <w:rPr>
          <w:rFonts w:cs="Arial" w:hint="cs"/>
          <w:sz w:val="32"/>
          <w:szCs w:val="32"/>
          <w:rtl/>
        </w:rPr>
        <w:t xml:space="preserve"> </w:t>
      </w:r>
      <w:r>
        <w:rPr>
          <w:rFonts w:cs="Arial" w:hint="cs"/>
          <w:sz w:val="32"/>
          <w:szCs w:val="32"/>
          <w:rtl/>
        </w:rPr>
        <w:t xml:space="preserve">الجرائم والعقوبات وقانون الرقابة على الاغذية وقانون المخالفات العامة، ومع خطورة </w:t>
      </w:r>
      <w:r>
        <w:rPr>
          <w:rFonts w:cs="Arial" w:hint="cs"/>
          <w:sz w:val="32"/>
          <w:szCs w:val="32"/>
          <w:rtl/>
        </w:rPr>
        <w:t xml:space="preserve">عش العصائر </w:t>
      </w:r>
      <w:r>
        <w:rPr>
          <w:rFonts w:cs="Arial" w:hint="cs"/>
          <w:sz w:val="32"/>
          <w:szCs w:val="32"/>
          <w:rtl/>
        </w:rPr>
        <w:t>والاطعمة،</w:t>
      </w:r>
      <w:r>
        <w:rPr>
          <w:rFonts w:cs="Arial" w:hint="cs"/>
          <w:sz w:val="32"/>
          <w:szCs w:val="32"/>
          <w:rtl/>
        </w:rPr>
        <w:t xml:space="preserve"> </w:t>
      </w:r>
      <w:r>
        <w:rPr>
          <w:rFonts w:cs="Arial" w:hint="cs"/>
          <w:sz w:val="32"/>
          <w:szCs w:val="32"/>
          <w:rtl/>
        </w:rPr>
        <w:t xml:space="preserve">ومع انها من الافعال التي تندرج ضمن افعال جريمة الغش المنصوص عليها في المادة (312) من قانون الجرائم والعقوبات إلا أنه تم التعامل مع القضية على أساس انها مخالفة بموجب قانون الأحكام العامة للمخالفات وقانون الرقابة على الاغذية، وقد كان الأولى من وجهة نظرنا التعامل مع القضية على أساس انها جريمة غش بمقتضى قانون الجرائم والعقوبات. </w:t>
      </w:r>
    </w:p>
    <w:p>
      <w:pPr>
        <w:pStyle w:val="style0"/>
        <w:jc w:val="lowKashida"/>
        <w:rPr>
          <w:rFonts w:cs="Arial" w:hint="cs"/>
          <w:b/>
          <w:bCs/>
          <w:sz w:val="32"/>
          <w:szCs w:val="32"/>
          <w:rtl/>
        </w:rPr>
      </w:pPr>
      <w:r>
        <w:rPr>
          <w:rFonts w:cs="Arial" w:hint="cs"/>
          <w:b/>
          <w:bCs/>
          <w:sz w:val="32"/>
          <w:szCs w:val="32"/>
          <w:rtl/>
        </w:rPr>
        <w:t xml:space="preserve">الوجه الثالث : المسئولية عن الغش في </w:t>
      </w:r>
      <w:r>
        <w:rPr>
          <w:rFonts w:cs="Arial" w:hint="cs"/>
          <w:b/>
          <w:bCs/>
          <w:sz w:val="32"/>
          <w:szCs w:val="32"/>
          <w:rtl/>
        </w:rPr>
        <w:t>البوفيات</w:t>
      </w:r>
      <w:r>
        <w:rPr>
          <w:rFonts w:cs="Arial" w:hint="cs"/>
          <w:b/>
          <w:bCs/>
          <w:sz w:val="32"/>
          <w:szCs w:val="32"/>
          <w:rtl/>
        </w:rPr>
        <w:t xml:space="preserve"> : </w:t>
      </w:r>
    </w:p>
    <w:p>
      <w:pPr>
        <w:pStyle w:val="style0"/>
        <w:jc w:val="lowKashida"/>
        <w:rPr>
          <w:rFonts w:cs="Arial" w:hint="cs"/>
          <w:sz w:val="32"/>
          <w:szCs w:val="32"/>
          <w:rtl/>
        </w:rPr>
      </w:pPr>
      <w:r>
        <w:rPr>
          <w:rFonts w:cs="Arial" w:hint="cs"/>
          <w:sz w:val="32"/>
          <w:szCs w:val="32"/>
          <w:rtl/>
        </w:rPr>
        <w:t>من خلال مطالعة الح</w:t>
      </w:r>
      <w:r>
        <w:rPr>
          <w:rFonts w:cs="Arial" w:hint="cs"/>
          <w:sz w:val="32"/>
          <w:szCs w:val="32"/>
          <w:rtl/>
        </w:rPr>
        <w:t xml:space="preserve">كم محل تعليقنا نجد أن المتهمين يمتلك كل واحد منهما مجموعة بوفيات في المدينة وغيرها، ومعلوم ان </w:t>
      </w:r>
      <w:r>
        <w:rPr>
          <w:rFonts w:cs="Arial" w:hint="cs"/>
          <w:sz w:val="32"/>
          <w:szCs w:val="32"/>
          <w:rtl/>
        </w:rPr>
        <w:t>البوفيات</w:t>
      </w:r>
      <w:r>
        <w:rPr>
          <w:rFonts w:cs="Arial" w:hint="cs"/>
          <w:sz w:val="32"/>
          <w:szCs w:val="32"/>
          <w:rtl/>
        </w:rPr>
        <w:t xml:space="preserve"> لها اسماء تجارية وتراخيص حيث تعد اشخاص</w:t>
      </w:r>
      <w:r>
        <w:rPr>
          <w:rFonts w:cs="Arial" w:hint="cs"/>
          <w:sz w:val="32"/>
          <w:szCs w:val="32"/>
          <w:rtl/>
        </w:rPr>
        <w:t>ا</w:t>
      </w:r>
      <w:r>
        <w:rPr>
          <w:rFonts w:cs="Arial" w:hint="cs"/>
          <w:sz w:val="32"/>
          <w:szCs w:val="32"/>
          <w:rtl/>
        </w:rPr>
        <w:t xml:space="preserve"> اعتبارية، وهذا الأمر يثير بيان المسئولية الجزائية </w:t>
      </w:r>
      <w:r>
        <w:rPr>
          <w:rFonts w:cs="Arial" w:hint="cs"/>
          <w:sz w:val="32"/>
          <w:szCs w:val="32"/>
          <w:rtl/>
        </w:rPr>
        <w:t xml:space="preserve">للشخص الاعتباري </w:t>
      </w:r>
      <w:r>
        <w:rPr>
          <w:rFonts w:cs="Arial" w:hint="cs"/>
          <w:sz w:val="32"/>
          <w:szCs w:val="32"/>
          <w:rtl/>
        </w:rPr>
        <w:t>(</w:t>
      </w:r>
      <w:r>
        <w:rPr>
          <w:rFonts w:cs="Arial" w:hint="cs"/>
          <w:sz w:val="32"/>
          <w:szCs w:val="32"/>
          <w:rtl/>
        </w:rPr>
        <w:t>البوفي</w:t>
      </w:r>
      <w:r>
        <w:rPr>
          <w:rFonts w:cs="Arial" w:hint="cs"/>
          <w:sz w:val="32"/>
          <w:szCs w:val="32"/>
          <w:rtl/>
        </w:rPr>
        <w:t>ة</w:t>
      </w:r>
      <w:r>
        <w:rPr>
          <w:rFonts w:cs="Arial" w:hint="cs"/>
          <w:sz w:val="32"/>
          <w:szCs w:val="32"/>
          <w:rtl/>
        </w:rPr>
        <w:t>)</w:t>
      </w:r>
      <w:r>
        <w:rPr>
          <w:rFonts w:cs="Arial" w:hint="cs"/>
          <w:sz w:val="32"/>
          <w:szCs w:val="32"/>
          <w:rtl/>
        </w:rPr>
        <w:t xml:space="preserve"> و</w:t>
      </w:r>
      <w:r>
        <w:rPr>
          <w:rFonts w:cs="Arial" w:hint="cs"/>
          <w:sz w:val="32"/>
          <w:szCs w:val="32"/>
          <w:rtl/>
        </w:rPr>
        <w:t>المسئولية الجزائية لمالك البوفي</w:t>
      </w:r>
      <w:r>
        <w:rPr>
          <w:rFonts w:cs="Arial" w:hint="cs"/>
          <w:sz w:val="32"/>
          <w:szCs w:val="32"/>
          <w:rtl/>
        </w:rPr>
        <w:t>ةوكذا ا</w:t>
      </w:r>
      <w:r>
        <w:rPr>
          <w:rFonts w:cs="Arial" w:hint="cs"/>
          <w:sz w:val="32"/>
          <w:szCs w:val="32"/>
          <w:rtl/>
        </w:rPr>
        <w:t xml:space="preserve">لمسئولية الجزائية للقائمين (المديرين) </w:t>
      </w:r>
      <w:r>
        <w:rPr>
          <w:rFonts w:cs="Arial" w:hint="cs"/>
          <w:sz w:val="32"/>
          <w:szCs w:val="32"/>
          <w:rtl/>
        </w:rPr>
        <w:t xml:space="preserve">البوفية </w:t>
      </w:r>
      <w:r>
        <w:rPr>
          <w:rFonts w:cs="Arial" w:hint="cs"/>
          <w:sz w:val="32"/>
          <w:szCs w:val="32"/>
          <w:rtl/>
        </w:rPr>
        <w:t>وعمال ا</w:t>
      </w:r>
      <w:r>
        <w:rPr>
          <w:rFonts w:cs="Arial" w:hint="cs"/>
          <w:sz w:val="32"/>
          <w:szCs w:val="32"/>
          <w:rtl/>
        </w:rPr>
        <w:t>لبوفي</w:t>
      </w:r>
      <w:r>
        <w:rPr>
          <w:rFonts w:cs="Arial" w:hint="cs"/>
          <w:sz w:val="32"/>
          <w:szCs w:val="32"/>
          <w:rtl/>
        </w:rPr>
        <w:t xml:space="preserve">ة </w:t>
      </w:r>
      <w:r>
        <w:rPr>
          <w:rFonts w:cs="Arial" w:hint="cs"/>
          <w:sz w:val="32"/>
          <w:szCs w:val="32"/>
          <w:rtl/>
        </w:rPr>
        <w:t xml:space="preserve">وذلك </w:t>
      </w:r>
      <w:r>
        <w:rPr>
          <w:rFonts w:cs="Arial" w:hint="cs"/>
          <w:sz w:val="32"/>
          <w:szCs w:val="32"/>
          <w:rtl/>
        </w:rPr>
        <w:t>بايجاز</w:t>
      </w:r>
      <w:r>
        <w:rPr>
          <w:rFonts w:cs="Arial" w:hint="cs"/>
          <w:sz w:val="32"/>
          <w:szCs w:val="32"/>
          <w:rtl/>
        </w:rPr>
        <w:t xml:space="preserve"> </w:t>
      </w:r>
      <w:r>
        <w:rPr>
          <w:rFonts w:cs="Arial" w:hint="cs"/>
          <w:sz w:val="32"/>
          <w:szCs w:val="32"/>
          <w:rtl/>
        </w:rPr>
        <w:t>،</w:t>
      </w:r>
      <w:r>
        <w:rPr>
          <w:rFonts w:cs="Arial" w:hint="cs"/>
          <w:sz w:val="32"/>
          <w:szCs w:val="32"/>
          <w:rtl/>
        </w:rPr>
        <w:t>فمالك البوفي</w:t>
      </w:r>
      <w:r>
        <w:rPr>
          <w:rFonts w:cs="Arial" w:hint="cs"/>
          <w:sz w:val="32"/>
          <w:szCs w:val="32"/>
          <w:rtl/>
        </w:rPr>
        <w:t>ة</w:t>
      </w:r>
      <w:r>
        <w:rPr>
          <w:rFonts w:cs="Arial" w:hint="cs"/>
          <w:sz w:val="32"/>
          <w:szCs w:val="32"/>
          <w:rtl/>
        </w:rPr>
        <w:t xml:space="preserve"> مسئو</w:t>
      </w:r>
      <w:r>
        <w:rPr>
          <w:rFonts w:cs="Arial" w:hint="cs"/>
          <w:sz w:val="32"/>
          <w:szCs w:val="32"/>
          <w:rtl/>
        </w:rPr>
        <w:t xml:space="preserve">ل </w:t>
      </w:r>
      <w:r>
        <w:rPr>
          <w:rFonts w:cs="Arial" w:hint="cs"/>
          <w:sz w:val="32"/>
          <w:szCs w:val="32"/>
          <w:rtl/>
        </w:rPr>
        <w:t>جزائياً عن افعال الغش اذا كان هو الذي يقوم بجلب المواد المستعملة في الغش</w:t>
      </w:r>
      <w:r>
        <w:rPr>
          <w:rFonts w:cs="Arial" w:hint="cs"/>
          <w:sz w:val="32"/>
          <w:szCs w:val="32"/>
          <w:rtl/>
        </w:rPr>
        <w:t xml:space="preserve"> مثلثما حصل في القضية التي تناولها الحكم كما يكون </w:t>
      </w:r>
      <w:r>
        <w:rPr>
          <w:rFonts w:cs="Arial" w:hint="cs"/>
          <w:sz w:val="32"/>
          <w:szCs w:val="32"/>
          <w:rtl/>
        </w:rPr>
        <w:t>مالك البوفية مسؤ</w:t>
      </w:r>
      <w:r>
        <w:rPr>
          <w:rFonts w:cs="Arial" w:hint="cs"/>
          <w:sz w:val="32"/>
          <w:szCs w:val="32"/>
          <w:rtl/>
        </w:rPr>
        <w:t>و</w:t>
      </w:r>
      <w:r>
        <w:rPr>
          <w:rFonts w:cs="Arial" w:hint="cs"/>
          <w:sz w:val="32"/>
          <w:szCs w:val="32"/>
          <w:rtl/>
        </w:rPr>
        <w:t>لا</w:t>
      </w:r>
      <w:r>
        <w:rPr>
          <w:rFonts w:cs="Arial" w:hint="cs"/>
          <w:sz w:val="32"/>
          <w:szCs w:val="32"/>
          <w:rtl/>
        </w:rPr>
        <w:t xml:space="preserve"> </w:t>
      </w:r>
      <w:r>
        <w:rPr>
          <w:rFonts w:cs="Arial" w:hint="cs"/>
          <w:sz w:val="32"/>
          <w:szCs w:val="32"/>
          <w:rtl/>
        </w:rPr>
        <w:t xml:space="preserve">إذا قام </w:t>
      </w:r>
      <w:r>
        <w:rPr>
          <w:rFonts w:cs="Arial" w:hint="cs"/>
          <w:sz w:val="32"/>
          <w:szCs w:val="32"/>
          <w:rtl/>
        </w:rPr>
        <w:t xml:space="preserve"> بتوجيه القائمين على </w:t>
      </w:r>
      <w:r>
        <w:rPr>
          <w:rFonts w:cs="Arial" w:hint="cs"/>
          <w:sz w:val="32"/>
          <w:szCs w:val="32"/>
          <w:rtl/>
        </w:rPr>
        <w:t>البوفية</w:t>
      </w:r>
      <w:r>
        <w:rPr>
          <w:rFonts w:cs="Arial" w:hint="cs"/>
          <w:sz w:val="32"/>
          <w:szCs w:val="32"/>
          <w:rtl/>
        </w:rPr>
        <w:t xml:space="preserve"> بجلب تلك المواد اما اذا كان المديرون </w:t>
      </w:r>
      <w:r>
        <w:rPr>
          <w:rFonts w:cs="Arial" w:hint="cs"/>
          <w:sz w:val="32"/>
          <w:szCs w:val="32"/>
          <w:rtl/>
        </w:rPr>
        <w:t>للبوفية</w:t>
      </w:r>
      <w:r>
        <w:rPr>
          <w:rFonts w:cs="Arial" w:hint="cs"/>
          <w:sz w:val="32"/>
          <w:szCs w:val="32"/>
          <w:rtl/>
        </w:rPr>
        <w:t xml:space="preserve"> هم الذين يقومون بجلب المواد او يستبدلون المواد السليمة بمواد تالفة أو مخالفة فانهم المسئولون شخصياً عن افعال الغش. </w:t>
      </w:r>
    </w:p>
    <w:p>
      <w:pPr>
        <w:pStyle w:val="style0"/>
        <w:jc w:val="lowKashida"/>
        <w:rPr>
          <w:rFonts w:cs="Arial" w:hint="cs"/>
          <w:b/>
          <w:bCs/>
          <w:sz w:val="32"/>
          <w:szCs w:val="32"/>
          <w:rtl/>
        </w:rPr>
      </w:pPr>
      <w:r>
        <w:rPr>
          <w:rFonts w:cs="Arial" w:hint="cs"/>
          <w:b/>
          <w:bCs/>
          <w:sz w:val="32"/>
          <w:szCs w:val="32"/>
          <w:rtl/>
        </w:rPr>
        <w:t xml:space="preserve">الوجه الرابع : إثبات غش العصائر والاطعمة : </w:t>
      </w:r>
    </w:p>
    <w:p>
      <w:pPr>
        <w:pStyle w:val="style0"/>
        <w:jc w:val="lowKashida"/>
        <w:rPr>
          <w:rFonts w:cs="Arial"/>
          <w:sz w:val="32"/>
          <w:szCs w:val="32"/>
        </w:rPr>
      </w:pPr>
      <w:r>
        <w:rPr>
          <w:rFonts w:cs="Arial" w:hint="cs"/>
          <w:sz w:val="32"/>
          <w:szCs w:val="32"/>
          <w:rtl/>
        </w:rPr>
        <w:t xml:space="preserve">قضى الحكم محل تعليقنا بأن إثبات الغش في العصائر والاطعمة التي تبيعها </w:t>
      </w:r>
      <w:r>
        <w:rPr>
          <w:rFonts w:cs="Arial" w:hint="cs"/>
          <w:sz w:val="32"/>
          <w:szCs w:val="32"/>
          <w:rtl/>
        </w:rPr>
        <w:t>البوفيات</w:t>
      </w:r>
      <w:r>
        <w:rPr>
          <w:rFonts w:cs="Arial" w:hint="cs"/>
          <w:sz w:val="32"/>
          <w:szCs w:val="32"/>
          <w:rtl/>
        </w:rPr>
        <w:t xml:space="preserve"> وغيرها يحتاج إلى فحص مختبري </w:t>
      </w:r>
      <w:r>
        <w:rPr>
          <w:rFonts w:cs="Arial" w:hint="cs"/>
          <w:sz w:val="32"/>
          <w:szCs w:val="32"/>
          <w:rtl/>
        </w:rPr>
        <w:t xml:space="preserve">من جهة </w:t>
      </w:r>
      <w:r>
        <w:rPr>
          <w:rFonts w:cs="Arial" w:hint="cs"/>
          <w:sz w:val="32"/>
          <w:szCs w:val="32"/>
          <w:rtl/>
        </w:rPr>
        <w:t xml:space="preserve">رسمية كألهيئة العامة </w:t>
      </w:r>
      <w:r>
        <w:rPr>
          <w:rFonts w:cs="Arial" w:hint="cs"/>
          <w:sz w:val="32"/>
          <w:szCs w:val="32"/>
          <w:rtl/>
        </w:rPr>
        <w:t xml:space="preserve">للمواصفات </w:t>
      </w:r>
      <w:r>
        <w:rPr>
          <w:rFonts w:cs="Arial" w:hint="cs"/>
          <w:sz w:val="32"/>
          <w:szCs w:val="32"/>
          <w:rtl/>
        </w:rPr>
        <w:t xml:space="preserve">أو قسم </w:t>
      </w:r>
      <w:r>
        <w:rPr>
          <w:rFonts w:cs="Arial" w:hint="cs"/>
          <w:sz w:val="32"/>
          <w:szCs w:val="32"/>
          <w:rtl/>
        </w:rPr>
        <w:t xml:space="preserve">الأغذية </w:t>
      </w:r>
      <w:r>
        <w:rPr>
          <w:rFonts w:cs="Arial" w:hint="cs"/>
          <w:sz w:val="32"/>
          <w:szCs w:val="32"/>
          <w:rtl/>
        </w:rPr>
        <w:t>بكلية</w:t>
      </w:r>
      <w:r>
        <w:rPr>
          <w:rFonts w:cs="Arial" w:hint="cs"/>
          <w:sz w:val="32"/>
          <w:szCs w:val="32"/>
          <w:rtl/>
        </w:rPr>
        <w:t xml:space="preserve"> </w:t>
      </w:r>
      <w:r>
        <w:rPr>
          <w:rFonts w:cs="Arial" w:hint="cs"/>
          <w:sz w:val="32"/>
          <w:szCs w:val="32"/>
          <w:rtl/>
        </w:rPr>
        <w:t xml:space="preserve">الزراعة </w:t>
      </w:r>
      <w:r>
        <w:rPr>
          <w:rFonts w:cs="Arial" w:hint="cs"/>
          <w:sz w:val="32"/>
          <w:szCs w:val="32"/>
          <w:rtl/>
        </w:rPr>
        <w:t xml:space="preserve">في الجامعة </w:t>
      </w:r>
      <w:r>
        <w:rPr>
          <w:rFonts w:cs="Arial" w:hint="cs"/>
          <w:sz w:val="32"/>
          <w:szCs w:val="32"/>
          <w:rtl/>
        </w:rPr>
        <w:t>الحكومة حتى</w:t>
      </w:r>
      <w:r>
        <w:rPr>
          <w:rFonts w:cs="Arial" w:hint="cs"/>
          <w:sz w:val="32"/>
          <w:szCs w:val="32"/>
          <w:rtl/>
        </w:rPr>
        <w:t xml:space="preserve"> </w:t>
      </w:r>
      <w:r>
        <w:rPr>
          <w:rFonts w:cs="Arial" w:hint="cs"/>
          <w:sz w:val="32"/>
          <w:szCs w:val="32"/>
          <w:rtl/>
        </w:rPr>
        <w:t xml:space="preserve"> </w:t>
      </w:r>
      <w:r>
        <w:rPr>
          <w:rFonts w:cs="Arial" w:hint="cs"/>
          <w:sz w:val="32"/>
          <w:szCs w:val="32"/>
          <w:rtl/>
        </w:rPr>
        <w:t xml:space="preserve">يتم </w:t>
      </w:r>
      <w:r>
        <w:rPr>
          <w:rFonts w:cs="Arial" w:hint="cs"/>
          <w:sz w:val="32"/>
          <w:szCs w:val="32"/>
          <w:rtl/>
        </w:rPr>
        <w:t>ب</w:t>
      </w:r>
      <w:r>
        <w:rPr>
          <w:rFonts w:cs="Arial" w:hint="cs"/>
          <w:sz w:val="32"/>
          <w:szCs w:val="32"/>
          <w:rtl/>
        </w:rPr>
        <w:t>ي</w:t>
      </w:r>
      <w:r>
        <w:rPr>
          <w:rFonts w:cs="Arial" w:hint="cs"/>
          <w:sz w:val="32"/>
          <w:szCs w:val="32"/>
          <w:rtl/>
        </w:rPr>
        <w:t>ا</w:t>
      </w:r>
      <w:r>
        <w:rPr>
          <w:rFonts w:cs="Arial" w:hint="cs"/>
          <w:sz w:val="32"/>
          <w:szCs w:val="32"/>
          <w:rtl/>
        </w:rPr>
        <w:t>ن المواد التي يتكون منها العصير أو الطعام</w:t>
      </w:r>
      <w:r>
        <w:rPr>
          <w:rFonts w:cs="Arial" w:hint="cs"/>
          <w:sz w:val="32"/>
          <w:szCs w:val="32"/>
          <w:rtl/>
        </w:rPr>
        <w:t xml:space="preserve"> ،</w:t>
      </w:r>
      <w:r>
        <w:rPr>
          <w:rFonts w:cs="Arial" w:hint="cs"/>
          <w:sz w:val="32"/>
          <w:szCs w:val="32"/>
          <w:rtl/>
        </w:rPr>
        <w:t xml:space="preserve"> كما أن كل مادة غريبة تدخل في تركيب العصير </w:t>
      </w:r>
      <w:r>
        <w:rPr>
          <w:rFonts w:cs="Arial" w:hint="cs"/>
          <w:sz w:val="32"/>
          <w:szCs w:val="32"/>
          <w:rtl/>
        </w:rPr>
        <w:t>ا</w:t>
      </w:r>
      <w:r>
        <w:rPr>
          <w:rFonts w:cs="Arial" w:hint="cs"/>
          <w:sz w:val="32"/>
          <w:szCs w:val="32"/>
          <w:rtl/>
        </w:rPr>
        <w:t>و</w:t>
      </w:r>
      <w:r>
        <w:rPr>
          <w:rFonts w:cs="Arial" w:hint="cs"/>
          <w:sz w:val="32"/>
          <w:szCs w:val="32"/>
          <w:rtl/>
        </w:rPr>
        <w:t xml:space="preserve"> </w:t>
      </w:r>
      <w:r>
        <w:rPr>
          <w:rFonts w:cs="Arial" w:hint="cs"/>
          <w:sz w:val="32"/>
          <w:szCs w:val="32"/>
          <w:rtl/>
        </w:rPr>
        <w:t>الطعام ينبغي ان يتم فحصها مختبرياً لبيان الاضرار التي تلحق بالمتناول لها و</w:t>
      </w:r>
      <w:r>
        <w:rPr>
          <w:rFonts w:cs="Arial" w:hint="cs"/>
          <w:sz w:val="32"/>
          <w:szCs w:val="32"/>
          <w:rtl/>
        </w:rPr>
        <w:t xml:space="preserve">نسبة الضرر ومدى تأثيرها </w:t>
      </w:r>
      <w:r>
        <w:rPr>
          <w:rFonts w:cs="Arial" w:hint="cs"/>
          <w:sz w:val="32"/>
          <w:szCs w:val="32"/>
          <w:rtl/>
        </w:rPr>
        <w:t xml:space="preserve">على </w:t>
      </w:r>
      <w:r>
        <w:rPr>
          <w:rFonts w:cs="Arial" w:hint="cs"/>
          <w:sz w:val="32"/>
          <w:szCs w:val="32"/>
          <w:rtl/>
        </w:rPr>
        <w:t>م</w:t>
      </w:r>
      <w:r>
        <w:rPr>
          <w:rFonts w:cs="Arial" w:hint="cs"/>
          <w:sz w:val="32"/>
          <w:szCs w:val="32"/>
          <w:rtl/>
        </w:rPr>
        <w:t>تن</w:t>
      </w:r>
      <w:r>
        <w:rPr>
          <w:rFonts w:cs="Arial" w:hint="cs"/>
          <w:sz w:val="32"/>
          <w:szCs w:val="32"/>
          <w:rtl/>
        </w:rPr>
        <w:t>ا</w:t>
      </w:r>
      <w:r>
        <w:rPr>
          <w:rFonts w:cs="Arial" w:hint="cs"/>
          <w:sz w:val="32"/>
          <w:szCs w:val="32"/>
          <w:rtl/>
        </w:rPr>
        <w:t xml:space="preserve">ولها لما </w:t>
      </w:r>
      <w:r>
        <w:rPr>
          <w:rFonts w:cs="Arial" w:hint="cs"/>
          <w:sz w:val="32"/>
          <w:szCs w:val="32"/>
          <w:rtl/>
        </w:rPr>
        <w:t>لذلك من أهمية في إثبات فعل الغش وتق</w:t>
      </w:r>
      <w:bookmarkStart w:id="0" w:name="_GoBack"/>
      <w:bookmarkEnd w:id="0"/>
      <w:r>
        <w:rPr>
          <w:rFonts w:cs="Arial" w:hint="cs"/>
          <w:sz w:val="32"/>
          <w:szCs w:val="32"/>
          <w:rtl/>
        </w:rPr>
        <w:t>دير العقوبة المناسبة</w:t>
      </w:r>
      <w:r>
        <w:rPr>
          <w:rFonts w:cs="Arial" w:hint="cs"/>
          <w:sz w:val="32"/>
          <w:szCs w:val="32"/>
          <w:rtl/>
        </w:rPr>
        <w:t xml:space="preserve"> لهذا</w:t>
      </w:r>
      <w:r>
        <w:rPr>
          <w:rFonts w:cs="Arial" w:hint="cs"/>
          <w:sz w:val="32"/>
          <w:szCs w:val="32"/>
          <w:rtl/>
        </w:rPr>
        <w:t xml:space="preserve"> </w:t>
      </w:r>
      <w:r>
        <w:rPr>
          <w:rFonts w:cs="Arial" w:hint="cs"/>
          <w:sz w:val="32"/>
          <w:szCs w:val="32"/>
          <w:rtl/>
        </w:rPr>
        <w:t xml:space="preserve"> </w:t>
      </w:r>
      <w:r>
        <w:rPr>
          <w:rFonts w:cs="Arial" w:hint="cs"/>
          <w:sz w:val="32"/>
          <w:szCs w:val="32"/>
          <w:rtl/>
        </w:rPr>
        <w:t>ا</w:t>
      </w:r>
      <w:r>
        <w:rPr>
          <w:rFonts w:cs="Arial" w:hint="cs"/>
          <w:sz w:val="32"/>
          <w:szCs w:val="32"/>
          <w:rtl/>
        </w:rPr>
        <w:t>لفعل</w:t>
      </w:r>
      <w:r>
        <w:rPr>
          <w:rFonts w:cs="Arial" w:hint="cs"/>
          <w:sz w:val="32"/>
          <w:szCs w:val="32"/>
          <w:rtl/>
        </w:rPr>
        <w:t xml:space="preserve"> ،والله </w:t>
      </w:r>
      <w:r>
        <w:rPr>
          <w:rFonts w:cs="Arial" w:hint="cs"/>
          <w:sz w:val="32"/>
          <w:szCs w:val="32"/>
          <w:rtl/>
        </w:rPr>
        <w:t>أعلم.</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Arial">
    <w:altName w:val="Arial"/>
    <w:panose1 w:val="020b0604020002020204"/>
    <w:charset w:val="00"/>
    <w:family w:val="swiss"/>
    <w:pitch w:val="variable"/>
    <w:sig w:usb0="00002287" w:usb1="80000000" w:usb2="00000008" w:usb3="00000000" w:csb0="000000D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-691503</wp:posOffset>
          </wp:positionH>
          <wp:positionV relativeFrom="paragraph">
            <wp:posOffset>1708150</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587E0A"/>
    <w:lvl w:ilvl="0" w:tplc="FB942AAA">
      <w:start w:val="1"/>
      <w:numFmt w:val="arabicAlpha"/>
      <w:lvlText w:val="%1."/>
      <w:lvlJc w:val="left"/>
      <w:pPr>
        <w:ind w:left="900" w:hanging="54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920</Words>
  <Characters>4577</Characters>
  <Application>WPS Office</Application>
  <DocSecurity>0</DocSecurity>
  <Paragraphs>14</Paragraphs>
  <ScaleCrop>false</ScaleCrop>
  <Company>Ahmed-Under</Company>
  <LinksUpToDate>false</LinksUpToDate>
  <CharactersWithSpaces>5508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٢٠٢١-٠١-٢٠T١٦:٤٩:٠٤Z</dcterms:created>
  <dc:creator>الاسعدي للطباعة ت: 772877717</dc:creator>
  <lastModifiedBy>SM-T597P</lastModifiedBy>
  <dcterms:modified xsi:type="dcterms:W3CDTF">٢٠٢١-٠١-٢٠T١٦:٤٩:٠٤Z</dcterms:modified>
  <revision>11</revision>
</coreProperties>
</file>