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hint="cs"/>
          <w:b/>
          <w:bCs/>
          <w:sz w:val="32"/>
          <w:szCs w:val="32"/>
          <w:rtl/>
        </w:rPr>
        <w:t>إذا</w:t>
      </w:r>
      <w:r>
        <w:rPr>
          <w:rFonts w:cs="Arial"/>
          <w:b/>
          <w:bCs/>
          <w:sz w:val="32"/>
          <w:szCs w:val="32"/>
          <w:rtl/>
        </w:rPr>
        <w:t xml:space="preserve"> </w:t>
      </w:r>
      <w:r>
        <w:rPr>
          <w:rFonts w:cs="Arial" w:hint="cs"/>
          <w:b/>
          <w:bCs/>
          <w:sz w:val="32"/>
          <w:szCs w:val="32"/>
          <w:rtl/>
        </w:rPr>
        <w:t>تعذرت</w:t>
      </w:r>
      <w:r>
        <w:rPr>
          <w:rFonts w:cs="Arial"/>
          <w:b/>
          <w:bCs/>
          <w:sz w:val="32"/>
          <w:szCs w:val="32"/>
          <w:rtl/>
        </w:rPr>
        <w:t xml:space="preserve"> </w:t>
      </w:r>
      <w:r>
        <w:rPr>
          <w:rFonts w:cs="Arial" w:hint="cs"/>
          <w:b/>
          <w:bCs/>
          <w:sz w:val="32"/>
          <w:szCs w:val="32"/>
          <w:rtl/>
        </w:rPr>
        <w:t>قسمة</w:t>
      </w:r>
      <w:r>
        <w:rPr>
          <w:rFonts w:cs="Arial"/>
          <w:b/>
          <w:bCs/>
          <w:sz w:val="32"/>
          <w:szCs w:val="32"/>
          <w:rtl/>
        </w:rPr>
        <w:t xml:space="preserve"> </w:t>
      </w:r>
      <w:r>
        <w:rPr>
          <w:rFonts w:cs="Arial" w:hint="cs"/>
          <w:b/>
          <w:bCs/>
          <w:sz w:val="32"/>
          <w:szCs w:val="32"/>
          <w:rtl/>
        </w:rPr>
        <w:t>مال</w:t>
      </w:r>
      <w:r>
        <w:rPr>
          <w:rFonts w:cs="Arial"/>
          <w:b/>
          <w:bCs/>
          <w:sz w:val="32"/>
          <w:szCs w:val="32"/>
          <w:rtl/>
        </w:rPr>
        <w:t xml:space="preserve"> </w:t>
      </w:r>
      <w:r>
        <w:rPr>
          <w:rFonts w:cs="Arial" w:hint="cs"/>
          <w:b/>
          <w:bCs/>
          <w:sz w:val="32"/>
          <w:szCs w:val="32"/>
          <w:rtl/>
        </w:rPr>
        <w:t>كان</w:t>
      </w:r>
      <w:r>
        <w:rPr>
          <w:rFonts w:cs="Arial"/>
          <w:b/>
          <w:bCs/>
          <w:sz w:val="32"/>
          <w:szCs w:val="32"/>
          <w:rtl/>
        </w:rPr>
        <w:t xml:space="preserve"> </w:t>
      </w:r>
      <w:r>
        <w:rPr>
          <w:rFonts w:cs="Arial" w:hint="cs"/>
          <w:b/>
          <w:bCs/>
          <w:sz w:val="32"/>
          <w:szCs w:val="32"/>
          <w:rtl/>
        </w:rPr>
        <w:t>للورثة</w:t>
      </w:r>
      <w:r>
        <w:rPr>
          <w:rFonts w:cs="Arial"/>
          <w:b/>
          <w:bCs/>
          <w:sz w:val="32"/>
          <w:szCs w:val="32"/>
          <w:rtl/>
        </w:rPr>
        <w:t xml:space="preserve"> </w:t>
      </w:r>
      <w:r>
        <w:rPr>
          <w:rFonts w:cs="Arial" w:hint="cs"/>
          <w:b/>
          <w:bCs/>
          <w:sz w:val="32"/>
          <w:szCs w:val="32"/>
          <w:rtl/>
        </w:rPr>
        <w:t>الإنتفاع</w:t>
      </w:r>
      <w:r>
        <w:rPr>
          <w:rFonts w:cs="Arial"/>
          <w:b/>
          <w:bCs/>
          <w:sz w:val="32"/>
          <w:szCs w:val="32"/>
          <w:rtl/>
        </w:rPr>
        <w:t xml:space="preserve"> </w:t>
      </w:r>
      <w:r>
        <w:rPr>
          <w:rFonts w:cs="Arial" w:hint="cs"/>
          <w:b/>
          <w:bCs/>
          <w:sz w:val="32"/>
          <w:szCs w:val="32"/>
          <w:rtl/>
          <w:lang w:bidi="ar-DZ"/>
        </w:rPr>
        <w:t xml:space="preserve">المشترك </w:t>
      </w:r>
      <w:r>
        <w:rPr>
          <w:rFonts w:cs="Arial" w:hint="cs"/>
          <w:b/>
          <w:bCs/>
          <w:sz w:val="32"/>
          <w:szCs w:val="32"/>
          <w:rtl/>
        </w:rPr>
        <w:t>به</w:t>
      </w:r>
    </w:p>
    <w:p>
      <w:pPr>
        <w:pStyle w:val="style0"/>
        <w:jc w:val="right"/>
        <w:rPr>
          <w:rFonts w:hint="cs"/>
          <w:sz w:val="32"/>
          <w:szCs w:val="32"/>
          <w:rtl/>
        </w:rPr>
      </w:pPr>
      <w:r>
        <w:rPr>
          <w:rFonts w:hint="cs"/>
          <w:sz w:val="32"/>
          <w:szCs w:val="32"/>
          <w:rtl/>
        </w:rPr>
        <w:t>أ.د</w:t>
      </w:r>
      <w:r>
        <w:rPr>
          <w:rFonts w:hint="cs"/>
          <w:sz w:val="32"/>
          <w:szCs w:val="32"/>
          <w:rtl/>
        </w:rPr>
        <w:t xml:space="preserve">/ </w:t>
      </w:r>
      <w:r>
        <w:rPr>
          <w:rFonts w:hint="cs"/>
          <w:sz w:val="32"/>
          <w:szCs w:val="32"/>
          <w:rtl/>
        </w:rPr>
        <w:t>عبدالمؤمن</w:t>
      </w:r>
      <w:r>
        <w:rPr>
          <w:rFonts w:hint="cs"/>
          <w:sz w:val="32"/>
          <w:szCs w:val="32"/>
          <w:rtl/>
        </w:rPr>
        <w:t xml:space="preserve"> شجاع الدين</w:t>
      </w:r>
    </w:p>
    <w:p>
      <w:pPr>
        <w:pStyle w:val="style0"/>
        <w:jc w:val="right"/>
        <w:rPr>
          <w:rFonts w:hint="cs"/>
          <w:sz w:val="32"/>
          <w:szCs w:val="32"/>
          <w:rtl/>
        </w:rPr>
      </w:pPr>
      <w:r>
        <w:rPr>
          <w:rFonts w:hint="cs"/>
          <w:sz w:val="32"/>
          <w:szCs w:val="32"/>
          <w:rtl/>
        </w:rPr>
        <w:t xml:space="preserve">الأستاذ بكلية الشريعة والقانون </w:t>
      </w:r>
      <w:r>
        <w:rPr>
          <w:sz w:val="32"/>
          <w:szCs w:val="32"/>
          <w:rtl/>
        </w:rPr>
        <w:t>–</w:t>
      </w:r>
      <w:r>
        <w:rPr>
          <w:rFonts w:hint="cs"/>
          <w:sz w:val="32"/>
          <w:szCs w:val="32"/>
          <w:rtl/>
        </w:rPr>
        <w:t xml:space="preserve"> </w:t>
      </w:r>
      <w:r>
        <w:rPr>
          <w:rFonts w:hint="cs"/>
          <w:sz w:val="32"/>
          <w:szCs w:val="32"/>
          <w:rtl/>
        </w:rPr>
        <w:t>جامعة</w:t>
      </w:r>
      <w:r>
        <w:rPr>
          <w:rFonts w:hint="cs"/>
          <w:sz w:val="32"/>
          <w:szCs w:val="32"/>
          <w:rtl/>
        </w:rPr>
        <w:t xml:space="preserve"> صنعاء</w:t>
      </w:r>
    </w:p>
    <w:p>
      <w:pPr>
        <w:pStyle w:val="style0"/>
        <w:jc w:val="lowKashida"/>
        <w:rPr>
          <w:rFonts w:hint="cs"/>
          <w:sz w:val="32"/>
          <w:szCs w:val="32"/>
          <w:rtl/>
        </w:rPr>
      </w:pPr>
      <w:r>
        <w:rPr>
          <w:rFonts w:hint="cs"/>
          <w:sz w:val="32"/>
          <w:szCs w:val="32"/>
          <w:rtl/>
        </w:rPr>
        <w:t>في بعض الحالات تتعذر قسمة بعض الأموال بين الورثة بسبب طبيعة هذه الأموال</w:t>
      </w:r>
      <w:r>
        <w:rPr>
          <w:rFonts w:hint="cs"/>
          <w:sz w:val="32"/>
          <w:szCs w:val="32"/>
          <w:rtl/>
          <w:lang w:bidi="ar-DZ"/>
        </w:rPr>
        <w:t xml:space="preserve"> ووظيفتها،</w:t>
      </w:r>
      <w:r>
        <w:rPr>
          <w:rFonts w:hint="cs"/>
          <w:sz w:val="32"/>
          <w:szCs w:val="32"/>
          <w:rtl/>
        </w:rPr>
        <w:t xml:space="preserve"> ولذلك ينبغي تمكين كل الورثة من </w:t>
      </w:r>
      <w:r>
        <w:rPr>
          <w:rFonts w:hint="cs"/>
          <w:sz w:val="32"/>
          <w:szCs w:val="32"/>
          <w:rtl/>
        </w:rPr>
        <w:t>الإنتفاع</w:t>
      </w:r>
      <w:r>
        <w:rPr>
          <w:rFonts w:hint="cs"/>
          <w:sz w:val="32"/>
          <w:szCs w:val="32"/>
          <w:rtl/>
        </w:rPr>
        <w:t xml:space="preserve"> ب</w:t>
      </w:r>
      <w:r>
        <w:rPr>
          <w:rFonts w:hint="cs"/>
          <w:sz w:val="32"/>
          <w:szCs w:val="32"/>
          <w:rtl/>
          <w:lang w:bidi="ar-DZ"/>
        </w:rPr>
        <w:t xml:space="preserve">هذه </w:t>
      </w:r>
      <w:r>
        <w:rPr>
          <w:rFonts w:hint="cs"/>
          <w:sz w:val="32"/>
          <w:szCs w:val="32"/>
          <w:rtl/>
        </w:rPr>
        <w:t>ال</w:t>
      </w:r>
      <w:r>
        <w:rPr>
          <w:rFonts w:hint="cs"/>
          <w:sz w:val="32"/>
          <w:szCs w:val="32"/>
          <w:rtl/>
          <w:lang w:bidi="ar-DZ"/>
        </w:rPr>
        <w:t>ا</w:t>
      </w:r>
      <w:r>
        <w:rPr>
          <w:rFonts w:hint="cs"/>
          <w:sz w:val="32"/>
          <w:szCs w:val="32"/>
          <w:rtl/>
        </w:rPr>
        <w:t>م</w:t>
      </w:r>
      <w:r>
        <w:rPr>
          <w:rFonts w:hint="cs"/>
          <w:sz w:val="32"/>
          <w:szCs w:val="32"/>
          <w:rtl/>
          <w:lang w:bidi="ar-DZ"/>
        </w:rPr>
        <w:t>و</w:t>
      </w:r>
      <w:r>
        <w:rPr>
          <w:rFonts w:hint="cs"/>
          <w:sz w:val="32"/>
          <w:szCs w:val="32"/>
          <w:rtl/>
        </w:rPr>
        <w:t xml:space="preserve">ال كل وارث بحسب فريضته حسبما قضى الحكم الصادر عن الدائرة الشخصية في جلستها المنعقدة بتاريخ 30/9/2018م في الطعن رقم (60925)، الذي ورد في أسبابه ((اما من حيث الموضوع فقد ناقشت الدائرة أوراق القضية حيث وجدت الدائرة ان منطوق الحكم الاستئنافي بتأييد الحكم الابتدائي فيما قضى به في البند الثالث من منطوقه بشأن </w:t>
      </w:r>
      <w:r>
        <w:rPr>
          <w:rFonts w:hint="cs"/>
          <w:sz w:val="32"/>
          <w:szCs w:val="32"/>
          <w:rtl/>
          <w:lang w:bidi="ar-DZ"/>
        </w:rPr>
        <w:t>إ</w:t>
      </w:r>
      <w:r>
        <w:rPr>
          <w:rFonts w:hint="cs"/>
          <w:sz w:val="32"/>
          <w:szCs w:val="32"/>
          <w:rtl/>
        </w:rPr>
        <w:t>ستفادة جميع الورثة الاخوة الأربعة بالماء</w:t>
      </w:r>
      <w:r>
        <w:rPr>
          <w:rFonts w:hint="cs"/>
          <w:sz w:val="32"/>
          <w:szCs w:val="32"/>
          <w:rtl/>
          <w:lang w:bidi="ar-DZ"/>
        </w:rPr>
        <w:t>،</w:t>
      </w:r>
      <w:r>
        <w:rPr>
          <w:rFonts w:hint="cs"/>
          <w:sz w:val="32"/>
          <w:szCs w:val="32"/>
          <w:rtl/>
        </w:rPr>
        <w:t xml:space="preserve"> فذلك الحكم موافق من حيث النتيجة للشرع والقانون لما أوضحته هيئة المحكمة في حيثيات حكمها)) وسيكون تعليقنا على هذا الحكم حسب </w:t>
      </w:r>
      <w:r>
        <w:rPr>
          <w:rFonts w:hint="cs"/>
          <w:sz w:val="32"/>
          <w:szCs w:val="32"/>
          <w:rtl/>
        </w:rPr>
        <w:t>ماهو</w:t>
      </w:r>
      <w:r>
        <w:rPr>
          <w:rFonts w:hint="cs"/>
          <w:sz w:val="32"/>
          <w:szCs w:val="32"/>
          <w:rtl/>
        </w:rPr>
        <w:t xml:space="preserve"> مبين في الأوجه الأتية: </w:t>
      </w:r>
    </w:p>
    <w:p>
      <w:pPr>
        <w:pStyle w:val="style0"/>
        <w:jc w:val="lowKashida"/>
        <w:rPr>
          <w:rFonts w:hint="cs"/>
          <w:b/>
          <w:bCs/>
          <w:sz w:val="32"/>
          <w:szCs w:val="32"/>
          <w:rtl/>
        </w:rPr>
      </w:pPr>
      <w:r>
        <w:rPr>
          <w:rFonts w:hint="cs"/>
          <w:b/>
          <w:bCs/>
          <w:sz w:val="32"/>
          <w:szCs w:val="32"/>
          <w:rtl/>
        </w:rPr>
        <w:t xml:space="preserve">الوجه الأول: تعذر قسمة </w:t>
      </w:r>
      <w:r>
        <w:rPr>
          <w:rFonts w:hint="cs"/>
          <w:b/>
          <w:bCs/>
          <w:sz w:val="32"/>
          <w:szCs w:val="32"/>
          <w:rtl/>
        </w:rPr>
        <w:t>بعض  أموال</w:t>
      </w:r>
      <w:r>
        <w:rPr>
          <w:rFonts w:hint="cs"/>
          <w:b/>
          <w:bCs/>
          <w:sz w:val="32"/>
          <w:szCs w:val="32"/>
          <w:rtl/>
        </w:rPr>
        <w:t xml:space="preserve"> التركة: </w:t>
      </w:r>
    </w:p>
    <w:p>
      <w:pPr>
        <w:pStyle w:val="style0"/>
        <w:jc w:val="lowKashida"/>
        <w:rPr>
          <w:rFonts w:hint="cs"/>
          <w:sz w:val="32"/>
          <w:szCs w:val="32"/>
          <w:rtl/>
        </w:rPr>
      </w:pPr>
      <w:r>
        <w:rPr>
          <w:rFonts w:hint="cs"/>
          <w:sz w:val="32"/>
          <w:szCs w:val="32"/>
          <w:rtl/>
        </w:rPr>
        <w:t>عند قسمة التركات تتعذر قسمة بعض أموال التركة</w:t>
      </w:r>
      <w:r>
        <w:rPr>
          <w:rFonts w:hint="cs"/>
          <w:sz w:val="32"/>
          <w:szCs w:val="32"/>
          <w:rtl/>
          <w:lang w:bidi="ar-DZ"/>
        </w:rPr>
        <w:t>،</w:t>
      </w:r>
      <w:r>
        <w:rPr>
          <w:rFonts w:hint="cs"/>
          <w:sz w:val="32"/>
          <w:szCs w:val="32"/>
          <w:rtl/>
        </w:rPr>
        <w:t xml:space="preserve"> اما </w:t>
      </w:r>
      <w:r>
        <w:rPr>
          <w:rFonts w:hint="cs"/>
          <w:sz w:val="32"/>
          <w:szCs w:val="32"/>
          <w:rtl/>
        </w:rPr>
        <w:t>لانها</w:t>
      </w:r>
      <w:r>
        <w:rPr>
          <w:rFonts w:hint="cs"/>
          <w:sz w:val="32"/>
          <w:szCs w:val="32"/>
          <w:rtl/>
        </w:rPr>
        <w:t xml:space="preserve"> مخصصة </w:t>
      </w:r>
      <w:r>
        <w:rPr>
          <w:rFonts w:hint="cs"/>
          <w:sz w:val="32"/>
          <w:szCs w:val="32"/>
          <w:rtl/>
        </w:rPr>
        <w:t>للإنتفاع</w:t>
      </w:r>
      <w:r>
        <w:rPr>
          <w:rFonts w:hint="cs"/>
          <w:sz w:val="32"/>
          <w:szCs w:val="32"/>
          <w:rtl/>
        </w:rPr>
        <w:t xml:space="preserve"> المشترك بطبيعتها كمياه البئر أو مسقى</w:t>
      </w:r>
      <w:r>
        <w:rPr>
          <w:rFonts w:hint="default"/>
          <w:sz w:val="32"/>
          <w:szCs w:val="32"/>
          <w:rtl/>
          <w:lang w:val="en-US"/>
        </w:rPr>
        <w:t>(</w:t>
      </w:r>
      <w:r>
        <w:rPr>
          <w:rFonts w:hint="cs"/>
          <w:sz w:val="32"/>
          <w:szCs w:val="32"/>
          <w:rtl/>
          <w:lang w:val="en-US" w:bidi="ar-DZ"/>
        </w:rPr>
        <w:t>مشرب</w:t>
      </w:r>
      <w:r>
        <w:rPr>
          <w:rFonts w:hint="default"/>
          <w:sz w:val="32"/>
          <w:szCs w:val="32"/>
          <w:rtl/>
          <w:lang w:val="en-US"/>
        </w:rPr>
        <w:t>)</w:t>
      </w:r>
      <w:r>
        <w:rPr>
          <w:rFonts w:hint="cs"/>
          <w:sz w:val="32"/>
          <w:szCs w:val="32"/>
          <w:rtl/>
        </w:rPr>
        <w:t xml:space="preserve"> لمزرعة الورثة التي تم تقسيمها</w:t>
      </w:r>
      <w:r>
        <w:rPr>
          <w:rFonts w:hint="cs"/>
          <w:sz w:val="32"/>
          <w:szCs w:val="32"/>
          <w:rtl/>
          <w:lang w:bidi="ar-DZ"/>
        </w:rPr>
        <w:t>،</w:t>
      </w:r>
      <w:r>
        <w:rPr>
          <w:rFonts w:hint="cs"/>
          <w:sz w:val="32"/>
          <w:szCs w:val="32"/>
          <w:rtl/>
        </w:rPr>
        <w:t xml:space="preserve"> أو المرافق المشتركة للعمارة التي تم تقسيم </w:t>
      </w:r>
      <w:r>
        <w:rPr>
          <w:rFonts w:hint="cs"/>
          <w:sz w:val="32"/>
          <w:szCs w:val="32"/>
          <w:rtl/>
          <w:lang w:bidi="ar-DZ"/>
        </w:rPr>
        <w:t>شققها</w:t>
      </w:r>
      <w:r>
        <w:rPr>
          <w:rFonts w:hint="cs"/>
          <w:sz w:val="32"/>
          <w:szCs w:val="32"/>
          <w:rtl/>
        </w:rPr>
        <w:t xml:space="preserve"> بين الورثة أو الرهق التابع للأرض</w:t>
      </w:r>
      <w:r>
        <w:rPr>
          <w:rFonts w:hint="cs"/>
          <w:sz w:val="32"/>
          <w:szCs w:val="32"/>
          <w:rtl/>
          <w:lang w:bidi="ar-DZ"/>
        </w:rPr>
        <w:t xml:space="preserve"> الزراعية</w:t>
      </w:r>
      <w:r>
        <w:rPr>
          <w:rFonts w:hint="cs"/>
          <w:sz w:val="32"/>
          <w:szCs w:val="32"/>
          <w:rtl/>
        </w:rPr>
        <w:t xml:space="preserve"> التي تم تقسيمها، فإذا لم يتم تقس</w:t>
      </w:r>
      <w:r>
        <w:rPr>
          <w:rFonts w:hint="cs"/>
          <w:sz w:val="32"/>
          <w:szCs w:val="32"/>
          <w:rtl/>
          <w:lang w:bidi="ar-DZ"/>
        </w:rPr>
        <w:t>ي</w:t>
      </w:r>
      <w:r>
        <w:rPr>
          <w:rFonts w:hint="cs"/>
          <w:sz w:val="32"/>
          <w:szCs w:val="32"/>
          <w:rtl/>
        </w:rPr>
        <w:t xml:space="preserve">م منفعة هذه المرافق المشتركة التابعة للتركة فان </w:t>
      </w:r>
      <w:r>
        <w:rPr>
          <w:rFonts w:hint="cs"/>
          <w:sz w:val="32"/>
          <w:szCs w:val="32"/>
          <w:rtl/>
        </w:rPr>
        <w:t>إنتفاع</w:t>
      </w:r>
      <w:r>
        <w:rPr>
          <w:rFonts w:hint="cs"/>
          <w:sz w:val="32"/>
          <w:szCs w:val="32"/>
          <w:rtl/>
        </w:rPr>
        <w:t xml:space="preserve"> ال</w:t>
      </w:r>
      <w:r>
        <w:rPr>
          <w:rFonts w:hint="cs"/>
          <w:sz w:val="32"/>
          <w:szCs w:val="32"/>
          <w:rtl/>
          <w:lang w:bidi="ar-DZ"/>
        </w:rPr>
        <w:t>و</w:t>
      </w:r>
      <w:r>
        <w:rPr>
          <w:rFonts w:hint="cs"/>
          <w:sz w:val="32"/>
          <w:szCs w:val="32"/>
          <w:rtl/>
        </w:rPr>
        <w:t>ر</w:t>
      </w:r>
      <w:r>
        <w:rPr>
          <w:rFonts w:hint="cs"/>
          <w:sz w:val="32"/>
          <w:szCs w:val="32"/>
          <w:rtl/>
          <w:lang w:bidi="ar-DZ"/>
        </w:rPr>
        <w:t>ث</w:t>
      </w:r>
      <w:r>
        <w:rPr>
          <w:rFonts w:hint="cs"/>
          <w:sz w:val="32"/>
          <w:szCs w:val="32"/>
          <w:rtl/>
        </w:rPr>
        <w:t>ة بتلك الأموال المشتركة يكون بقدر فريضة أو نصيب كل وارث من أصل المال الذي تتبعه الأموال المشتركة، طبعاً هذا عند عدم</w:t>
      </w:r>
      <w:r>
        <w:rPr>
          <w:rFonts w:hint="cs"/>
          <w:sz w:val="32"/>
          <w:szCs w:val="32"/>
          <w:rtl/>
          <w:lang w:bidi="ar-DZ"/>
        </w:rPr>
        <w:t xml:space="preserve"> وجود</w:t>
      </w:r>
      <w:r>
        <w:rPr>
          <w:rFonts w:hint="cs"/>
          <w:sz w:val="32"/>
          <w:szCs w:val="32"/>
          <w:rtl/>
        </w:rPr>
        <w:t xml:space="preserve"> اتفاق </w:t>
      </w:r>
      <w:r>
        <w:rPr>
          <w:rFonts w:hint="cs"/>
          <w:sz w:val="32"/>
          <w:szCs w:val="32"/>
          <w:rtl/>
          <w:lang w:bidi="ar-DZ"/>
        </w:rPr>
        <w:t xml:space="preserve">بين الورثة </w:t>
      </w:r>
      <w:r>
        <w:rPr>
          <w:rFonts w:hint="cs"/>
          <w:sz w:val="32"/>
          <w:szCs w:val="32"/>
          <w:rtl/>
        </w:rPr>
        <w:t>على قسمة المرافق أو الأموال المشتركة</w:t>
      </w:r>
      <w:r>
        <w:rPr>
          <w:rFonts w:hint="cs"/>
          <w:sz w:val="32"/>
          <w:szCs w:val="32"/>
          <w:rtl/>
          <w:lang w:bidi="ar-DZ"/>
        </w:rPr>
        <w:t>،</w:t>
      </w:r>
      <w:r>
        <w:rPr>
          <w:rFonts w:hint="cs"/>
          <w:sz w:val="32"/>
          <w:szCs w:val="32"/>
          <w:rtl/>
        </w:rPr>
        <w:t xml:space="preserve"> اما إذا </w:t>
      </w:r>
      <w:r>
        <w:rPr>
          <w:rFonts w:hint="cs"/>
          <w:sz w:val="32"/>
          <w:szCs w:val="32"/>
          <w:rtl/>
          <w:lang w:bidi="ar-DZ"/>
        </w:rPr>
        <w:t xml:space="preserve">كان هناك </w:t>
      </w:r>
      <w:r>
        <w:rPr>
          <w:rFonts w:hint="cs"/>
          <w:sz w:val="32"/>
          <w:szCs w:val="32"/>
          <w:rtl/>
        </w:rPr>
        <w:t xml:space="preserve"> اتفاق على قسمتها فإن هذا الاتفاق يكون ملزماً للورثة </w:t>
      </w:r>
      <w:r>
        <w:rPr>
          <w:rFonts w:hint="cs"/>
          <w:sz w:val="32"/>
          <w:szCs w:val="32"/>
          <w:rtl/>
        </w:rPr>
        <w:t>بإعتباره</w:t>
      </w:r>
      <w:r>
        <w:rPr>
          <w:rFonts w:hint="cs"/>
          <w:sz w:val="32"/>
          <w:szCs w:val="32"/>
          <w:rtl/>
        </w:rPr>
        <w:t xml:space="preserve"> جزءاً لا </w:t>
      </w:r>
      <w:r>
        <w:rPr>
          <w:rFonts w:hint="cs"/>
          <w:sz w:val="32"/>
          <w:szCs w:val="32"/>
          <w:rtl/>
        </w:rPr>
        <w:t>يتجزاء</w:t>
      </w:r>
      <w:r>
        <w:rPr>
          <w:rFonts w:hint="cs"/>
          <w:sz w:val="32"/>
          <w:szCs w:val="32"/>
          <w:rtl/>
        </w:rPr>
        <w:t xml:space="preserve"> من عقد القسمة الرضائية. </w:t>
      </w:r>
    </w:p>
    <w:p>
      <w:pPr>
        <w:pStyle w:val="style0"/>
        <w:jc w:val="lowKashida"/>
        <w:rPr>
          <w:rFonts w:hint="cs"/>
          <w:b/>
          <w:bCs/>
          <w:sz w:val="32"/>
          <w:szCs w:val="32"/>
          <w:rtl/>
        </w:rPr>
      </w:pPr>
      <w:r>
        <w:rPr>
          <w:rFonts w:hint="cs"/>
          <w:b/>
          <w:bCs/>
          <w:sz w:val="32"/>
          <w:szCs w:val="32"/>
          <w:rtl/>
        </w:rPr>
        <w:t xml:space="preserve">الوجه الثاني: تنظيم </w:t>
      </w:r>
      <w:r>
        <w:rPr>
          <w:rFonts w:hint="cs"/>
          <w:b/>
          <w:bCs/>
          <w:sz w:val="32"/>
          <w:szCs w:val="32"/>
          <w:rtl/>
        </w:rPr>
        <w:t>الإنتفاع</w:t>
      </w:r>
      <w:r>
        <w:rPr>
          <w:rFonts w:hint="cs"/>
          <w:b/>
          <w:bCs/>
          <w:sz w:val="32"/>
          <w:szCs w:val="32"/>
          <w:rtl/>
        </w:rPr>
        <w:t xml:space="preserve"> المشترك بمرافق أموال التركة المقسمة: </w:t>
      </w:r>
    </w:p>
    <w:p>
      <w:pPr>
        <w:pStyle w:val="style0"/>
        <w:jc w:val="lowKashida"/>
        <w:rPr>
          <w:rFonts w:hint="cs"/>
          <w:sz w:val="32"/>
          <w:szCs w:val="32"/>
          <w:rtl/>
        </w:rPr>
      </w:pPr>
      <w:r>
        <w:rPr>
          <w:rFonts w:hint="cs"/>
          <w:sz w:val="32"/>
          <w:szCs w:val="32"/>
          <w:rtl/>
        </w:rPr>
        <w:t xml:space="preserve">تحدث خلافات عدة بين الورثة بعد قسمة التركة بسبب </w:t>
      </w:r>
      <w:r>
        <w:rPr>
          <w:rFonts w:hint="cs"/>
          <w:sz w:val="32"/>
          <w:szCs w:val="32"/>
          <w:rtl/>
        </w:rPr>
        <w:t>الإنتفاع</w:t>
      </w:r>
      <w:r>
        <w:rPr>
          <w:rFonts w:hint="cs"/>
          <w:sz w:val="32"/>
          <w:szCs w:val="32"/>
          <w:rtl/>
        </w:rPr>
        <w:t xml:space="preserve"> بالمرافق المشتركة حسبما سبق بيانه في الوجه الأول، ولذلك ينبغي عند القسمة الرضائية أو الجبرية تحديد أسس </w:t>
      </w:r>
      <w:r>
        <w:rPr>
          <w:rFonts w:hint="cs"/>
          <w:sz w:val="32"/>
          <w:szCs w:val="32"/>
          <w:rtl/>
        </w:rPr>
        <w:t>الإنتفاع</w:t>
      </w:r>
      <w:r>
        <w:rPr>
          <w:rFonts w:hint="cs"/>
          <w:sz w:val="32"/>
          <w:szCs w:val="32"/>
          <w:rtl/>
        </w:rPr>
        <w:t xml:space="preserve"> بالأموال المشتركة سداً لذريعة الخلافات المستقبلية بين الورثة في هذا الشأن مثلما حدث في القضية التي تناولها الحكم محل تعليقنا، حيث يتم في بعض القسمات ترتيب وتنظيم </w:t>
      </w:r>
      <w:r>
        <w:rPr>
          <w:rFonts w:hint="cs"/>
          <w:sz w:val="32"/>
          <w:szCs w:val="32"/>
          <w:rtl/>
        </w:rPr>
        <w:t>الإنتفاع</w:t>
      </w:r>
      <w:r>
        <w:rPr>
          <w:rFonts w:hint="cs"/>
          <w:sz w:val="32"/>
          <w:szCs w:val="32"/>
          <w:rtl/>
        </w:rPr>
        <w:t xml:space="preserve"> بالأموال المشتركة التي لم تقسم حيث يتم النص على </w:t>
      </w:r>
      <w:r>
        <w:rPr>
          <w:rFonts w:hint="cs"/>
          <w:sz w:val="32"/>
          <w:szCs w:val="32"/>
          <w:rtl/>
        </w:rPr>
        <w:t>إنتفاع</w:t>
      </w:r>
      <w:r>
        <w:rPr>
          <w:rFonts w:hint="cs"/>
          <w:sz w:val="32"/>
          <w:szCs w:val="32"/>
          <w:rtl/>
        </w:rPr>
        <w:t xml:space="preserve"> الورثة في تلك الأموال كلٍ بحسب نصيبه كأن يتم تنظيم </w:t>
      </w:r>
      <w:r>
        <w:rPr>
          <w:rFonts w:hint="cs"/>
          <w:sz w:val="32"/>
          <w:szCs w:val="32"/>
          <w:rtl/>
        </w:rPr>
        <w:t>إنتفاع</w:t>
      </w:r>
      <w:r>
        <w:rPr>
          <w:rFonts w:hint="cs"/>
          <w:sz w:val="32"/>
          <w:szCs w:val="32"/>
          <w:rtl/>
        </w:rPr>
        <w:t xml:space="preserve"> الورثة الأربعة (الأخوة الأربعة) بماء البئر عل</w:t>
      </w:r>
      <w:bookmarkStart w:id="0" w:name="_GoBack"/>
      <w:bookmarkEnd w:id="0"/>
      <w:r>
        <w:rPr>
          <w:rFonts w:hint="cs"/>
          <w:sz w:val="32"/>
          <w:szCs w:val="32"/>
          <w:rtl/>
        </w:rPr>
        <w:t>ى أساس كل يوم لواحد</w:t>
      </w:r>
      <w:r>
        <w:rPr>
          <w:rFonts w:hint="cs"/>
          <w:sz w:val="32"/>
          <w:szCs w:val="32"/>
          <w:rtl/>
          <w:lang w:bidi="ar-DZ"/>
        </w:rPr>
        <w:t xml:space="preserve"> منهم</w:t>
      </w:r>
      <w:r>
        <w:rPr>
          <w:rFonts w:hint="cs"/>
          <w:sz w:val="32"/>
          <w:szCs w:val="32"/>
          <w:rtl/>
        </w:rPr>
        <w:t xml:space="preserve"> أو قسمة</w:t>
      </w:r>
      <w:r>
        <w:rPr>
          <w:rFonts w:hint="cs"/>
          <w:sz w:val="32"/>
          <w:szCs w:val="32"/>
          <w:rtl/>
          <w:lang w:bidi="ar-DZ"/>
        </w:rPr>
        <w:t xml:space="preserve"> الماء على اساس </w:t>
      </w:r>
      <w:r>
        <w:rPr>
          <w:rFonts w:hint="cs"/>
          <w:sz w:val="32"/>
          <w:szCs w:val="32"/>
          <w:rtl/>
        </w:rPr>
        <w:t xml:space="preserve"> </w:t>
      </w:r>
      <w:r>
        <w:rPr>
          <w:rFonts w:hint="cs"/>
          <w:sz w:val="32"/>
          <w:szCs w:val="32"/>
          <w:rtl/>
        </w:rPr>
        <w:t xml:space="preserve">ساعات اليوم بينهم كما ينبغي تحديد المسئول عن إدارة الأموال المشتركة وتصريف اعمالها </w:t>
      </w:r>
      <w:r>
        <w:rPr>
          <w:rFonts w:hint="cs"/>
          <w:sz w:val="32"/>
          <w:szCs w:val="32"/>
          <w:rtl/>
          <w:lang w:bidi="ar-DZ"/>
        </w:rPr>
        <w:t xml:space="preserve">والانفاق عليه وصيانتها </w:t>
      </w:r>
      <w:r>
        <w:rPr>
          <w:rFonts w:hint="cs"/>
          <w:sz w:val="32"/>
          <w:szCs w:val="32"/>
          <w:rtl/>
        </w:rPr>
        <w:t>بحسب اتفاق الورثة</w:t>
      </w:r>
      <w:r>
        <w:rPr>
          <w:rFonts w:hint="cs"/>
          <w:sz w:val="32"/>
          <w:szCs w:val="32"/>
          <w:rtl/>
          <w:lang w:bidi="ar-DZ"/>
        </w:rPr>
        <w:t>،والله اعلم</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sectPr>
      <w:footerReference w:type="default" r:id="rId2"/>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Arial">
    <w:altName w:val="Arial"/>
    <w:panose1 w:val="020b0604020002020204"/>
    <w:charset w:val="00"/>
    <w:family w:val="swiss"/>
    <w:pitch w:val="variable"/>
    <w:sig w:usb0="00002287" w:usb1="80000000" w:usb2="00000008" w:usb3="00000000" w:csb0="000000D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i/>
        <w:iCs/>
        <w:sz w:val="16"/>
        <w:szCs w:val="16"/>
      </w:rPr>
    </w:pPr>
    <w:r>
      <w:rPr>
        <w:rFonts w:hint="cs"/>
        <w:i/>
        <w:iCs/>
        <w:sz w:val="16"/>
        <w:szCs w:val="16"/>
        <w:rtl/>
      </w:rPr>
      <w:t>الأسعدي</w:t>
    </w:r>
    <w:r>
      <w:rPr>
        <w:rFonts w:hint="cs"/>
        <w:i/>
        <w:iCs/>
        <w:sz w:val="16"/>
        <w:szCs w:val="16"/>
        <w:rtl/>
      </w:rPr>
      <w:t xml:space="preserve"> للطباعة عن بعد، ت: 772877717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D0096C"/>
    <w:lvl w:ilvl="0" w:tplc="AC384F2C">
      <w:start w:val="1"/>
      <w:numFmt w:val="arabicAlpha"/>
      <w:lvlText w:val="%1."/>
      <w:lvlJc w:val="left"/>
      <w:pPr>
        <w:ind w:left="900" w:hanging="54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369</Words>
  <Pages>2</Pages>
  <Characters>1861</Characters>
  <Application>WPS Office</Application>
  <DocSecurity>0</DocSecurity>
  <Paragraphs>11</Paragraphs>
  <ScaleCrop>false</ScaleCrop>
  <Company>Ahmed-Under</Company>
  <LinksUpToDate>false</LinksUpToDate>
  <CharactersWithSpaces>2229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٢٠٢١-١٢-١١T١٥:١٩:٠٠Z</dcterms:created>
  <dc:creator>الاسعدي للطباعة ت: 772877717</dc:creator>
  <lastModifiedBy>SM-N960U</lastModifiedBy>
  <dcterms:modified xsi:type="dcterms:W3CDTF">٢٠٢١-١٢-١٢T٠٧:٤٢:٣٨Z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898d93bc029143b69af9f83831ffff0c</vt:lpwstr>
  </property>
</Properties>
</file>