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7103" w:rsidRPr="00E21FE9" w:rsidRDefault="00A51EDD" w:rsidP="00E21FE9">
      <w:pPr>
        <w:jc w:val="center"/>
        <w:rPr>
          <w:rFonts w:cs="Arial"/>
          <w:b/>
          <w:bCs/>
          <w:sz w:val="32"/>
          <w:szCs w:val="32"/>
          <w:rtl/>
        </w:rPr>
      </w:pPr>
      <w:proofErr w:type="spellStart"/>
      <w:r w:rsidRPr="00E21FE9">
        <w:rPr>
          <w:rFonts w:cs="Arial" w:hint="cs"/>
          <w:b/>
          <w:bCs/>
          <w:sz w:val="32"/>
          <w:szCs w:val="32"/>
          <w:rtl/>
        </w:rPr>
        <w:t>إستئجار</w:t>
      </w:r>
      <w:proofErr w:type="spellEnd"/>
      <w:r w:rsidRPr="00E21FE9">
        <w:rPr>
          <w:rFonts w:cs="Arial"/>
          <w:b/>
          <w:bCs/>
          <w:sz w:val="32"/>
          <w:szCs w:val="32"/>
          <w:rtl/>
        </w:rPr>
        <w:t xml:space="preserve"> </w:t>
      </w:r>
      <w:r w:rsidRPr="00E21FE9">
        <w:rPr>
          <w:rFonts w:cs="Arial" w:hint="cs"/>
          <w:b/>
          <w:bCs/>
          <w:sz w:val="32"/>
          <w:szCs w:val="32"/>
          <w:rtl/>
        </w:rPr>
        <w:t>المحل</w:t>
      </w:r>
      <w:r w:rsidRPr="00E21FE9">
        <w:rPr>
          <w:rFonts w:cs="Arial"/>
          <w:b/>
          <w:bCs/>
          <w:sz w:val="32"/>
          <w:szCs w:val="32"/>
          <w:rtl/>
        </w:rPr>
        <w:t xml:space="preserve"> </w:t>
      </w:r>
      <w:r w:rsidRPr="00E21FE9">
        <w:rPr>
          <w:rFonts w:cs="Arial" w:hint="cs"/>
          <w:b/>
          <w:bCs/>
          <w:sz w:val="32"/>
          <w:szCs w:val="32"/>
          <w:rtl/>
        </w:rPr>
        <w:t>للتجارة</w:t>
      </w:r>
      <w:r w:rsidRPr="00E21FE9">
        <w:rPr>
          <w:rFonts w:cs="Arial"/>
          <w:b/>
          <w:bCs/>
          <w:sz w:val="32"/>
          <w:szCs w:val="32"/>
          <w:rtl/>
        </w:rPr>
        <w:t xml:space="preserve"> </w:t>
      </w:r>
      <w:r w:rsidRPr="00E21FE9">
        <w:rPr>
          <w:rFonts w:cs="Arial" w:hint="cs"/>
          <w:b/>
          <w:bCs/>
          <w:sz w:val="32"/>
          <w:szCs w:val="32"/>
          <w:rtl/>
        </w:rPr>
        <w:t>عمل</w:t>
      </w:r>
      <w:r w:rsidRPr="00E21FE9">
        <w:rPr>
          <w:rFonts w:cs="Arial"/>
          <w:b/>
          <w:bCs/>
          <w:sz w:val="32"/>
          <w:szCs w:val="32"/>
          <w:rtl/>
        </w:rPr>
        <w:t xml:space="preserve"> </w:t>
      </w:r>
      <w:r w:rsidRPr="00E21FE9">
        <w:rPr>
          <w:rFonts w:cs="Arial" w:hint="cs"/>
          <w:b/>
          <w:bCs/>
          <w:sz w:val="32"/>
          <w:szCs w:val="32"/>
          <w:rtl/>
        </w:rPr>
        <w:t>تجاري</w:t>
      </w:r>
      <w:r w:rsidR="009E5E2D">
        <w:rPr>
          <w:rFonts w:cs="Arial" w:hint="cs"/>
          <w:b/>
          <w:bCs/>
          <w:sz w:val="32"/>
          <w:szCs w:val="32"/>
          <w:rtl/>
        </w:rPr>
        <w:t xml:space="preserve"> تبعي</w:t>
      </w:r>
    </w:p>
    <w:p w:rsidR="00A51EDD" w:rsidRPr="00E21FE9" w:rsidRDefault="00A51EDD" w:rsidP="00E21FE9">
      <w:pPr>
        <w:jc w:val="right"/>
        <w:rPr>
          <w:rFonts w:cs="Arial"/>
          <w:sz w:val="32"/>
          <w:szCs w:val="32"/>
          <w:rtl/>
        </w:rPr>
      </w:pPr>
      <w:proofErr w:type="spellStart"/>
      <w:r w:rsidRPr="00E21FE9">
        <w:rPr>
          <w:rFonts w:cs="Arial" w:hint="cs"/>
          <w:sz w:val="32"/>
          <w:szCs w:val="32"/>
          <w:rtl/>
        </w:rPr>
        <w:t>أ.د</w:t>
      </w:r>
      <w:proofErr w:type="spellEnd"/>
      <w:r w:rsidRPr="00E21FE9">
        <w:rPr>
          <w:rFonts w:cs="Arial" w:hint="cs"/>
          <w:sz w:val="32"/>
          <w:szCs w:val="32"/>
          <w:rtl/>
        </w:rPr>
        <w:t xml:space="preserve">/ </w:t>
      </w:r>
      <w:proofErr w:type="spellStart"/>
      <w:r w:rsidRPr="00E21FE9">
        <w:rPr>
          <w:rFonts w:cs="Arial" w:hint="cs"/>
          <w:sz w:val="32"/>
          <w:szCs w:val="32"/>
          <w:rtl/>
        </w:rPr>
        <w:t>عبدالمؤمن</w:t>
      </w:r>
      <w:proofErr w:type="spellEnd"/>
      <w:r w:rsidRPr="00E21FE9">
        <w:rPr>
          <w:rFonts w:cs="Arial" w:hint="cs"/>
          <w:sz w:val="32"/>
          <w:szCs w:val="32"/>
          <w:rtl/>
        </w:rPr>
        <w:t xml:space="preserve"> شجاع الدين</w:t>
      </w:r>
    </w:p>
    <w:p w:rsidR="00A51EDD" w:rsidRPr="00E21FE9" w:rsidRDefault="00A51EDD" w:rsidP="00E21FE9">
      <w:pPr>
        <w:jc w:val="right"/>
        <w:rPr>
          <w:rFonts w:cs="Arial"/>
          <w:sz w:val="32"/>
          <w:szCs w:val="32"/>
          <w:rtl/>
        </w:rPr>
      </w:pPr>
      <w:r w:rsidRPr="00E21FE9">
        <w:rPr>
          <w:rFonts w:cs="Arial" w:hint="cs"/>
          <w:sz w:val="32"/>
          <w:szCs w:val="32"/>
          <w:rtl/>
        </w:rPr>
        <w:t xml:space="preserve">الأستاذ بكلية الشريعة والقانون </w:t>
      </w:r>
      <w:r w:rsidRPr="00E21FE9">
        <w:rPr>
          <w:rFonts w:cs="Arial"/>
          <w:sz w:val="32"/>
          <w:szCs w:val="32"/>
          <w:rtl/>
        </w:rPr>
        <w:t>–</w:t>
      </w:r>
      <w:r w:rsidRPr="00E21FE9">
        <w:rPr>
          <w:rFonts w:cs="Arial" w:hint="cs"/>
          <w:sz w:val="32"/>
          <w:szCs w:val="32"/>
          <w:rtl/>
        </w:rPr>
        <w:t xml:space="preserve"> جامعة صنعاء</w:t>
      </w:r>
    </w:p>
    <w:p w:rsidR="00A51EDD" w:rsidRPr="00E21FE9" w:rsidRDefault="00A51EDD" w:rsidP="00A51EDD">
      <w:pPr>
        <w:jc w:val="lowKashida"/>
        <w:rPr>
          <w:rFonts w:cs="Arial"/>
          <w:sz w:val="32"/>
          <w:szCs w:val="32"/>
          <w:rtl/>
        </w:rPr>
      </w:pPr>
      <w:r w:rsidRPr="00E21FE9">
        <w:rPr>
          <w:rFonts w:cs="Arial" w:hint="cs"/>
          <w:sz w:val="32"/>
          <w:szCs w:val="32"/>
          <w:rtl/>
        </w:rPr>
        <w:t>دعوى إخلاء المحل التجاري وسداد إيجاراته دعوى تجارية يختص بها القضاء التجاري وليس المدني</w:t>
      </w:r>
      <w:r w:rsidR="00D46AA2">
        <w:rPr>
          <w:rFonts w:cs="Arial" w:hint="cs"/>
          <w:sz w:val="32"/>
          <w:szCs w:val="32"/>
          <w:rtl/>
        </w:rPr>
        <w:t>،</w:t>
      </w:r>
      <w:r w:rsidR="009E5E2D">
        <w:rPr>
          <w:rFonts w:cs="Arial" w:hint="cs"/>
          <w:sz w:val="32"/>
          <w:szCs w:val="32"/>
          <w:rtl/>
        </w:rPr>
        <w:t xml:space="preserve"> لان</w:t>
      </w:r>
      <w:r w:rsidRPr="00E21FE9">
        <w:rPr>
          <w:rFonts w:cs="Arial" w:hint="cs"/>
          <w:sz w:val="32"/>
          <w:szCs w:val="32"/>
          <w:rtl/>
        </w:rPr>
        <w:t xml:space="preserve"> </w:t>
      </w:r>
      <w:proofErr w:type="spellStart"/>
      <w:r w:rsidR="009E5E2D">
        <w:rPr>
          <w:rFonts w:cs="Arial" w:hint="cs"/>
          <w:sz w:val="32"/>
          <w:szCs w:val="32"/>
          <w:rtl/>
        </w:rPr>
        <w:t>إستئجار</w:t>
      </w:r>
      <w:proofErr w:type="spellEnd"/>
      <w:r w:rsidR="009E5E2D">
        <w:rPr>
          <w:rFonts w:cs="Arial" w:hint="cs"/>
          <w:sz w:val="32"/>
          <w:szCs w:val="32"/>
          <w:rtl/>
        </w:rPr>
        <w:t xml:space="preserve"> المحل </w:t>
      </w:r>
      <w:r w:rsidR="00E4635D">
        <w:rPr>
          <w:rFonts w:cs="Arial" w:hint="cs"/>
          <w:sz w:val="32"/>
          <w:szCs w:val="32"/>
          <w:rtl/>
        </w:rPr>
        <w:t xml:space="preserve">التجاري عمل تجاري تبعي </w:t>
      </w:r>
      <w:proofErr w:type="spellStart"/>
      <w:r w:rsidR="00D46AA2">
        <w:rPr>
          <w:rFonts w:cs="Arial" w:hint="cs"/>
          <w:sz w:val="32"/>
          <w:szCs w:val="32"/>
          <w:rtl/>
        </w:rPr>
        <w:t>للاعمال</w:t>
      </w:r>
      <w:proofErr w:type="spellEnd"/>
      <w:r w:rsidR="00D46AA2">
        <w:rPr>
          <w:rFonts w:cs="Arial" w:hint="cs"/>
          <w:sz w:val="32"/>
          <w:szCs w:val="32"/>
          <w:rtl/>
        </w:rPr>
        <w:t xml:space="preserve"> التجارية </w:t>
      </w:r>
      <w:r w:rsidRPr="00E21FE9">
        <w:rPr>
          <w:rFonts w:cs="Arial" w:hint="cs"/>
          <w:sz w:val="32"/>
          <w:szCs w:val="32"/>
          <w:rtl/>
        </w:rPr>
        <w:t xml:space="preserve">حسبما قضى الحكم الصادر عن الدائرة التجارية بالمحكمة العليا في جلستها المنعقدة بتاريخ 27-1-2014م في الطعن رقم (53907)، الذي ورد ضمن أسبابه: ((وعليه فإنه بالرجوع إلى الأوراق مشتملات الملف تجد الدائرة ان ما نعاه الطاعنون في السبب الأول من طعنهم هو عدم </w:t>
      </w:r>
      <w:proofErr w:type="spellStart"/>
      <w:r w:rsidRPr="00E21FE9">
        <w:rPr>
          <w:rFonts w:cs="Arial" w:hint="cs"/>
          <w:sz w:val="32"/>
          <w:szCs w:val="32"/>
          <w:rtl/>
        </w:rPr>
        <w:t>إختصاص</w:t>
      </w:r>
      <w:proofErr w:type="spellEnd"/>
      <w:r w:rsidRPr="00E21FE9">
        <w:rPr>
          <w:rFonts w:cs="Arial" w:hint="cs"/>
          <w:sz w:val="32"/>
          <w:szCs w:val="32"/>
          <w:rtl/>
        </w:rPr>
        <w:t xml:space="preserve"> القضاء التجاري بنظر القضية كون الدعوى مدنية تتعلق بإخلاء العين</w:t>
      </w:r>
      <w:r w:rsidR="00F03942">
        <w:rPr>
          <w:rFonts w:cs="Arial" w:hint="cs"/>
          <w:sz w:val="32"/>
          <w:szCs w:val="32"/>
          <w:rtl/>
        </w:rPr>
        <w:t xml:space="preserve"> المؤجرة</w:t>
      </w:r>
      <w:r w:rsidRPr="00E21FE9">
        <w:rPr>
          <w:rFonts w:cs="Arial" w:hint="cs"/>
          <w:sz w:val="32"/>
          <w:szCs w:val="32"/>
          <w:rtl/>
        </w:rPr>
        <w:t xml:space="preserve"> وسداد إيجاراتها السابقة، فهذا النعي غير سديد لأننا بصدد دعوى إخلاء محل تجاري وسداد إيجاراته، ومعلوم ان عقود إيجارات المحلات التجارية تعتبر من الأعمال التجارية التبعية وفقاً للمادة </w:t>
      </w:r>
      <w:r w:rsidR="00CF5363" w:rsidRPr="00E21FE9">
        <w:rPr>
          <w:rFonts w:cs="Arial" w:hint="cs"/>
          <w:sz w:val="32"/>
          <w:szCs w:val="32"/>
          <w:rtl/>
        </w:rPr>
        <w:t>(13) تجاري</w:t>
      </w:r>
      <w:r w:rsidR="00453C1C">
        <w:rPr>
          <w:rFonts w:cs="Arial" w:hint="cs"/>
          <w:sz w:val="32"/>
          <w:szCs w:val="32"/>
          <w:rtl/>
        </w:rPr>
        <w:t>، و</w:t>
      </w:r>
      <w:r w:rsidR="00CF5363" w:rsidRPr="00E21FE9">
        <w:rPr>
          <w:rFonts w:cs="Arial" w:hint="cs"/>
          <w:sz w:val="32"/>
          <w:szCs w:val="32"/>
          <w:rtl/>
        </w:rPr>
        <w:t xml:space="preserve">تختص </w:t>
      </w:r>
      <w:r w:rsidR="00F3648F" w:rsidRPr="00E21FE9">
        <w:rPr>
          <w:rFonts w:cs="Arial" w:hint="cs"/>
          <w:sz w:val="32"/>
          <w:szCs w:val="32"/>
          <w:rtl/>
        </w:rPr>
        <w:t xml:space="preserve">بنظر الدعاوى المتعلقة بها المحاكم التجارية)) وسيكون تعليقنا على هذا الحكم حسب </w:t>
      </w:r>
      <w:proofErr w:type="spellStart"/>
      <w:r w:rsidR="00F3648F" w:rsidRPr="00E21FE9">
        <w:rPr>
          <w:rFonts w:cs="Arial" w:hint="cs"/>
          <w:sz w:val="32"/>
          <w:szCs w:val="32"/>
          <w:rtl/>
        </w:rPr>
        <w:t>ماهو</w:t>
      </w:r>
      <w:proofErr w:type="spellEnd"/>
      <w:r w:rsidR="00F3648F" w:rsidRPr="00E21FE9">
        <w:rPr>
          <w:rFonts w:cs="Arial" w:hint="cs"/>
          <w:sz w:val="32"/>
          <w:szCs w:val="32"/>
          <w:rtl/>
        </w:rPr>
        <w:t xml:space="preserve"> مبين في الأوجه الأتية: </w:t>
      </w:r>
    </w:p>
    <w:p w:rsidR="00F3648F" w:rsidRPr="00E21FE9" w:rsidRDefault="00F3648F" w:rsidP="00A51EDD">
      <w:pPr>
        <w:jc w:val="lowKashida"/>
        <w:rPr>
          <w:rFonts w:cs="Arial"/>
          <w:b/>
          <w:bCs/>
          <w:sz w:val="32"/>
          <w:szCs w:val="32"/>
          <w:rtl/>
        </w:rPr>
      </w:pPr>
      <w:r w:rsidRPr="00E21FE9">
        <w:rPr>
          <w:rFonts w:cs="Arial" w:hint="cs"/>
          <w:b/>
          <w:bCs/>
          <w:sz w:val="32"/>
          <w:szCs w:val="32"/>
          <w:rtl/>
        </w:rPr>
        <w:t xml:space="preserve">الوجه الأول: السند القانوني للحكم بان </w:t>
      </w:r>
      <w:proofErr w:type="spellStart"/>
      <w:r w:rsidRPr="00E21FE9">
        <w:rPr>
          <w:rFonts w:cs="Arial" w:hint="cs"/>
          <w:b/>
          <w:bCs/>
          <w:sz w:val="32"/>
          <w:szCs w:val="32"/>
          <w:rtl/>
        </w:rPr>
        <w:t>إستئجار</w:t>
      </w:r>
      <w:proofErr w:type="spellEnd"/>
      <w:r w:rsidRPr="00E21FE9">
        <w:rPr>
          <w:rFonts w:cs="Arial" w:hint="cs"/>
          <w:b/>
          <w:bCs/>
          <w:sz w:val="32"/>
          <w:szCs w:val="32"/>
          <w:rtl/>
        </w:rPr>
        <w:t xml:space="preserve"> المحل </w:t>
      </w:r>
      <w:r w:rsidR="0014501D">
        <w:rPr>
          <w:rFonts w:cs="Arial" w:hint="cs"/>
          <w:b/>
          <w:bCs/>
          <w:sz w:val="32"/>
          <w:szCs w:val="32"/>
          <w:rtl/>
        </w:rPr>
        <w:t xml:space="preserve">للتجارة فيه </w:t>
      </w:r>
      <w:r w:rsidR="001F5669">
        <w:rPr>
          <w:rFonts w:cs="Arial" w:hint="cs"/>
          <w:b/>
          <w:bCs/>
          <w:sz w:val="32"/>
          <w:szCs w:val="32"/>
          <w:rtl/>
        </w:rPr>
        <w:t xml:space="preserve">عمل تجاري </w:t>
      </w:r>
      <w:r w:rsidRPr="00E21FE9">
        <w:rPr>
          <w:rFonts w:cs="Arial" w:hint="cs"/>
          <w:b/>
          <w:bCs/>
          <w:sz w:val="32"/>
          <w:szCs w:val="32"/>
          <w:rtl/>
        </w:rPr>
        <w:t>وان القضاء</w:t>
      </w:r>
      <w:r w:rsidR="001F5669">
        <w:rPr>
          <w:rFonts w:cs="Arial" w:hint="cs"/>
          <w:b/>
          <w:bCs/>
          <w:sz w:val="32"/>
          <w:szCs w:val="32"/>
          <w:rtl/>
        </w:rPr>
        <w:t xml:space="preserve"> التجاري</w:t>
      </w:r>
      <w:r w:rsidRPr="00E21FE9">
        <w:rPr>
          <w:rFonts w:cs="Arial" w:hint="cs"/>
          <w:b/>
          <w:bCs/>
          <w:sz w:val="32"/>
          <w:szCs w:val="32"/>
          <w:rtl/>
        </w:rPr>
        <w:t xml:space="preserve"> مختص بنظر دعوى إخلاء المحل التجاري والمطالبة بإيجاراته: </w:t>
      </w:r>
    </w:p>
    <w:p w:rsidR="00F3648F" w:rsidRPr="00E21FE9" w:rsidRDefault="00F3648F" w:rsidP="00A51EDD">
      <w:pPr>
        <w:jc w:val="lowKashida"/>
        <w:rPr>
          <w:rFonts w:cs="Arial"/>
          <w:sz w:val="32"/>
          <w:szCs w:val="32"/>
          <w:rtl/>
        </w:rPr>
      </w:pPr>
      <w:r w:rsidRPr="00E21FE9">
        <w:rPr>
          <w:rFonts w:cs="Arial" w:hint="cs"/>
          <w:sz w:val="32"/>
          <w:szCs w:val="32"/>
          <w:rtl/>
        </w:rPr>
        <w:t xml:space="preserve">من خلال المطالعة لأسباب الحكم محل تعليقنا نجد أنه قد أستند في قضائه إلى المادة (13) تجاري التي نصت على ان: (الأعمال المرتبطة بالمعاملات التجارية المذكورة في المواد السابقة أو المسهلة لها وجميع الأعمال التي يقوم بها التاجر لحاجات تجارية تعتبر أعمالاً تجارية) فالمحل التجاري هو وسيلة التاجر لبيع السلع والخدمات إلى </w:t>
      </w:r>
      <w:r w:rsidR="00453C1C">
        <w:rPr>
          <w:rFonts w:cs="Arial" w:hint="cs"/>
          <w:sz w:val="32"/>
          <w:szCs w:val="32"/>
          <w:rtl/>
        </w:rPr>
        <w:t>الجمهور</w:t>
      </w:r>
      <w:r w:rsidR="001F5669">
        <w:rPr>
          <w:rFonts w:cs="Arial" w:hint="cs"/>
          <w:sz w:val="32"/>
          <w:szCs w:val="32"/>
          <w:rtl/>
        </w:rPr>
        <w:t>،</w:t>
      </w:r>
      <w:r w:rsidRPr="00E21FE9">
        <w:rPr>
          <w:rFonts w:cs="Arial" w:hint="cs"/>
          <w:sz w:val="32"/>
          <w:szCs w:val="32"/>
          <w:rtl/>
        </w:rPr>
        <w:t xml:space="preserve"> ولذلك </w:t>
      </w:r>
      <w:r w:rsidR="004807B2">
        <w:rPr>
          <w:rFonts w:cs="Arial" w:hint="cs"/>
          <w:sz w:val="32"/>
          <w:szCs w:val="32"/>
          <w:rtl/>
        </w:rPr>
        <w:t xml:space="preserve">فإن </w:t>
      </w:r>
      <w:proofErr w:type="spellStart"/>
      <w:r w:rsidR="004807B2">
        <w:rPr>
          <w:rFonts w:cs="Arial" w:hint="cs"/>
          <w:sz w:val="32"/>
          <w:szCs w:val="32"/>
          <w:rtl/>
        </w:rPr>
        <w:t>إستئجار</w:t>
      </w:r>
      <w:proofErr w:type="spellEnd"/>
      <w:r w:rsidR="004807B2">
        <w:rPr>
          <w:rFonts w:cs="Arial" w:hint="cs"/>
          <w:sz w:val="32"/>
          <w:szCs w:val="32"/>
          <w:rtl/>
        </w:rPr>
        <w:t xml:space="preserve"> التاجر للمحل </w:t>
      </w:r>
      <w:r w:rsidR="00760FAA">
        <w:rPr>
          <w:rFonts w:cs="Arial" w:hint="cs"/>
          <w:sz w:val="32"/>
          <w:szCs w:val="32"/>
          <w:rtl/>
        </w:rPr>
        <w:t xml:space="preserve">التجاري </w:t>
      </w:r>
      <w:r w:rsidRPr="00E21FE9">
        <w:rPr>
          <w:rFonts w:cs="Arial" w:hint="cs"/>
          <w:sz w:val="32"/>
          <w:szCs w:val="32"/>
          <w:rtl/>
        </w:rPr>
        <w:t>يعد عملاً تجارياً وفقاً للنص السابق</w:t>
      </w:r>
      <w:r w:rsidR="00760FAA">
        <w:rPr>
          <w:rFonts w:cs="Arial" w:hint="cs"/>
          <w:sz w:val="32"/>
          <w:szCs w:val="32"/>
          <w:rtl/>
        </w:rPr>
        <w:t>،</w:t>
      </w:r>
      <w:r w:rsidRPr="00E21FE9">
        <w:rPr>
          <w:rFonts w:cs="Arial" w:hint="cs"/>
          <w:sz w:val="32"/>
          <w:szCs w:val="32"/>
          <w:rtl/>
        </w:rPr>
        <w:t xml:space="preserve"> وإذا كان </w:t>
      </w:r>
      <w:proofErr w:type="spellStart"/>
      <w:r w:rsidRPr="00E21FE9">
        <w:rPr>
          <w:rFonts w:cs="Arial" w:hint="cs"/>
          <w:sz w:val="32"/>
          <w:szCs w:val="32"/>
          <w:rtl/>
        </w:rPr>
        <w:t>إستئجار</w:t>
      </w:r>
      <w:proofErr w:type="spellEnd"/>
      <w:r w:rsidRPr="00E21FE9">
        <w:rPr>
          <w:rFonts w:cs="Arial" w:hint="cs"/>
          <w:sz w:val="32"/>
          <w:szCs w:val="32"/>
          <w:rtl/>
        </w:rPr>
        <w:t xml:space="preserve"> المحل التجاري من قبل التاجر</w:t>
      </w:r>
      <w:r w:rsidR="00760FAA">
        <w:rPr>
          <w:rFonts w:cs="Arial" w:hint="cs"/>
          <w:sz w:val="32"/>
          <w:szCs w:val="32"/>
          <w:rtl/>
        </w:rPr>
        <w:t xml:space="preserve"> </w:t>
      </w:r>
      <w:r w:rsidR="00453C1C">
        <w:rPr>
          <w:rFonts w:cs="Arial" w:hint="cs"/>
          <w:sz w:val="32"/>
          <w:szCs w:val="32"/>
          <w:rtl/>
        </w:rPr>
        <w:t>ي</w:t>
      </w:r>
      <w:r w:rsidR="00760FAA">
        <w:rPr>
          <w:rFonts w:cs="Arial" w:hint="cs"/>
          <w:sz w:val="32"/>
          <w:szCs w:val="32"/>
          <w:rtl/>
        </w:rPr>
        <w:t xml:space="preserve">عد </w:t>
      </w:r>
      <w:r w:rsidR="00453C1C">
        <w:rPr>
          <w:rFonts w:cs="Arial" w:hint="cs"/>
          <w:sz w:val="32"/>
          <w:szCs w:val="32"/>
          <w:rtl/>
        </w:rPr>
        <w:t>عملا</w:t>
      </w:r>
      <w:r w:rsidR="00760FAA">
        <w:rPr>
          <w:rFonts w:cs="Arial" w:hint="cs"/>
          <w:sz w:val="32"/>
          <w:szCs w:val="32"/>
          <w:rtl/>
        </w:rPr>
        <w:t xml:space="preserve"> تجاريا</w:t>
      </w:r>
      <w:r w:rsidRPr="00E21FE9">
        <w:rPr>
          <w:rFonts w:cs="Arial" w:hint="cs"/>
          <w:sz w:val="32"/>
          <w:szCs w:val="32"/>
          <w:rtl/>
        </w:rPr>
        <w:t xml:space="preserve"> </w:t>
      </w:r>
      <w:r w:rsidR="00760FAA">
        <w:rPr>
          <w:rFonts w:cs="Arial" w:hint="cs"/>
          <w:sz w:val="32"/>
          <w:szCs w:val="32"/>
          <w:rtl/>
        </w:rPr>
        <w:t>ب</w:t>
      </w:r>
      <w:r w:rsidRPr="00E21FE9">
        <w:rPr>
          <w:rFonts w:cs="Arial" w:hint="cs"/>
          <w:sz w:val="32"/>
          <w:szCs w:val="32"/>
          <w:rtl/>
        </w:rPr>
        <w:t xml:space="preserve">التبعية حسبما قضى الحكم محل تعليقنا فإن عقد </w:t>
      </w:r>
      <w:r w:rsidR="00760FAA">
        <w:rPr>
          <w:rFonts w:cs="Arial" w:hint="cs"/>
          <w:sz w:val="32"/>
          <w:szCs w:val="32"/>
          <w:rtl/>
        </w:rPr>
        <w:t>تأجير</w:t>
      </w:r>
      <w:r w:rsidRPr="00E21FE9">
        <w:rPr>
          <w:rFonts w:cs="Arial" w:hint="cs"/>
          <w:sz w:val="32"/>
          <w:szCs w:val="32"/>
          <w:rtl/>
        </w:rPr>
        <w:t xml:space="preserve"> المحل من قبل غير التاجر يخضع هذا العقد لقانون التجارة حسبما ورد في المادة (17) تجاري التي نصت على أنه: (إذا كان العقد تجارياً بالنسبة إلى أحد المتعاقدين دون الآخر سرت أحكام قانون التجارة على التزامات المتعاقد الآخر الناشئة عن هذا العقد). </w:t>
      </w:r>
    </w:p>
    <w:p w:rsidR="00F3648F" w:rsidRPr="00E21FE9" w:rsidRDefault="00F3648F" w:rsidP="00A51EDD">
      <w:pPr>
        <w:jc w:val="lowKashida"/>
        <w:rPr>
          <w:rFonts w:cs="Arial"/>
          <w:b/>
          <w:bCs/>
          <w:sz w:val="32"/>
          <w:szCs w:val="32"/>
          <w:rtl/>
        </w:rPr>
      </w:pPr>
      <w:r w:rsidRPr="00E21FE9">
        <w:rPr>
          <w:rFonts w:cs="Arial" w:hint="cs"/>
          <w:b/>
          <w:bCs/>
          <w:sz w:val="32"/>
          <w:szCs w:val="32"/>
          <w:rtl/>
        </w:rPr>
        <w:t xml:space="preserve">الوجه الثاني: الأصل مدنية عقد الإيجار: </w:t>
      </w:r>
    </w:p>
    <w:p w:rsidR="00F3648F" w:rsidRDefault="00F3648F" w:rsidP="00A51EDD">
      <w:pPr>
        <w:jc w:val="lowKashida"/>
        <w:rPr>
          <w:rFonts w:cs="Arial"/>
          <w:sz w:val="32"/>
          <w:szCs w:val="32"/>
          <w:rtl/>
        </w:rPr>
      </w:pPr>
      <w:r w:rsidRPr="00E21FE9">
        <w:rPr>
          <w:rFonts w:cs="Arial" w:hint="cs"/>
          <w:sz w:val="32"/>
          <w:szCs w:val="32"/>
          <w:rtl/>
        </w:rPr>
        <w:lastRenderedPageBreak/>
        <w:t xml:space="preserve">الأصل أن عقد الإيجار مدني من حيث </w:t>
      </w:r>
      <w:r w:rsidR="00760FAA">
        <w:rPr>
          <w:rFonts w:cs="Arial" w:hint="cs"/>
          <w:sz w:val="32"/>
          <w:szCs w:val="32"/>
          <w:rtl/>
        </w:rPr>
        <w:t>موضوعه</w:t>
      </w:r>
      <w:r w:rsidRPr="00E21FE9">
        <w:rPr>
          <w:rFonts w:cs="Arial" w:hint="cs"/>
          <w:sz w:val="32"/>
          <w:szCs w:val="32"/>
          <w:rtl/>
        </w:rPr>
        <w:t xml:space="preserve"> </w:t>
      </w:r>
      <w:r w:rsidR="00453C1C">
        <w:rPr>
          <w:rFonts w:cs="Arial" w:hint="cs"/>
          <w:sz w:val="32"/>
          <w:szCs w:val="32"/>
          <w:rtl/>
        </w:rPr>
        <w:t>وطبيعته</w:t>
      </w:r>
      <w:r w:rsidR="00760FAA">
        <w:rPr>
          <w:rFonts w:cs="Arial" w:hint="cs"/>
          <w:sz w:val="32"/>
          <w:szCs w:val="32"/>
          <w:rtl/>
        </w:rPr>
        <w:t>،</w:t>
      </w:r>
      <w:r w:rsidRPr="00E21FE9">
        <w:rPr>
          <w:rFonts w:cs="Arial" w:hint="cs"/>
          <w:sz w:val="32"/>
          <w:szCs w:val="32"/>
          <w:rtl/>
        </w:rPr>
        <w:t xml:space="preserve"> </w:t>
      </w:r>
      <w:r w:rsidR="000A45D6">
        <w:rPr>
          <w:rFonts w:cs="Arial" w:hint="cs"/>
          <w:sz w:val="32"/>
          <w:szCs w:val="32"/>
          <w:rtl/>
        </w:rPr>
        <w:t xml:space="preserve">فقد </w:t>
      </w:r>
      <w:r w:rsidRPr="00E21FE9">
        <w:rPr>
          <w:rFonts w:cs="Arial" w:hint="cs"/>
          <w:sz w:val="32"/>
          <w:szCs w:val="32"/>
          <w:rtl/>
        </w:rPr>
        <w:t xml:space="preserve">نظمه قانون تنظيم العلاقة بين المؤجرين والمستأجرين وهو فرع من فروع القانون المدني، فالقاضي حينما يصدر حكمه في النزاع </w:t>
      </w:r>
      <w:r w:rsidR="000A45D6">
        <w:rPr>
          <w:rFonts w:cs="Arial" w:hint="cs"/>
          <w:sz w:val="32"/>
          <w:szCs w:val="32"/>
          <w:rtl/>
        </w:rPr>
        <w:t>بشان</w:t>
      </w:r>
      <w:r w:rsidRPr="00E21FE9">
        <w:rPr>
          <w:rFonts w:cs="Arial" w:hint="cs"/>
          <w:sz w:val="32"/>
          <w:szCs w:val="32"/>
          <w:rtl/>
        </w:rPr>
        <w:t xml:space="preserve"> العين المؤجرة أو </w:t>
      </w:r>
      <w:r w:rsidR="00F020E7">
        <w:rPr>
          <w:rFonts w:cs="Arial" w:hint="cs"/>
          <w:sz w:val="32"/>
          <w:szCs w:val="32"/>
          <w:rtl/>
        </w:rPr>
        <w:t>إيجارات</w:t>
      </w:r>
      <w:r w:rsidRPr="00E21FE9">
        <w:rPr>
          <w:rFonts w:cs="Arial" w:hint="cs"/>
          <w:sz w:val="32"/>
          <w:szCs w:val="32"/>
          <w:rtl/>
        </w:rPr>
        <w:t xml:space="preserve">ها فإنه يطبق القانون المدني، ولذلك فقد لاحظنا ان الطاعن في القضية التي تناولها الحكم </w:t>
      </w:r>
      <w:r w:rsidR="00453C1C">
        <w:rPr>
          <w:rFonts w:cs="Arial" w:hint="cs"/>
          <w:sz w:val="32"/>
          <w:szCs w:val="32"/>
          <w:rtl/>
        </w:rPr>
        <w:t>م</w:t>
      </w:r>
      <w:r w:rsidRPr="00E21FE9">
        <w:rPr>
          <w:rFonts w:cs="Arial" w:hint="cs"/>
          <w:sz w:val="32"/>
          <w:szCs w:val="32"/>
          <w:rtl/>
        </w:rPr>
        <w:t xml:space="preserve">حل تعليقنا كان ينازع في طعنه أمام المحكمة العليا في الطابع المدني لعلاقة الإيجار القائمة فيما بينه وبين المؤجر، إلا أن الحكم محل تعليقنا قضى بان عقد إيجار </w:t>
      </w:r>
      <w:r w:rsidR="00FA57EF" w:rsidRPr="00E21FE9">
        <w:rPr>
          <w:rFonts w:cs="Arial" w:hint="cs"/>
          <w:sz w:val="32"/>
          <w:szCs w:val="32"/>
          <w:rtl/>
        </w:rPr>
        <w:t xml:space="preserve">المحل التجاري يكون عملاً تجارياً تبعياً لأعمال التاجر الذي يستعمل المحل التجاري المؤجر لبيع بضاعته على النحو السابق بيانه، وهذا الأمر يعد </w:t>
      </w:r>
      <w:proofErr w:type="spellStart"/>
      <w:r w:rsidR="00453C1C">
        <w:rPr>
          <w:rFonts w:cs="Arial" w:hint="cs"/>
          <w:sz w:val="32"/>
          <w:szCs w:val="32"/>
          <w:rtl/>
        </w:rPr>
        <w:t>إستثناءًا</w:t>
      </w:r>
      <w:proofErr w:type="spellEnd"/>
      <w:r w:rsidR="00FA57EF" w:rsidRPr="00E21FE9">
        <w:rPr>
          <w:rFonts w:cs="Arial" w:hint="cs"/>
          <w:sz w:val="32"/>
          <w:szCs w:val="32"/>
          <w:rtl/>
        </w:rPr>
        <w:t xml:space="preserve"> من الأصل العام وهو مدنية علاقة الإيجار فيما بين المؤجر والمستأجر</w:t>
      </w:r>
      <w:r w:rsidR="00453C1C">
        <w:rPr>
          <w:rFonts w:cs="Arial" w:hint="cs"/>
          <w:sz w:val="32"/>
          <w:szCs w:val="32"/>
          <w:rtl/>
        </w:rPr>
        <w:t xml:space="preserve">، والله اعلم </w:t>
      </w:r>
      <w:r w:rsidR="00FA57EF" w:rsidRPr="00E21FE9">
        <w:rPr>
          <w:rFonts w:cs="Arial" w:hint="cs"/>
          <w:sz w:val="32"/>
          <w:szCs w:val="32"/>
          <w:rtl/>
        </w:rPr>
        <w:t xml:space="preserve">. </w:t>
      </w:r>
    </w:p>
    <w:p w:rsidR="00E21FE9" w:rsidRPr="00E21FE9" w:rsidRDefault="002C5DF0" w:rsidP="00E21FE9">
      <w:pPr>
        <w:jc w:val="right"/>
        <w:rPr>
          <w:rFonts w:ascii="Arabic Typesetting" w:hAnsi="Arabic Typesetting" w:cs="Arabic Typesetting"/>
          <w:sz w:val="28"/>
          <w:szCs w:val="28"/>
          <w:rtl/>
          <w:lang w:bidi="ar-YE"/>
        </w:rPr>
      </w:pPr>
      <w:hyperlink r:id="rId6" w:history="1">
        <w:r w:rsidR="00E21FE9" w:rsidRPr="00FD1D03">
          <w:rPr>
            <w:rStyle w:val="Hyperlink"/>
            <w:rFonts w:ascii="Arabic Typesetting" w:hAnsi="Arabic Typesetting" w:cs="Arabic Typesetting"/>
            <w:sz w:val="28"/>
            <w:szCs w:val="28"/>
          </w:rPr>
          <w:t>https://t.me/AbdmomenShjaaAldeen</w:t>
        </w:r>
      </w:hyperlink>
    </w:p>
    <w:sectPr w:rsidR="00E21FE9" w:rsidRPr="00E21FE9" w:rsidSect="00E21FE9">
      <w:footerReference w:type="default" r:id="rId7"/>
      <w:pgSz w:w="11906" w:h="16838"/>
      <w:pgMar w:top="1440" w:right="1800" w:bottom="1440" w:left="1800" w:header="708" w:footer="31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327E" w:rsidRDefault="0035327E" w:rsidP="00E21FE9">
      <w:pPr>
        <w:spacing w:after="0" w:line="240" w:lineRule="auto"/>
      </w:pPr>
      <w:r>
        <w:separator/>
      </w:r>
    </w:p>
  </w:endnote>
  <w:endnote w:type="continuationSeparator" w:id="0">
    <w:p w:rsidR="0035327E" w:rsidRDefault="0035327E" w:rsidP="00E21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1FE9" w:rsidRPr="00E21FE9" w:rsidRDefault="00E21FE9" w:rsidP="00E21FE9">
    <w:pPr>
      <w:pStyle w:val="a4"/>
      <w:jc w:val="right"/>
      <w:rPr>
        <w:sz w:val="18"/>
        <w:szCs w:val="18"/>
      </w:rPr>
    </w:pPr>
    <w:proofErr w:type="spellStart"/>
    <w:r w:rsidRPr="00E21FE9">
      <w:rPr>
        <w:rFonts w:hint="cs"/>
        <w:sz w:val="18"/>
        <w:szCs w:val="18"/>
        <w:rtl/>
      </w:rPr>
      <w:t>الأسعدي</w:t>
    </w:r>
    <w:proofErr w:type="spellEnd"/>
    <w:r w:rsidRPr="00E21FE9">
      <w:rPr>
        <w:rFonts w:hint="cs"/>
        <w:sz w:val="18"/>
        <w:szCs w:val="18"/>
        <w:rtl/>
      </w:rPr>
      <w:t xml:space="preserve"> للطباعة، ت:772877717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327E" w:rsidRDefault="0035327E" w:rsidP="00E21FE9">
      <w:pPr>
        <w:spacing w:after="0" w:line="240" w:lineRule="auto"/>
      </w:pPr>
      <w:r>
        <w:separator/>
      </w:r>
    </w:p>
  </w:footnote>
  <w:footnote w:type="continuationSeparator" w:id="0">
    <w:p w:rsidR="0035327E" w:rsidRDefault="0035327E" w:rsidP="00E21F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0B07"/>
    <w:rsid w:val="000A45D6"/>
    <w:rsid w:val="0014501D"/>
    <w:rsid w:val="001F5669"/>
    <w:rsid w:val="0035327E"/>
    <w:rsid w:val="00453C1C"/>
    <w:rsid w:val="004807B2"/>
    <w:rsid w:val="00717ED4"/>
    <w:rsid w:val="00760FAA"/>
    <w:rsid w:val="00880B07"/>
    <w:rsid w:val="009E5E2D"/>
    <w:rsid w:val="00A51EDD"/>
    <w:rsid w:val="00AD7103"/>
    <w:rsid w:val="00CF5363"/>
    <w:rsid w:val="00D46AA2"/>
    <w:rsid w:val="00E21FE9"/>
    <w:rsid w:val="00E44E5B"/>
    <w:rsid w:val="00E4635D"/>
    <w:rsid w:val="00F020E7"/>
    <w:rsid w:val="00F03942"/>
    <w:rsid w:val="00F3648F"/>
    <w:rsid w:val="00FA57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D51A"/>
  <w15:docId w15:val="{74E11C6D-2801-CE46-B514-67239A63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E21FE9"/>
    <w:rPr>
      <w:color w:val="0000FF" w:themeColor="hyperlink"/>
      <w:u w:val="single"/>
    </w:rPr>
  </w:style>
  <w:style w:type="paragraph" w:styleId="a3">
    <w:name w:val="header"/>
    <w:basedOn w:val="a"/>
    <w:link w:val="Char"/>
    <w:uiPriority w:val="99"/>
    <w:unhideWhenUsed/>
    <w:rsid w:val="00E21FE9"/>
    <w:pPr>
      <w:tabs>
        <w:tab w:val="center" w:pos="4153"/>
        <w:tab w:val="right" w:pos="8306"/>
      </w:tabs>
      <w:spacing w:after="0" w:line="240" w:lineRule="auto"/>
    </w:pPr>
  </w:style>
  <w:style w:type="character" w:customStyle="1" w:styleId="Char">
    <w:name w:val="رأس الصفحة Char"/>
    <w:basedOn w:val="a0"/>
    <w:link w:val="a3"/>
    <w:uiPriority w:val="99"/>
    <w:rsid w:val="00E21FE9"/>
  </w:style>
  <w:style w:type="paragraph" w:styleId="a4">
    <w:name w:val="footer"/>
    <w:basedOn w:val="a"/>
    <w:link w:val="Char0"/>
    <w:uiPriority w:val="99"/>
    <w:unhideWhenUsed/>
    <w:rsid w:val="00E21FE9"/>
    <w:pPr>
      <w:tabs>
        <w:tab w:val="center" w:pos="4153"/>
        <w:tab w:val="right" w:pos="8306"/>
      </w:tabs>
      <w:spacing w:after="0" w:line="240" w:lineRule="auto"/>
    </w:pPr>
  </w:style>
  <w:style w:type="character" w:customStyle="1" w:styleId="Char0">
    <w:name w:val="تذييل الصفحة Char"/>
    <w:basedOn w:val="a0"/>
    <w:link w:val="a4"/>
    <w:uiPriority w:val="99"/>
    <w:rsid w:val="00E21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2191</Characters>
  <Application>Microsoft Office Word</Application>
  <DocSecurity>0</DocSecurity>
  <Lines>18</Lines>
  <Paragraphs>5</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مستخدم ضيف</cp:lastModifiedBy>
  <cp:revision>2</cp:revision>
  <dcterms:created xsi:type="dcterms:W3CDTF">2022-02-20T15:24:00Z</dcterms:created>
  <dcterms:modified xsi:type="dcterms:W3CDTF">2022-02-20T15:24:00Z</dcterms:modified>
</cp:coreProperties>
</file>