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يتألَف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</w:t>
      </w:r>
      <w:proofErr w:type="gramStart"/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t>/</w:t>
      </w:r>
      <w:bookmarkStart w:id="0" w:name="_GoBack"/>
      <w:bookmarkEnd w:id="0"/>
      <w:proofErr w:type="gramEnd"/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2021-09-23T16:38:00Z</dcterms:modified>
</cp:coreProperties>
</file>