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val="1"/>
      </w:pPr>
      <w:r>
        <w:t>دراسة مقارنة مكثفة: منهج «لسان القرآن» في ضوء كبار علماء اللغة والتفسير</w:t>
      </w:r>
    </w:p>
    <w:p>
      <w:pPr>
        <w:pStyle w:val="Subtitle"/>
        <w:jc w:val="center"/>
        <w:bidi w:val="1"/>
      </w:pPr>
      <w:r>
        <w:t>مواضع الاتفاق، الاختلاف، الاعتراضات، وحدود الاستدلال بالتراث</w:t>
      </w:r>
    </w:p>
    <w:p>
      <w:pPr>
        <w:jc w:val="center"/>
        <w:bidi w:val="1"/>
      </w:pPr>
      <w:r>
        <w:rPr>
          <w:b/>
        </w:rPr>
        <w:t>نسخة بحثية 1.0 — 6 سبتمبر 2026</w:t>
      </w:r>
    </w:p>
    <w:p>
      <w:pPr>
        <w:jc w:val="center"/>
        <w:bidi w:val="1"/>
      </w:pPr>
      <w:r>
        <w:t>الغاية: تحديد السوابق التراثية المؤيدة لمنهج لسان القرآن، مواضع الخلاف، وما لا يجوز نسبته إلى العلماء أو إلى القرآن دون دليل.</w:t>
      </w:r>
    </w:p>
    <w:p>
      <w:r>
        <w:br w:type="page"/>
      </w:r>
    </w:p>
    <w:p>
      <w:pPr>
        <w:jc w:val="right"/>
        <w:bidi w:val="1"/>
      </w:pPr>
      <w:r>
        <w:rPr>
          <w:b/>
        </w:rPr>
        <w:t xml:space="preserve">قاعدة القراءة: </w:t>
      </w:r>
      <w:r>
        <w:t>التراث في هذه الوثيقة ليس سلطة تُثبت نتيجة المشروع لمجرد صدورها عن عالم، ولا خصمًا يُرفض لمجرد اختلافه؛ بل مادة تاريخية وحجاجية تُفحص بالشاهد والمنطق والاستقراء.</w:t>
      </w:r>
    </w:p>
    <w:p>
      <w:pPr>
        <w:pStyle w:val="Heading1"/>
        <w:jc w:val="right"/>
        <w:bidi w:val="1"/>
      </w:pPr>
      <w:r>
        <w:t>الملخص التنفيذي</w:t>
      </w:r>
    </w:p>
    <w:p>
      <w:pPr>
        <w:spacing w:after="120" w:line="276" w:lineRule="auto"/>
        <w:jc w:val="right"/>
        <w:bidi w:val="1"/>
      </w:pPr>
      <w:r>
        <w:t>تخلص هذه الدراسة إلى أن منهج «لسان القرآن» له جذور قوية في التراث اللغوي والتفسيري، لكنه ليس نسخة من منهج تراثي واحد. أقوى مواطن الالتقاء هي: القياس والاشتقاق، تتبع تصاريف الأصل، تقديم تحقيق ألفاظ القرآن، مراعاة النظم والتركيب، استقراء عادات الاستعمال القرآني، الاحتراز من الترادف التام، وتوقع الاتساق الداخلي للنص.</w:t>
      </w:r>
    </w:p>
    <w:p>
      <w:pPr>
        <w:spacing w:after="120" w:line="276" w:lineRule="auto"/>
        <w:jc w:val="right"/>
        <w:bidi w:val="1"/>
      </w:pPr>
      <w:r>
        <w:t>وفي المقابل، توجد نقاط لا يصح نسبتها إلى «إجماع العلماء»: أن لكل مادة جذرية معنى واحدًا جامعًا دائمًا، أو أن الترادف ممتنع مطلقًا، أو أن «عربي» يمكن فصله عن معهود العربية التاريخية، أو أن الاستقراء القرآني الداخلي وحده هو المنهج التراثي الكامل للتفسير. هذه نقاط ينبغي أن تبقى في المشروع إما فرضيات بحثية قوية أو خيارات منهجية معلنة، لا دعاوى تراثية منسوبة إلى الجميع.</w:t>
      </w:r>
    </w:p>
    <w:p>
      <w:pPr>
        <w:spacing w:after="120" w:line="276" w:lineRule="auto"/>
        <w:jc w:val="right"/>
        <w:bidi w:val="1"/>
      </w:pPr>
      <w:r>
        <w:t>الوثيقة تقترح لذلك أن يستخدم التراث في مشروع لسان القرآن بوصفه «مادة مقارنة واختبار» بعد إغلاق الاستقراء الداخلي، وأن تُسجل أقوال العلماء بحسب قوتها ونوعها: سابق قوي للمنهج، سابق جزئي، اعتراض، احتمال بديل، أو قيد يمنع التعميم.</w:t>
      </w:r>
    </w:p>
    <w:p>
      <w:pPr>
        <w:pStyle w:val="Heading1"/>
        <w:jc w:val="right"/>
        <w:bidi w:val="1"/>
      </w:pPr>
      <w:r>
        <w:t>1. منهج هذه الدراسة ومعيار الموضوعية</w:t>
      </w:r>
    </w:p>
    <w:p>
      <w:pPr>
        <w:spacing w:after="120" w:line="276" w:lineRule="auto"/>
        <w:jc w:val="right"/>
        <w:bidi w:val="1"/>
      </w:pPr>
      <w:r>
        <w:t>لا تعتمد الدراسة قاعدة: «ما وافق لسان القرآن فهو صحيح وما خالفه فهو خطأ». هذا سيكون مصادرة على المطلوب. بل يجري الحكم على كل قضية وفق خمسة أسئلة: هل لها نص صريح في المصدر؟ هل تصف الاستعمال فعلًا أم تفترضه؟ هل يمكن اختبارها على جميع المواضع؟ هل تقبل الدحض؟ وهل توجد شواهد مضادة معتبرة؟</w:t>
      </w:r>
    </w:p>
    <w:p>
      <w:pPr>
        <w:spacing w:after="120" w:line="276" w:lineRule="auto"/>
        <w:jc w:val="right"/>
        <w:bidi w:val="1"/>
      </w:pPr>
      <w:r>
        <w:t>ولهذا تستخدم هذه الدراسة الدرجات الآتية: «توافق قوي»، «توافق جزئي»، «اختلاف منهجي مشروع»، «تعارض يحتاج اختبارًا»، و«ادعاء غير ثابت». ولا يُستخدم وصف «خاطئ» إلا إذا كان الادعاء مناقضًا للنص المنقول، أو معممًا بما يخالف أمثلة صريحة، أو دائريًا لا يقبل الفحص.</w:t>
      </w:r>
    </w:p>
    <w:p>
      <w:pPr>
        <w:pStyle w:val="Heading1"/>
        <w:jc w:val="right"/>
        <w:bidi w:val="1"/>
      </w:pPr>
      <w:r>
        <w:t>2. ماذا يفهم التراث من «عربي مبين» و«لعلكم تعقلون» و«غير ذي عوج»؟</w:t>
      </w:r>
    </w:p>
    <w:p>
      <w:pPr>
        <w:spacing w:after="120" w:line="276" w:lineRule="auto"/>
        <w:jc w:val="right"/>
        <w:bidi w:val="1"/>
      </w:pPr>
      <w:r>
        <w:t>في تفسير «بلسان عربي مبين» يفسر الطبري «عربي» بلسان العرب الذي يفهمه المخاطبون، ويجعل كون القرآن بلسانهم رفعًا لعذر عدم الفهم [S12]. ويشرح ابن عاشور «المبين» بأنه الموضح للمعاني بما في العربية من نظم وإعراب وتقديم وتأخير وأساليب متعددة [S15]. هذا يؤيد بقوة أن «عربي» وصف للسان لا امتيازًا عرقيًا، لكنه لا يؤيد فصل القرآن عن العربية التاريخية ومعهود استعمالها.</w:t>
      </w:r>
    </w:p>
    <w:p>
      <w:pPr>
        <w:spacing w:after="120" w:line="276" w:lineRule="auto"/>
        <w:jc w:val="right"/>
        <w:bidi w:val="1"/>
      </w:pPr>
      <w:r>
        <w:t>وفي «قرآنًا عربيًا لعلكم تعقلون» يربط الطبري العربية بإمكان الفقه والفهم [S12]، ويرى ابن عاشور أن نزوله بلغتهم سبب لتعقل اللفظ والمعنى [S15]. إذن مشروع لسان القرآن يمكنه أن يبني على قابلية الخطاب للتعقل، لكن لا يصح أن يستنتج من الآية وحدها أن كل المعاني يمكن اكتشافها دون أي شاهد لغوي خارجي.</w:t>
      </w:r>
    </w:p>
    <w:p>
      <w:pPr>
        <w:spacing w:after="120" w:line="276" w:lineRule="auto"/>
        <w:jc w:val="right"/>
        <w:bidi w:val="1"/>
      </w:pPr>
      <w:r>
        <w:t>أما «غير ذي عوج» فقد فُسر عند الطبري بغير ذي لبس، ونقلت كتب التفسير معاني الاستقامة وعدم التضاد. ويربط ابن عاشور العوج المعنوي بمخالفة الصواب والتناقض. وهذا يقدم أساسًا قويًا لمبدأ الاتساق، بشرط ألا يتحول إلى حماية أي فرضية بشرية من النقض.</w:t>
      </w:r>
    </w:p>
    <w:p>
      <w:pPr>
        <w:spacing w:after="120" w:line="276" w:lineRule="auto"/>
        <w:jc w:val="right"/>
        <w:bidi w:val="1"/>
      </w:pPr>
      <w:r>
        <w:t>وفي النساء 82 يصرح الطبري بأن من دلائل المصدر الإلهي اتساق المعاني وائتلاف الأحكام وتصديق بعض القرآن بعضًا [S11]. هذه من أقوى السوابق التراثية لمبدأ الاتساق الداخلي في المشروع.</w:t>
      </w:r>
    </w:p>
    <w:p>
      <w:pPr>
        <w:pStyle w:val="Heading1"/>
        <w:jc w:val="right"/>
        <w:bidi w:val="1"/>
      </w:pPr>
      <w:r>
        <w:t>3. ابن فارس: أقوى سابقة للأصول والقياس، وأقوى تحذير من التعميم</w:t>
      </w:r>
    </w:p>
    <w:p>
      <w:pPr>
        <w:spacing w:after="120" w:line="276" w:lineRule="auto"/>
        <w:jc w:val="right"/>
        <w:bidi w:val="1"/>
      </w:pPr>
      <w:r>
        <w:t>يفتتح ابن فارس «مقاييس اللغة» بفكرة أن للعربية مقاييس صحيحة وأصولًا تتفرع منها الفروع [S1]، وفي «الصاحبي» يقرر القياس والاشتقاق ويعرض ربط تصاريف المادة بمعنى يجمعها [S2]. هذا يلتقي مباشرة مع فكرة تكوين «ملف للجذر» وتتبع مشتقاته وصيغه بدل التعامل مع كل لفظة منعزلة.</w:t>
      </w:r>
    </w:p>
    <w:p>
      <w:pPr>
        <w:spacing w:after="120" w:line="276" w:lineRule="auto"/>
        <w:jc w:val="right"/>
        <w:bidi w:val="1"/>
      </w:pPr>
      <w:r>
        <w:t>لكن ابن فارس نفسه يصرح في مواد متعددة بأن الحروف نفسها قد ترجع إلى «أصلين متباينين»، مثل مادة (قوي) [S3]. ولذلك لا يصح أن نستشهد بابن فارس لإثبات أن كل مجموعة حروف لها حتمًا نواة معنوية واحدة.</w:t>
      </w:r>
    </w:p>
    <w:p>
      <w:pPr>
        <w:spacing w:after="120" w:line="276" w:lineRule="auto"/>
        <w:jc w:val="right"/>
        <w:bidi w:val="1"/>
      </w:pPr>
      <w:r>
        <w:t>الخلاصة للمشروع: ابن فارس يدعم بقوة «البحث عن الأصل الجامع»، لكنه أيضًا يقدم اعتراضًا تاريخيًا معتبرًا على تحويل هذا البحث إلى مسلمة غير قابلة للفشل. إذا أصر المشروع على شرط الجامع الواحد لكل جذر قرآني، فينبغي أن يسميه «فرضًا منهجيًا خاصًا بالمدونة القرآنية» ويختبره على كل المواضع، لا أن ينسبه إلى ابن فارس بوصفه قاعدة مطلقة.</w:t>
      </w:r>
    </w:p>
    <w:p>
      <w:pPr>
        <w:pStyle w:val="Heading1"/>
        <w:jc w:val="right"/>
        <w:bidi w:val="1"/>
      </w:pPr>
      <w:r>
        <w:t>4. ابن جني: جمع التصاريف على معنى، مع تحذير من الإفراط</w:t>
      </w:r>
    </w:p>
    <w:p>
      <w:pPr>
        <w:spacing w:after="120" w:line="276" w:lineRule="auto"/>
        <w:jc w:val="right"/>
        <w:bidi w:val="1"/>
      </w:pPr>
      <w:r>
        <w:t>يصف ابن جني الاشتقاق الأصغر بأنه أخذ أصل وتتبع تصاريفه وجمع معانيها رغم اختلاف الصيغ، ويذكر (س ل م) مثالًا يرده إلى السلامة [S4]. وهذا قريب جدًا من جوهر منهج لسان القرآن: فصل الثابت الجذري عما تضيفه الصيغ.</w:t>
      </w:r>
    </w:p>
    <w:p>
      <w:pPr>
        <w:spacing w:after="120" w:line="276" w:lineRule="auto"/>
        <w:jc w:val="right"/>
        <w:bidi w:val="1"/>
      </w:pPr>
      <w:r>
        <w:t>لكن ابن جني يذهب أيضًا إلى «الاشتقاق الأكبر» وربط تقاليب الحروف بمعنى أعم، ويستعمل أحيانًا التأويل لرد البعيد إلى الجامع. هذا الباب مفيد لتوليد الفرضيات، لكنه أخطر من أن يصبح قاعدة إلزامية؛ لأنه قد يغري برد النتائج بالتكلف.</w:t>
      </w:r>
    </w:p>
    <w:p>
      <w:pPr>
        <w:spacing w:after="120" w:line="276" w:lineRule="auto"/>
        <w:jc w:val="right"/>
        <w:bidi w:val="1"/>
      </w:pPr>
      <w:r>
        <w:t>المقترح: يعتمد المشروع من ابن جني مبدأ «تتبع التصاريف والبحث عن الجامع»، أما دلالة الحروف وتقاليب الجذر والتصاقب فتظل مسارات استكشافية لا تدخل النتيجة الجذرية إلا إذا أثبتتها المدونة دون تكلف.</w:t>
      </w:r>
    </w:p>
    <w:p>
      <w:pPr>
        <w:pStyle w:val="Heading1"/>
        <w:jc w:val="right"/>
        <w:bidi w:val="1"/>
      </w:pPr>
      <w:r>
        <w:t>5. الراغب الأصفهاني: المفردة بوابة، لا نهاية التحليل</w:t>
      </w:r>
    </w:p>
    <w:p>
      <w:pPr>
        <w:spacing w:after="120" w:line="276" w:lineRule="auto"/>
        <w:jc w:val="right"/>
        <w:bidi w:val="1"/>
      </w:pPr>
      <w:r>
        <w:t>يرى الراغب أن تحقيق الألفاظ المفردة من أوائل ما يعين على إدراك معاني القرآن، ويرتب عمله على الحروف الأصلية ويشير إلى علاقات الاشتقاق [S5]. هذا يؤيد بوضوح فكرة بناء معرفة وصفية صلبة للجذور والمشتقات قبل الانتقال إلى الحكم الدلالي.</w:t>
      </w:r>
    </w:p>
    <w:p>
      <w:pPr>
        <w:spacing w:after="120" w:line="276" w:lineRule="auto"/>
        <w:jc w:val="right"/>
        <w:bidi w:val="1"/>
      </w:pPr>
      <w:r>
        <w:t>غير أن منهجه ليس «قرآنيًا مغلقًا» بالمفهوم الذي اعتمده مشروعنا؛ فهو يستفيد من كلام العرب وشواهد لغوية أوسع. ومن ثم فالراغب سابقة قوية لأولوية تحقيق اللفظ، لا سابقة لعزل المصادر الخارجية.</w:t>
      </w:r>
    </w:p>
    <w:p>
      <w:pPr>
        <w:pStyle w:val="Heading1"/>
        <w:jc w:val="right"/>
        <w:bidi w:val="1"/>
      </w:pPr>
      <w:r>
        <w:t>6. عبد القاهر الجرجاني: التركيب يمنع اختزال المعنى في الجذر</w:t>
      </w:r>
    </w:p>
    <w:p>
      <w:pPr>
        <w:spacing w:after="120" w:line="276" w:lineRule="auto"/>
        <w:jc w:val="right"/>
        <w:bidi w:val="1"/>
      </w:pPr>
      <w:r>
        <w:t>المبدأ المركزي عند الجرجاني أن قيمة الكلام ومعناه لا تُفهم من مفرداته منفصلة، بل من العلاقات والنظم ومعاني النحو [S6]. هذه من أقوى الدعائم لتسلسل لسان القرآن: الجذر ثم الصيغة ثم التركيب ثم ما يقتضيه السياق.</w:t>
      </w:r>
    </w:p>
    <w:p>
      <w:pPr>
        <w:spacing w:after="120" w:line="276" w:lineRule="auto"/>
        <w:jc w:val="right"/>
        <w:bidi w:val="1"/>
      </w:pPr>
      <w:r>
        <w:t>والأثر النقدي لهذا المبدأ مهم: أي منهج جذري يفسر الآية من «معنى الجذر» وحده يكون ناقصًا. فالجذر مساهمة في المعنى، وليس المعنى الموضعي الكامل. ومن هنا يصبح الفصل الطبقي في مشروعنا ليس ترفًا، بل حماية من الاختزال.</w:t>
      </w:r>
    </w:p>
    <w:p>
      <w:pPr>
        <w:pStyle w:val="Heading1"/>
        <w:jc w:val="right"/>
        <w:bidi w:val="1"/>
      </w:pPr>
      <w:r>
        <w:t>7. أبو هلال العسكري والرماني: الخلاف القديم حول الترادف</w:t>
      </w:r>
    </w:p>
    <w:p>
      <w:pPr>
        <w:spacing w:after="120" w:line="276" w:lineRule="auto"/>
        <w:jc w:val="right"/>
        <w:bidi w:val="1"/>
      </w:pPr>
      <w:r>
        <w:t>أبو هلال يمثل اتجاهًا قويًا في البحث عن الفروق الدقيقة بين الألفاظ المتقاربة، ويستخدم الاستعمال، وحروف التعدية، والصيغة، وما يترتب على المعنى أدواتٍ للتفريق [S7][S16]. وهذا يلتقي مع مصفوفة الجيران الدلاليين في المشروع.</w:t>
      </w:r>
    </w:p>
    <w:p>
      <w:pPr>
        <w:spacing w:after="120" w:line="276" w:lineRule="auto"/>
        <w:jc w:val="right"/>
        <w:bidi w:val="1"/>
      </w:pPr>
      <w:r>
        <w:t>لكن وجود كتاب الرماني «الألفاظ المترادفة المتقاربة المعنى» واتجاهات أخرى مثبتة للترادف يثبت أن إنكار الترادف لم يكن إجماعًا [S8]. لذلك فقول «كل اختلاف لفظ يثبت اختلاف معنى» لا يمكن جعله بديهية تاريخية أو منطقية.</w:t>
      </w:r>
    </w:p>
    <w:p>
      <w:pPr>
        <w:spacing w:after="120" w:line="276" w:lineRule="auto"/>
        <w:jc w:val="right"/>
        <w:bidi w:val="1"/>
      </w:pPr>
      <w:r>
        <w:t>الصياغة الأمتن للمشروع هي التي استقر عليها: اختلاف المبنى ينشئ سؤالًا وفرضية للفارق، ولا يثبت الفارق بذاته. فإذا لم تثبت المدونة فرقًا، فعدم الحسم أفضل من اختراع فارق.</w:t>
      </w:r>
    </w:p>
    <w:p>
      <w:pPr>
        <w:pStyle w:val="Heading1"/>
        <w:jc w:val="right"/>
        <w:bidi w:val="1"/>
      </w:pPr>
      <w:r>
        <w:t>8. الزركشي: الاستعمال والتركيب قبل التسوية بين الألفاظ</w:t>
      </w:r>
    </w:p>
    <w:p>
      <w:pPr>
        <w:spacing w:after="120" w:line="276" w:lineRule="auto"/>
        <w:jc w:val="right"/>
        <w:bidi w:val="1"/>
      </w:pPr>
      <w:r>
        <w:t>ينص الزركشي على مراعاة مجاري الاستعمال في الألفاظ التي يظن بها الترادف، وعلى أن للتركيب معنى غير معنى الإفراد [S9]. هذه صياغة قريبة جدًا من منهج المقارنة الذي نريده.</w:t>
      </w:r>
    </w:p>
    <w:p>
      <w:pPr>
        <w:spacing w:after="120" w:line="276" w:lineRule="auto"/>
        <w:jc w:val="right"/>
        <w:bidi w:val="1"/>
      </w:pPr>
      <w:r>
        <w:t>لكن عبارة «القطع بعدم الترادف ما أمكن» نفسها ليست برهانًا أن كل زوج مختلف لا بد له من فرق جوهري. هي توجيه تحقيقي قوي: ابحث عن الفرق قبل التسوية، لا حكمًا مسبقًا يفرض الفرق.</w:t>
      </w:r>
    </w:p>
    <w:p>
      <w:pPr>
        <w:pStyle w:val="Heading1"/>
        <w:jc w:val="right"/>
        <w:bidi w:val="1"/>
      </w:pPr>
      <w:r>
        <w:t>9. ابن تيمية: أولوية القرآن بالقرآن وحدود المطابقة مع مشروعنا</w:t>
      </w:r>
    </w:p>
    <w:p>
      <w:pPr>
        <w:spacing w:after="120" w:line="276" w:lineRule="auto"/>
        <w:jc w:val="right"/>
        <w:bidi w:val="1"/>
      </w:pPr>
      <w:r>
        <w:t>يقرر ابن تيمية أن أصح طرق التفسير أن يفسر القرآن بالقرآن [S10]. وهذا يقدم سابقة واضحة لأولوية الاستقراء الداخلي وجمع النظائر.</w:t>
      </w:r>
    </w:p>
    <w:p>
      <w:pPr>
        <w:spacing w:after="120" w:line="276" w:lineRule="auto"/>
        <w:jc w:val="right"/>
        <w:bidi w:val="1"/>
      </w:pPr>
      <w:r>
        <w:t>لكن منهجه التقليدي ينتقل بعد ذلك إلى السنة ثم أقوال الصحابة واللغة. لذلك لا يجوز أن نقول إن «العزل الداخلي للمصادر حتى إغلاق النتيجة» هو منهج ابن تيمية. العزل في مشروع لسان القرآن أداة حديثة لضبط التحيز، لا دعوى بأنه كان مسلك المفسرين تاريخيًا.</w:t>
      </w:r>
    </w:p>
    <w:p>
      <w:pPr>
        <w:spacing w:after="120" w:line="276" w:lineRule="auto"/>
        <w:jc w:val="right"/>
        <w:bidi w:val="1"/>
      </w:pPr>
      <w:r>
        <w:t>الأدق: نستفيد من ابن تيمية في ترتيب الأولوية، ثم نضيف نحن فصلًا تجريبيًا بين الاستقراء الداخلي والمقارنة الخارجية حتى نستطيع قياس مقدار ما جاء من القرآن نفسه.</w:t>
      </w:r>
    </w:p>
    <w:p>
      <w:pPr>
        <w:pStyle w:val="Heading1"/>
        <w:jc w:val="right"/>
        <w:bidi w:val="1"/>
      </w:pPr>
      <w:r>
        <w:t>10. الطبري: الاتساق قوي، لكن مصادر التفسير أوسع من القرآن وحده</w:t>
      </w:r>
    </w:p>
    <w:p>
      <w:pPr>
        <w:spacing w:after="120" w:line="276" w:lineRule="auto"/>
        <w:jc w:val="right"/>
        <w:bidi w:val="1"/>
      </w:pPr>
      <w:r>
        <w:t>الطبري في النساء 82 يربط القرآن باتساق معانيه وائتلاف أحكامه وتأييد بعضه بعضًا [S11]؛ وهذا قريب جدًا من مبدأ «لا اختلاف». كما يفسر العربية بلسان العرب الذي يفهمه المخاطبون [S12].</w:t>
      </w:r>
    </w:p>
    <w:p>
      <w:pPr>
        <w:spacing w:after="120" w:line="276" w:lineRule="auto"/>
        <w:jc w:val="right"/>
        <w:bidi w:val="1"/>
      </w:pPr>
      <w:r>
        <w:t>ومع ذلك، بنية تفسيره نفسها تجمع المأثور والقراءات والنحو وشواهد الشعر. وهذا يعني أن الاستناد إلى الطبري لإثبات الاتساق مشروع، أما الاستناد إليه لإثبات «القرآن وحده مصدر التحليل اللغوي» فغير صحيح تاريخيًا.</w:t>
      </w:r>
    </w:p>
    <w:p>
      <w:pPr>
        <w:pStyle w:val="Heading1"/>
        <w:jc w:val="right"/>
        <w:bidi w:val="1"/>
      </w:pPr>
      <w:r>
        <w:t>11. الشاطبي: أقوى اعتراض على فصل «عربي» عن معهود العربية</w:t>
      </w:r>
    </w:p>
    <w:p>
      <w:pPr>
        <w:spacing w:after="120" w:line="276" w:lineRule="auto"/>
        <w:jc w:val="right"/>
        <w:bidi w:val="1"/>
      </w:pPr>
      <w:r>
        <w:t>الشاطبي يقرر أن القرآن عربي في ألفاظه وأساليب معانيه، وأن فهمه يكون على معهود اللسان العربي [S13]. وهذا مهم جدًا في ضبط عبارة «عربي صفة وليست قومية».</w:t>
      </w:r>
    </w:p>
    <w:p>
      <w:pPr>
        <w:spacing w:after="120" w:line="276" w:lineRule="auto"/>
        <w:jc w:val="right"/>
        <w:bidi w:val="1"/>
      </w:pPr>
      <w:r>
        <w:t>الصياغة التي تصمد تاريخيًا ومنطقيًا هي: «عربي وصف للسان لا سلطة عرقية أو قومية؛ لكن هذا اللسان له استعمال تاريخي وقواعد وأساليب معروفة». أما صياغة «عربي لا علاقة له بمعهود العرب» فغير مؤيدة بالمصادر الكبرى، بل تخالفها.</w:t>
      </w:r>
    </w:p>
    <w:p>
      <w:pPr>
        <w:spacing w:after="120" w:line="276" w:lineRule="auto"/>
        <w:jc w:val="right"/>
        <w:bidi w:val="1"/>
      </w:pPr>
      <w:r>
        <w:t>ولهذا يمكن لمشروعنا أن يؤجل المعاجم والشعر إلى مرحلة المقارنة الخارجية، لكنه لا ينبغي أن ينكر مبدئيًا قيمة العربية التاريخية كشاهد؛ وإلا صار مفهوم «عربي» بلا مادة قابلة للفحص خارج المدونة.</w:t>
      </w:r>
    </w:p>
    <w:p>
      <w:pPr>
        <w:pStyle w:val="Heading1"/>
        <w:jc w:val="right"/>
        <w:bidi w:val="1"/>
      </w:pPr>
      <w:r>
        <w:t>12. ابن عاشور: «عادات القرآن» أقرب سابقة للاستقراء الداخلي المنظم</w:t>
      </w:r>
    </w:p>
    <w:p>
      <w:pPr>
        <w:spacing w:after="120" w:line="276" w:lineRule="auto"/>
        <w:jc w:val="right"/>
        <w:bidi w:val="1"/>
      </w:pPr>
      <w:r>
        <w:t>يصرح ابن عاشور بأنه استقرأ «عادات» و«اصطلاحات» للقرآن من تكرر استعمالاته وأساليبه [S14]. هذه ربما أقرب سابقة تفسيرية لفكرة بناء قواعد من الاستعمال القرآني المتكرر بدل البدء بتعريف خارجي جاهز.</w:t>
      </w:r>
    </w:p>
    <w:p>
      <w:pPr>
        <w:spacing w:after="120" w:line="276" w:lineRule="auto"/>
        <w:jc w:val="right"/>
        <w:bidi w:val="1"/>
      </w:pPr>
      <w:r>
        <w:t>كما يجعل النظم والتركيب والاحتمال البلاغي عناصر أصيلة في فهم المعنى [S15]. وهذا ينسجم مع فصل معنى الجذر عن معنى الصيغة والتركيب والسياق.</w:t>
      </w:r>
    </w:p>
    <w:p>
      <w:pPr>
        <w:spacing w:after="120" w:line="276" w:lineRule="auto"/>
        <w:jc w:val="right"/>
        <w:bidi w:val="1"/>
      </w:pPr>
      <w:r>
        <w:t>لكن دراسات اصطلاح القرآن عند ابن عاشور تشير إلى أن بعض القواعد تكون أغلبية لا مطردة بلا استثناء [S17]. هذه نقطة يجب الانتباه لها: «عادات القرآن» ليست كلها قوانين حتمية؛ وبعضها وصف استقرائي قابل للمراجعة.</w:t>
      </w:r>
    </w:p>
    <w:p>
      <w:pPr>
        <w:pStyle w:val="Heading1"/>
        <w:jc w:val="right"/>
        <w:bidi w:val="1"/>
      </w:pPr>
      <w:r>
        <w:t>13. مصفوفة الحكم على أهم مبادئ «لسان القرآن»</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8F5"/>
            <w:vAlign w:val="center"/>
          </w:tcPr>
          <w:p>
            <w:pPr>
              <w:jc w:val="right"/>
              <w:bidi w:val="1"/>
            </w:pPr>
            <w:r>
              <w:rPr>
                <w:rFonts w:ascii="Noto Sans Arabic" w:hAnsi="Noto Sans Arabic"/>
                <w:b/>
              </w:rPr>
              <w:t>مبدأ المشروع</w:t>
            </w:r>
          </w:p>
        </w:tc>
        <w:tc>
          <w:tcPr>
            <w:tcW w:type="dxa" w:w="2550"/>
            <w:shd w:fill="D9E8F5"/>
            <w:vAlign w:val="center"/>
          </w:tcPr>
          <w:p>
            <w:pPr>
              <w:jc w:val="right"/>
              <w:bidi w:val="1"/>
            </w:pPr>
            <w:r>
              <w:rPr>
                <w:rFonts w:ascii="Noto Sans Arabic" w:hAnsi="Noto Sans Arabic"/>
                <w:b/>
              </w:rPr>
              <w:t>درجة السند</w:t>
            </w:r>
          </w:p>
        </w:tc>
        <w:tc>
          <w:tcPr>
            <w:tcW w:type="dxa" w:w="2550"/>
            <w:shd w:fill="D9E8F5"/>
            <w:vAlign w:val="center"/>
          </w:tcPr>
          <w:p>
            <w:pPr>
              <w:jc w:val="right"/>
              <w:bidi w:val="1"/>
            </w:pPr>
            <w:r>
              <w:rPr>
                <w:rFonts w:ascii="Noto Sans Arabic" w:hAnsi="Noto Sans Arabic"/>
                <w:b/>
              </w:rPr>
              <w:t>أبرز السوابق</w:t>
            </w:r>
          </w:p>
        </w:tc>
        <w:tc>
          <w:tcPr>
            <w:tcW w:type="dxa" w:w="2550"/>
            <w:shd w:fill="D9E8F5"/>
            <w:vAlign w:val="center"/>
          </w:tcPr>
          <w:p>
            <w:pPr>
              <w:jc w:val="right"/>
              <w:bidi w:val="1"/>
            </w:pPr>
            <w:r>
              <w:rPr>
                <w:rFonts w:ascii="Noto Sans Arabic" w:hAnsi="Noto Sans Arabic"/>
                <w:b/>
              </w:rPr>
              <w:t>الحكم النقدي</w:t>
            </w:r>
          </w:p>
        </w:tc>
      </w:tr>
      <w:tr>
        <w:tc>
          <w:tcPr>
            <w:tcW w:type="dxa" w:w="2550"/>
            <w:vAlign w:val="center"/>
          </w:tcPr>
          <w:p>
            <w:pPr>
              <w:jc w:val="right"/>
              <w:bidi w:val="1"/>
            </w:pPr>
            <w:r>
              <w:rPr>
                <w:rFonts w:ascii="Noto Naskh Arabic" w:hAnsi="Noto Naskh Arabic"/>
                <w:sz w:val="18"/>
              </w:rPr>
              <w:t>الاستقراء من جميع المواضع</w:t>
            </w:r>
          </w:p>
        </w:tc>
        <w:tc>
          <w:tcPr>
            <w:tcW w:type="dxa" w:w="2550"/>
            <w:vAlign w:val="center"/>
          </w:tcPr>
          <w:p>
            <w:pPr>
              <w:jc w:val="right"/>
              <w:bidi w:val="1"/>
            </w:pPr>
            <w:r>
              <w:rPr>
                <w:rFonts w:ascii="Noto Naskh Arabic" w:hAnsi="Noto Naskh Arabic"/>
                <w:sz w:val="18"/>
              </w:rPr>
              <w:t>قوي</w:t>
            </w:r>
          </w:p>
        </w:tc>
        <w:tc>
          <w:tcPr>
            <w:tcW w:type="dxa" w:w="2550"/>
            <w:vAlign w:val="center"/>
          </w:tcPr>
          <w:p>
            <w:pPr>
              <w:jc w:val="right"/>
              <w:bidi w:val="1"/>
            </w:pPr>
            <w:r>
              <w:rPr>
                <w:rFonts w:ascii="Noto Naskh Arabic" w:hAnsi="Noto Naskh Arabic"/>
                <w:sz w:val="18"/>
              </w:rPr>
              <w:t>ابن جني، ابن عاشور، ابن تيمية</w:t>
            </w:r>
          </w:p>
        </w:tc>
        <w:tc>
          <w:tcPr>
            <w:tcW w:type="dxa" w:w="2550"/>
            <w:vAlign w:val="center"/>
          </w:tcPr>
          <w:p>
            <w:pPr>
              <w:jc w:val="right"/>
              <w:bidi w:val="1"/>
            </w:pPr>
            <w:r>
              <w:rPr>
                <w:rFonts w:ascii="Noto Naskh Arabic" w:hAnsi="Noto Naskh Arabic"/>
                <w:sz w:val="18"/>
              </w:rPr>
              <w:t>مدعوم بقوة من حيث تتبع الاستعمال، لكن «جميع المواضع» بوصفه Gate حتمي تطوير حديث.</w:t>
            </w:r>
          </w:p>
        </w:tc>
      </w:tr>
      <w:tr>
        <w:tc>
          <w:tcPr>
            <w:tcW w:type="dxa" w:w="2550"/>
            <w:vAlign w:val="center"/>
          </w:tcPr>
          <w:p>
            <w:pPr>
              <w:jc w:val="right"/>
              <w:bidi w:val="1"/>
            </w:pPr>
            <w:r>
              <w:rPr>
                <w:rFonts w:ascii="Noto Naskh Arabic" w:hAnsi="Noto Naskh Arabic"/>
                <w:sz w:val="18"/>
              </w:rPr>
              <w:t>البحث عن معنى جامع للجذر</w:t>
            </w:r>
          </w:p>
        </w:tc>
        <w:tc>
          <w:tcPr>
            <w:tcW w:type="dxa" w:w="2550"/>
            <w:vAlign w:val="center"/>
          </w:tcPr>
          <w:p>
            <w:pPr>
              <w:jc w:val="right"/>
              <w:bidi w:val="1"/>
            </w:pPr>
            <w:r>
              <w:rPr>
                <w:rFonts w:ascii="Noto Naskh Arabic" w:hAnsi="Noto Naskh Arabic"/>
                <w:sz w:val="18"/>
              </w:rPr>
              <w:t>قوي جزئيًا</w:t>
            </w:r>
          </w:p>
        </w:tc>
        <w:tc>
          <w:tcPr>
            <w:tcW w:type="dxa" w:w="2550"/>
            <w:vAlign w:val="center"/>
          </w:tcPr>
          <w:p>
            <w:pPr>
              <w:jc w:val="right"/>
              <w:bidi w:val="1"/>
            </w:pPr>
            <w:r>
              <w:rPr>
                <w:rFonts w:ascii="Noto Naskh Arabic" w:hAnsi="Noto Naskh Arabic"/>
                <w:sz w:val="18"/>
              </w:rPr>
              <w:t>ابن فارس، ابن جني</w:t>
            </w:r>
          </w:p>
        </w:tc>
        <w:tc>
          <w:tcPr>
            <w:tcW w:type="dxa" w:w="2550"/>
            <w:vAlign w:val="center"/>
          </w:tcPr>
          <w:p>
            <w:pPr>
              <w:jc w:val="right"/>
              <w:bidi w:val="1"/>
            </w:pPr>
            <w:r>
              <w:rPr>
                <w:rFonts w:ascii="Noto Naskh Arabic" w:hAnsi="Noto Naskh Arabic"/>
                <w:sz w:val="18"/>
              </w:rPr>
              <w:t>له سابقة قوية، لكن ابن فارس يثبت أحيانًا أصلين متباينين؛ لا إجماع على وحدة كل مادة.</w:t>
            </w:r>
          </w:p>
        </w:tc>
      </w:tr>
      <w:tr>
        <w:tc>
          <w:tcPr>
            <w:tcW w:type="dxa" w:w="2550"/>
            <w:vAlign w:val="center"/>
          </w:tcPr>
          <w:p>
            <w:pPr>
              <w:jc w:val="right"/>
              <w:bidi w:val="1"/>
            </w:pPr>
            <w:r>
              <w:rPr>
                <w:rFonts w:ascii="Noto Naskh Arabic" w:hAnsi="Noto Naskh Arabic"/>
                <w:sz w:val="18"/>
              </w:rPr>
              <w:t>وجوب حضور معنى الجذر في كل موضع</w:t>
            </w:r>
          </w:p>
        </w:tc>
        <w:tc>
          <w:tcPr>
            <w:tcW w:type="dxa" w:w="2550"/>
            <w:vAlign w:val="center"/>
          </w:tcPr>
          <w:p>
            <w:pPr>
              <w:jc w:val="right"/>
              <w:bidi w:val="1"/>
            </w:pPr>
            <w:r>
              <w:rPr>
                <w:rFonts w:ascii="Noto Naskh Arabic" w:hAnsi="Noto Naskh Arabic"/>
                <w:sz w:val="18"/>
              </w:rPr>
              <w:t>فرض مشروع يحتاج اختبارًا</w:t>
            </w:r>
          </w:p>
        </w:tc>
        <w:tc>
          <w:tcPr>
            <w:tcW w:type="dxa" w:w="2550"/>
            <w:vAlign w:val="center"/>
          </w:tcPr>
          <w:p>
            <w:pPr>
              <w:jc w:val="right"/>
              <w:bidi w:val="1"/>
            </w:pPr>
            <w:r>
              <w:rPr>
                <w:rFonts w:ascii="Noto Naskh Arabic" w:hAnsi="Noto Naskh Arabic"/>
                <w:sz w:val="18"/>
              </w:rPr>
              <w:t>يستأنس بابن جني والاشتقاق</w:t>
            </w:r>
          </w:p>
        </w:tc>
        <w:tc>
          <w:tcPr>
            <w:tcW w:type="dxa" w:w="2550"/>
            <w:vAlign w:val="center"/>
          </w:tcPr>
          <w:p>
            <w:pPr>
              <w:jc w:val="right"/>
              <w:bidi w:val="1"/>
            </w:pPr>
            <w:r>
              <w:rPr>
                <w:rFonts w:ascii="Noto Naskh Arabic" w:hAnsi="Noto Naskh Arabic"/>
                <w:sz w:val="18"/>
              </w:rPr>
              <w:t>لا يوجد فيما راجعناه نص تراثي يثبت هذا الشرط بصيغته الصارمة لكل الجذور.</w:t>
            </w:r>
          </w:p>
        </w:tc>
      </w:tr>
      <w:tr>
        <w:tc>
          <w:tcPr>
            <w:tcW w:type="dxa" w:w="2550"/>
            <w:vAlign w:val="center"/>
          </w:tcPr>
          <w:p>
            <w:pPr>
              <w:jc w:val="right"/>
              <w:bidi w:val="1"/>
            </w:pPr>
            <w:r>
              <w:rPr>
                <w:rFonts w:ascii="Noto Naskh Arabic" w:hAnsi="Noto Naskh Arabic"/>
                <w:sz w:val="18"/>
              </w:rPr>
              <w:t>الجذر ≠ الصيغة ≠ التركيب ≠ السياق</w:t>
            </w:r>
          </w:p>
        </w:tc>
        <w:tc>
          <w:tcPr>
            <w:tcW w:type="dxa" w:w="2550"/>
            <w:vAlign w:val="center"/>
          </w:tcPr>
          <w:p>
            <w:pPr>
              <w:jc w:val="right"/>
              <w:bidi w:val="1"/>
            </w:pPr>
            <w:r>
              <w:rPr>
                <w:rFonts w:ascii="Noto Naskh Arabic" w:hAnsi="Noto Naskh Arabic"/>
                <w:sz w:val="18"/>
              </w:rPr>
              <w:t>قوي جدًا</w:t>
            </w:r>
          </w:p>
        </w:tc>
        <w:tc>
          <w:tcPr>
            <w:tcW w:type="dxa" w:w="2550"/>
            <w:vAlign w:val="center"/>
          </w:tcPr>
          <w:p>
            <w:pPr>
              <w:jc w:val="right"/>
              <w:bidi w:val="1"/>
            </w:pPr>
            <w:r>
              <w:rPr>
                <w:rFonts w:ascii="Noto Naskh Arabic" w:hAnsi="Noto Naskh Arabic"/>
                <w:sz w:val="18"/>
              </w:rPr>
              <w:t>ابن جني، الجرجاني، العسكري، الزركشي</w:t>
            </w:r>
          </w:p>
        </w:tc>
        <w:tc>
          <w:tcPr>
            <w:tcW w:type="dxa" w:w="2550"/>
            <w:vAlign w:val="center"/>
          </w:tcPr>
          <w:p>
            <w:pPr>
              <w:jc w:val="right"/>
              <w:bidi w:val="1"/>
            </w:pPr>
            <w:r>
              <w:rPr>
                <w:rFonts w:ascii="Noto Naskh Arabic" w:hAnsi="Noto Naskh Arabic"/>
                <w:sz w:val="18"/>
              </w:rPr>
              <w:t>من أقوى ما ينبغي تثبيته.</w:t>
            </w:r>
          </w:p>
        </w:tc>
      </w:tr>
      <w:tr>
        <w:tc>
          <w:tcPr>
            <w:tcW w:type="dxa" w:w="2550"/>
            <w:vAlign w:val="center"/>
          </w:tcPr>
          <w:p>
            <w:pPr>
              <w:jc w:val="right"/>
              <w:bidi w:val="1"/>
            </w:pPr>
            <w:r>
              <w:rPr>
                <w:rFonts w:ascii="Noto Naskh Arabic" w:hAnsi="Noto Naskh Arabic"/>
                <w:sz w:val="18"/>
              </w:rPr>
              <w:t>عدم افتراض الترادف التام</w:t>
            </w:r>
          </w:p>
        </w:tc>
        <w:tc>
          <w:tcPr>
            <w:tcW w:type="dxa" w:w="2550"/>
            <w:vAlign w:val="center"/>
          </w:tcPr>
          <w:p>
            <w:pPr>
              <w:jc w:val="right"/>
              <w:bidi w:val="1"/>
            </w:pPr>
            <w:r>
              <w:rPr>
                <w:rFonts w:ascii="Noto Naskh Arabic" w:hAnsi="Noto Naskh Arabic"/>
                <w:sz w:val="18"/>
              </w:rPr>
              <w:t>قوي</w:t>
            </w:r>
          </w:p>
        </w:tc>
        <w:tc>
          <w:tcPr>
            <w:tcW w:type="dxa" w:w="2550"/>
            <w:vAlign w:val="center"/>
          </w:tcPr>
          <w:p>
            <w:pPr>
              <w:jc w:val="right"/>
              <w:bidi w:val="1"/>
            </w:pPr>
            <w:r>
              <w:rPr>
                <w:rFonts w:ascii="Noto Naskh Arabic" w:hAnsi="Noto Naskh Arabic"/>
                <w:sz w:val="18"/>
              </w:rPr>
              <w:t>العسكري، الزركشي، ابن تيمية</w:t>
            </w:r>
          </w:p>
        </w:tc>
        <w:tc>
          <w:tcPr>
            <w:tcW w:type="dxa" w:w="2550"/>
            <w:vAlign w:val="center"/>
          </w:tcPr>
          <w:p>
            <w:pPr>
              <w:jc w:val="right"/>
              <w:bidi w:val="1"/>
            </w:pPr>
            <w:r>
              <w:rPr>
                <w:rFonts w:ascii="Noto Naskh Arabic" w:hAnsi="Noto Naskh Arabic"/>
                <w:sz w:val="18"/>
              </w:rPr>
              <w:t>لكن نفي الترادف مطلقًا متنازع فيه تاريخيًا.</w:t>
            </w:r>
          </w:p>
        </w:tc>
      </w:tr>
      <w:tr>
        <w:tc>
          <w:tcPr>
            <w:tcW w:type="dxa" w:w="2550"/>
            <w:vAlign w:val="center"/>
          </w:tcPr>
          <w:p>
            <w:pPr>
              <w:jc w:val="right"/>
              <w:bidi w:val="1"/>
            </w:pPr>
            <w:r>
              <w:rPr>
                <w:rFonts w:ascii="Noto Naskh Arabic" w:hAnsi="Noto Naskh Arabic"/>
                <w:sz w:val="18"/>
              </w:rPr>
              <w:t>اختلاف المبنى يثبت اختلاف المعنى</w:t>
            </w:r>
          </w:p>
        </w:tc>
        <w:tc>
          <w:tcPr>
            <w:tcW w:type="dxa" w:w="2550"/>
            <w:vAlign w:val="center"/>
          </w:tcPr>
          <w:p>
            <w:pPr>
              <w:jc w:val="right"/>
              <w:bidi w:val="1"/>
            </w:pPr>
            <w:r>
              <w:rPr>
                <w:rFonts w:ascii="Noto Naskh Arabic" w:hAnsi="Noto Naskh Arabic"/>
                <w:sz w:val="18"/>
              </w:rPr>
              <w:t>غير مقبول كقاعدة</w:t>
            </w:r>
          </w:p>
        </w:tc>
        <w:tc>
          <w:tcPr>
            <w:tcW w:type="dxa" w:w="2550"/>
            <w:vAlign w:val="center"/>
          </w:tcPr>
          <w:p>
            <w:pPr>
              <w:jc w:val="right"/>
              <w:bidi w:val="1"/>
            </w:pPr>
            <w:r>
              <w:rPr>
                <w:rFonts w:ascii="Noto Naskh Arabic" w:hAnsi="Noto Naskh Arabic"/>
                <w:sz w:val="18"/>
              </w:rPr>
              <w:t>يعترض عليه اتجاه الرماني وغيره</w:t>
            </w:r>
          </w:p>
        </w:tc>
        <w:tc>
          <w:tcPr>
            <w:tcW w:type="dxa" w:w="2550"/>
            <w:vAlign w:val="center"/>
          </w:tcPr>
          <w:p>
            <w:pPr>
              <w:jc w:val="right"/>
              <w:bidi w:val="1"/>
            </w:pPr>
            <w:r>
              <w:rPr>
                <w:rFonts w:ascii="Noto Naskh Arabic" w:hAnsi="Noto Naskh Arabic"/>
                <w:sz w:val="18"/>
              </w:rPr>
              <w:t>الأصح: اختلاف المبنى يوجب البحث لا النتيجة.</w:t>
            </w:r>
          </w:p>
        </w:tc>
      </w:tr>
      <w:tr>
        <w:tc>
          <w:tcPr>
            <w:tcW w:type="dxa" w:w="2550"/>
            <w:vAlign w:val="center"/>
          </w:tcPr>
          <w:p>
            <w:pPr>
              <w:jc w:val="right"/>
              <w:bidi w:val="1"/>
            </w:pPr>
            <w:r>
              <w:rPr>
                <w:rFonts w:ascii="Noto Naskh Arabic" w:hAnsi="Noto Naskh Arabic"/>
                <w:sz w:val="18"/>
              </w:rPr>
              <w:t>القرآن يفسر بعضه بعضًا</w:t>
            </w:r>
          </w:p>
        </w:tc>
        <w:tc>
          <w:tcPr>
            <w:tcW w:type="dxa" w:w="2550"/>
            <w:vAlign w:val="center"/>
          </w:tcPr>
          <w:p>
            <w:pPr>
              <w:jc w:val="right"/>
              <w:bidi w:val="1"/>
            </w:pPr>
            <w:r>
              <w:rPr>
                <w:rFonts w:ascii="Noto Naskh Arabic" w:hAnsi="Noto Naskh Arabic"/>
                <w:sz w:val="18"/>
              </w:rPr>
              <w:t>قوي جدًا</w:t>
            </w:r>
          </w:p>
        </w:tc>
        <w:tc>
          <w:tcPr>
            <w:tcW w:type="dxa" w:w="2550"/>
            <w:vAlign w:val="center"/>
          </w:tcPr>
          <w:p>
            <w:pPr>
              <w:jc w:val="right"/>
              <w:bidi w:val="1"/>
            </w:pPr>
            <w:r>
              <w:rPr>
                <w:rFonts w:ascii="Noto Naskh Arabic" w:hAnsi="Noto Naskh Arabic"/>
                <w:sz w:val="18"/>
              </w:rPr>
              <w:t>ابن تيمية، الطبري، ابن عاشور</w:t>
            </w:r>
          </w:p>
        </w:tc>
        <w:tc>
          <w:tcPr>
            <w:tcW w:type="dxa" w:w="2550"/>
            <w:vAlign w:val="center"/>
          </w:tcPr>
          <w:p>
            <w:pPr>
              <w:jc w:val="right"/>
              <w:bidi w:val="1"/>
            </w:pPr>
            <w:r>
              <w:rPr>
                <w:rFonts w:ascii="Noto Naskh Arabic" w:hAnsi="Noto Naskh Arabic"/>
                <w:sz w:val="18"/>
              </w:rPr>
              <w:t>سابق واضح للأولوية الداخلية.</w:t>
            </w:r>
          </w:p>
        </w:tc>
      </w:tr>
      <w:tr>
        <w:tc>
          <w:tcPr>
            <w:tcW w:type="dxa" w:w="2550"/>
            <w:vAlign w:val="center"/>
          </w:tcPr>
          <w:p>
            <w:pPr>
              <w:jc w:val="right"/>
              <w:bidi w:val="1"/>
            </w:pPr>
            <w:r>
              <w:rPr>
                <w:rFonts w:ascii="Noto Naskh Arabic" w:hAnsi="Noto Naskh Arabic"/>
                <w:sz w:val="18"/>
              </w:rPr>
              <w:t>العزل الكامل للمصادر الخارجية في المرحلة الأولى</w:t>
            </w:r>
          </w:p>
        </w:tc>
        <w:tc>
          <w:tcPr>
            <w:tcW w:type="dxa" w:w="2550"/>
            <w:vAlign w:val="center"/>
          </w:tcPr>
          <w:p>
            <w:pPr>
              <w:jc w:val="right"/>
              <w:bidi w:val="1"/>
            </w:pPr>
            <w:r>
              <w:rPr>
                <w:rFonts w:ascii="Noto Naskh Arabic" w:hAnsi="Noto Naskh Arabic"/>
                <w:sz w:val="18"/>
              </w:rPr>
              <w:t>جديد منهجيًا</w:t>
            </w:r>
          </w:p>
        </w:tc>
        <w:tc>
          <w:tcPr>
            <w:tcW w:type="dxa" w:w="2550"/>
            <w:vAlign w:val="center"/>
          </w:tcPr>
          <w:p>
            <w:pPr>
              <w:jc w:val="right"/>
              <w:bidi w:val="1"/>
            </w:pPr>
            <w:r>
              <w:rPr>
                <w:rFonts w:ascii="Noto Naskh Arabic" w:hAnsi="Noto Naskh Arabic"/>
                <w:sz w:val="18"/>
              </w:rPr>
              <w:t>لا مطابق تراثي مباشر</w:t>
            </w:r>
          </w:p>
        </w:tc>
        <w:tc>
          <w:tcPr>
            <w:tcW w:type="dxa" w:w="2550"/>
            <w:vAlign w:val="center"/>
          </w:tcPr>
          <w:p>
            <w:pPr>
              <w:jc w:val="right"/>
              <w:bidi w:val="1"/>
            </w:pPr>
            <w:r>
              <w:rPr>
                <w:rFonts w:ascii="Noto Naskh Arabic" w:hAnsi="Noto Naskh Arabic"/>
                <w:sz w:val="18"/>
              </w:rPr>
              <w:t>مبرره تقليل التحيز وقياس الاستقلال، لا أنه إجماع المفسرين.</w:t>
            </w:r>
          </w:p>
        </w:tc>
      </w:tr>
      <w:tr>
        <w:tc>
          <w:tcPr>
            <w:tcW w:type="dxa" w:w="2550"/>
            <w:vAlign w:val="center"/>
          </w:tcPr>
          <w:p>
            <w:pPr>
              <w:jc w:val="right"/>
              <w:bidi w:val="1"/>
            </w:pPr>
            <w:r>
              <w:rPr>
                <w:rFonts w:ascii="Noto Naskh Arabic" w:hAnsi="Noto Naskh Arabic"/>
                <w:sz w:val="18"/>
              </w:rPr>
              <w:t>«عربي» وصف للسان لا امتياز قومي</w:t>
            </w:r>
          </w:p>
        </w:tc>
        <w:tc>
          <w:tcPr>
            <w:tcW w:type="dxa" w:w="2550"/>
            <w:vAlign w:val="center"/>
          </w:tcPr>
          <w:p>
            <w:pPr>
              <w:jc w:val="right"/>
              <w:bidi w:val="1"/>
            </w:pPr>
            <w:r>
              <w:rPr>
                <w:rFonts w:ascii="Noto Naskh Arabic" w:hAnsi="Noto Naskh Arabic"/>
                <w:sz w:val="18"/>
              </w:rPr>
              <w:t>قوي مع ضبط</w:t>
            </w:r>
          </w:p>
        </w:tc>
        <w:tc>
          <w:tcPr>
            <w:tcW w:type="dxa" w:w="2550"/>
            <w:vAlign w:val="center"/>
          </w:tcPr>
          <w:p>
            <w:pPr>
              <w:jc w:val="right"/>
              <w:bidi w:val="1"/>
            </w:pPr>
            <w:r>
              <w:rPr>
                <w:rFonts w:ascii="Noto Naskh Arabic" w:hAnsi="Noto Naskh Arabic"/>
                <w:sz w:val="18"/>
              </w:rPr>
              <w:t>الطبري، الشاطبي، ابن عاشور</w:t>
            </w:r>
          </w:p>
        </w:tc>
        <w:tc>
          <w:tcPr>
            <w:tcW w:type="dxa" w:w="2550"/>
            <w:vAlign w:val="center"/>
          </w:tcPr>
          <w:p>
            <w:pPr>
              <w:jc w:val="right"/>
              <w:bidi w:val="1"/>
            </w:pPr>
            <w:r>
              <w:rPr>
                <w:rFonts w:ascii="Noto Naskh Arabic" w:hAnsi="Noto Naskh Arabic"/>
                <w:sz w:val="18"/>
              </w:rPr>
              <w:t>يجب عدم فصله عن اللسان العربي التاريخي ومعهوده.</w:t>
            </w:r>
          </w:p>
        </w:tc>
      </w:tr>
      <w:tr>
        <w:tc>
          <w:tcPr>
            <w:tcW w:type="dxa" w:w="2550"/>
            <w:vAlign w:val="center"/>
          </w:tcPr>
          <w:p>
            <w:pPr>
              <w:jc w:val="right"/>
              <w:bidi w:val="1"/>
            </w:pPr>
            <w:r>
              <w:rPr>
                <w:rFonts w:ascii="Noto Naskh Arabic" w:hAnsi="Noto Naskh Arabic"/>
                <w:sz w:val="18"/>
              </w:rPr>
              <w:t>الاتساق وعدم التناقض</w:t>
            </w:r>
          </w:p>
        </w:tc>
        <w:tc>
          <w:tcPr>
            <w:tcW w:type="dxa" w:w="2550"/>
            <w:vAlign w:val="center"/>
          </w:tcPr>
          <w:p>
            <w:pPr>
              <w:jc w:val="right"/>
              <w:bidi w:val="1"/>
            </w:pPr>
            <w:r>
              <w:rPr>
                <w:rFonts w:ascii="Noto Naskh Arabic" w:hAnsi="Noto Naskh Arabic"/>
                <w:sz w:val="18"/>
              </w:rPr>
              <w:t>قوي جدًا</w:t>
            </w:r>
          </w:p>
        </w:tc>
        <w:tc>
          <w:tcPr>
            <w:tcW w:type="dxa" w:w="2550"/>
            <w:vAlign w:val="center"/>
          </w:tcPr>
          <w:p>
            <w:pPr>
              <w:jc w:val="right"/>
              <w:bidi w:val="1"/>
            </w:pPr>
            <w:r>
              <w:rPr>
                <w:rFonts w:ascii="Noto Naskh Arabic" w:hAnsi="Noto Naskh Arabic"/>
                <w:sz w:val="18"/>
              </w:rPr>
              <w:t>الطبري، ابن عاشور</w:t>
            </w:r>
          </w:p>
        </w:tc>
        <w:tc>
          <w:tcPr>
            <w:tcW w:type="dxa" w:w="2550"/>
            <w:vAlign w:val="center"/>
          </w:tcPr>
          <w:p>
            <w:pPr>
              <w:jc w:val="right"/>
              <w:bidi w:val="1"/>
            </w:pPr>
            <w:r>
              <w:rPr>
                <w:rFonts w:ascii="Noto Naskh Arabic" w:hAnsi="Noto Naskh Arabic"/>
                <w:sz w:val="18"/>
              </w:rPr>
              <w:t>أصل قوي؛ لكن فشل فرضيتنا لا يعني فشل الاتساق.</w:t>
            </w:r>
          </w:p>
        </w:tc>
      </w:tr>
      <w:tr>
        <w:tc>
          <w:tcPr>
            <w:tcW w:type="dxa" w:w="2550"/>
            <w:vAlign w:val="center"/>
          </w:tcPr>
          <w:p>
            <w:pPr>
              <w:jc w:val="right"/>
              <w:bidi w:val="1"/>
            </w:pPr>
            <w:r>
              <w:rPr>
                <w:rFonts w:ascii="Noto Naskh Arabic" w:hAnsi="Noto Naskh Arabic"/>
                <w:sz w:val="18"/>
              </w:rPr>
              <w:t>المعاجم ليست سلطة حاكمة على النتيجة الداخلية</w:t>
            </w:r>
          </w:p>
        </w:tc>
        <w:tc>
          <w:tcPr>
            <w:tcW w:type="dxa" w:w="2550"/>
            <w:vAlign w:val="center"/>
          </w:tcPr>
          <w:p>
            <w:pPr>
              <w:jc w:val="right"/>
              <w:bidi w:val="1"/>
            </w:pPr>
            <w:r>
              <w:rPr>
                <w:rFonts w:ascii="Noto Naskh Arabic" w:hAnsi="Noto Naskh Arabic"/>
                <w:sz w:val="18"/>
              </w:rPr>
              <w:t>خيار مشروع</w:t>
            </w:r>
          </w:p>
        </w:tc>
        <w:tc>
          <w:tcPr>
            <w:tcW w:type="dxa" w:w="2550"/>
            <w:vAlign w:val="center"/>
          </w:tcPr>
          <w:p>
            <w:pPr>
              <w:jc w:val="right"/>
              <w:bidi w:val="1"/>
            </w:pPr>
            <w:r>
              <w:rPr>
                <w:rFonts w:ascii="Noto Naskh Arabic" w:hAnsi="Noto Naskh Arabic"/>
                <w:sz w:val="18"/>
              </w:rPr>
              <w:t>يختلف عن المسلك التقليدي</w:t>
            </w:r>
          </w:p>
        </w:tc>
        <w:tc>
          <w:tcPr>
            <w:tcW w:type="dxa" w:w="2550"/>
            <w:vAlign w:val="center"/>
          </w:tcPr>
          <w:p>
            <w:pPr>
              <w:jc w:val="right"/>
              <w:bidi w:val="1"/>
            </w:pPr>
            <w:r>
              <w:rPr>
                <w:rFonts w:ascii="Noto Naskh Arabic" w:hAnsi="Noto Naskh Arabic"/>
                <w:sz w:val="18"/>
              </w:rPr>
              <w:t>يصلح كبروتوكول بحثي داخلي، ثم تعاد المعاجم كشهود خارجيين.</w:t>
            </w:r>
          </w:p>
        </w:tc>
      </w:tr>
      <w:tr>
        <w:tc>
          <w:tcPr>
            <w:tcW w:type="dxa" w:w="2550"/>
            <w:vAlign w:val="center"/>
          </w:tcPr>
          <w:p>
            <w:pPr>
              <w:jc w:val="right"/>
              <w:bidi w:val="1"/>
            </w:pPr>
            <w:r>
              <w:rPr>
                <w:rFonts w:ascii="Noto Naskh Arabic" w:hAnsi="Noto Naskh Arabic"/>
                <w:sz w:val="18"/>
              </w:rPr>
              <w:t>دلالة الحروف/التصاقب قاعدة حاكمة</w:t>
            </w:r>
          </w:p>
        </w:tc>
        <w:tc>
          <w:tcPr>
            <w:tcW w:type="dxa" w:w="2550"/>
            <w:vAlign w:val="center"/>
          </w:tcPr>
          <w:p>
            <w:pPr>
              <w:jc w:val="right"/>
              <w:bidi w:val="1"/>
            </w:pPr>
            <w:r>
              <w:rPr>
                <w:rFonts w:ascii="Noto Naskh Arabic" w:hAnsi="Noto Naskh Arabic"/>
                <w:sz w:val="18"/>
              </w:rPr>
              <w:t>ضعيف كقاعدة</w:t>
            </w:r>
          </w:p>
        </w:tc>
        <w:tc>
          <w:tcPr>
            <w:tcW w:type="dxa" w:w="2550"/>
            <w:vAlign w:val="center"/>
          </w:tcPr>
          <w:p>
            <w:pPr>
              <w:jc w:val="right"/>
              <w:bidi w:val="1"/>
            </w:pPr>
            <w:r>
              <w:rPr>
                <w:rFonts w:ascii="Noto Naskh Arabic" w:hAnsi="Noto Naskh Arabic"/>
                <w:sz w:val="18"/>
              </w:rPr>
              <w:t>ابن جني يقدمها استكشافًا</w:t>
            </w:r>
          </w:p>
        </w:tc>
        <w:tc>
          <w:tcPr>
            <w:tcW w:type="dxa" w:w="2550"/>
            <w:vAlign w:val="center"/>
          </w:tcPr>
          <w:p>
            <w:pPr>
              <w:jc w:val="right"/>
              <w:bidi w:val="1"/>
            </w:pPr>
            <w:r>
              <w:rPr>
                <w:rFonts w:ascii="Noto Naskh Arabic" w:hAnsi="Noto Naskh Arabic"/>
                <w:sz w:val="18"/>
              </w:rPr>
              <w:t>ينبغي إبقاؤها فرضية مولدة لا Gate.</w:t>
            </w:r>
          </w:p>
        </w:tc>
      </w:tr>
    </w:tbl>
    <w:p/>
    <w:p>
      <w:pPr>
        <w:pStyle w:val="Heading1"/>
        <w:jc w:val="right"/>
        <w:bidi w:val="1"/>
      </w:pPr>
      <w:r>
        <w:t>14. ما الذي يمكن وصفه بأنه «متعارض أو خاطئ» بدقة؟</w:t>
      </w:r>
    </w:p>
    <w:p>
      <w:pPr>
        <w:spacing w:after="120" w:line="276" w:lineRule="auto"/>
        <w:jc w:val="right"/>
        <w:bidi w:val="1"/>
      </w:pPr>
      <w:r>
        <w:t>أولًا: خاطئ تاريخيًا أن نقول إن كبار علماء العربية أجمعوا على نفي الترادف؛ الخلاف قديم ومثبت، ومن رموزه الرماني والقائلون بالترادف في مقابل العسكري والفارسي وابن فارس وغيرهم.</w:t>
      </w:r>
    </w:p>
    <w:p>
      <w:pPr>
        <w:spacing w:after="120" w:line="276" w:lineRule="auto"/>
        <w:jc w:val="right"/>
        <w:bidi w:val="1"/>
      </w:pPr>
      <w:r>
        <w:t>ثانيًا: خاطئ تاريخيًا أن ننسب إلى ابن فارس القول بأن لكل مادة حروفية أصلًا دلاليًا واحدًا دائمًا؛ «مقاييس اللغة» نفسه يصرح أحيانًا بأصلين متباينين [S3].</w:t>
      </w:r>
    </w:p>
    <w:p>
      <w:pPr>
        <w:spacing w:after="120" w:line="276" w:lineRule="auto"/>
        <w:jc w:val="right"/>
        <w:bidi w:val="1"/>
      </w:pPr>
      <w:r>
        <w:t>ثالثًا: غير مدعوم أن نفسر «عربي» بوصفه صفة مجردة منفصلة عن لسان العرب التاريخي. المفسرون الذين راجعناهم يربطونه باللغة العربية ومعهودها، مع عدم وجود أي معنى يمنح جماعة بشرية سلطة دلالية لمجرد النسب [S12][S13][S15].</w:t>
      </w:r>
    </w:p>
    <w:p>
      <w:pPr>
        <w:spacing w:after="120" w:line="276" w:lineRule="auto"/>
        <w:jc w:val="right"/>
        <w:bidi w:val="1"/>
      </w:pPr>
      <w:r>
        <w:t>رابعًا: ضعيف منطقيًا أن نحمي معنى جذريًا مقترحًا من موضع معارض بحجة «القرآن متسق». الاتساق وصف للنص لا شهادة بصحة فرضيتنا؛ الموضع المعارض يجب أن يعيد فتح الفرضية.</w:t>
      </w:r>
    </w:p>
    <w:p>
      <w:pPr>
        <w:spacing w:after="120" w:line="276" w:lineRule="auto"/>
        <w:jc w:val="right"/>
        <w:bidi w:val="1"/>
      </w:pPr>
      <w:r>
        <w:t>خامسًا: ضعيف منهجيًا أن نجعل كل زيادة صرفية أو كل حرف صاحب معنى ثابت قبل الاستقراء؛ المصادر القديمة نفسها متعددة في تفسير وظائف الصيغ، والسياق والتركيب قد يحددان تحقق الأثر.</w:t>
      </w:r>
    </w:p>
    <w:p>
      <w:pPr>
        <w:spacing w:after="120" w:line="276" w:lineRule="auto"/>
        <w:jc w:val="right"/>
        <w:bidi w:val="1"/>
      </w:pPr>
      <w:r>
        <w:t>سادسًا: غير صحيح أن كل ما يخالف بروتوكول «العزل الداخلي» يكون خطأ في نفسه. اعتماد المفسرين على السنة والشعر وكلام العرب منهج تاريخي معتبر؛ مشروعنا يؤجله لغاية تجريبية هي منع التسرب وقياس ما يمكن للنص أن يثبته داخليًا.</w:t>
      </w:r>
    </w:p>
    <w:p>
      <w:pPr>
        <w:pStyle w:val="Heading1"/>
        <w:jc w:val="right"/>
        <w:bidi w:val="1"/>
      </w:pPr>
      <w:r>
        <w:t>15. النتيجة الخاصة بشرط «حضور معنى الجذر في جميع المواضع»</w:t>
      </w:r>
    </w:p>
    <w:p>
      <w:pPr>
        <w:spacing w:after="120" w:line="276" w:lineRule="auto"/>
        <w:jc w:val="right"/>
        <w:bidi w:val="1"/>
      </w:pPr>
      <w:r>
        <w:t>هذا الشرط يمكن أن يبقى من أقوى معايير المشروع، لكن يجب توصيفه بدقة: هو «مبدأ بحثي حاكم داخل لسان القرآن» وليس حقيقة تراثية مجمعًا عليها.</w:t>
      </w:r>
    </w:p>
    <w:p>
      <w:pPr>
        <w:spacing w:after="120" w:line="276" w:lineRule="auto"/>
        <w:jc w:val="right"/>
        <w:bidi w:val="1"/>
      </w:pPr>
      <w:r>
        <w:t>أفضل دعم تراثي له هو مبدأ الاشتقاق عند ابن جني الذي يجمع تصاريف الأصل على معنى، وفكرة المقاييس والأصول عند ابن فارس [S1][S2][S4]. لكن وجود «أصلين متباينين» عند ابن فارس يمنع استخدام التراث وحده لإثبات العموم.</w:t>
      </w:r>
    </w:p>
    <w:p>
      <w:pPr>
        <w:spacing w:after="120" w:line="276" w:lineRule="auto"/>
        <w:jc w:val="right"/>
        <w:bidi w:val="1"/>
      </w:pPr>
      <w:r>
        <w:t>منطقيًا يمكن للمشروع أن يقول: إذا ثبت أن مجموعة من المواضع تنتمي إلى «الجذر نفسه بالمعنى الاشتقاقي نفسه»، فيجب أن يظهر أثر مشترك قابل للتعريف بينها. فإذا لم يظهر، فهناك أربعة احتمالات يجب اختبارها: خطأ مفهوم الجذر، خطأ نسبة بعض المواضع، تداخل أصلين تاريخيين تحت الرسم نفسه، أو قصور التحليل في فصل الصيغة والتركيب والسياق.</w:t>
      </w:r>
    </w:p>
    <w:p>
      <w:pPr>
        <w:spacing w:after="120" w:line="276" w:lineRule="auto"/>
        <w:jc w:val="right"/>
        <w:bidi w:val="1"/>
      </w:pPr>
      <w:r>
        <w:t>ولهذا يجب أن يكون الموضع المخالف «ناقضًا للقبول» لا مادة لتأويل قسري، وأن يبقى UNRESOLVED جائزًا إلى أن يفسر التعارض.</w:t>
      </w:r>
    </w:p>
    <w:p>
      <w:pPr>
        <w:pStyle w:val="Heading1"/>
        <w:jc w:val="right"/>
        <w:bidi w:val="1"/>
      </w:pPr>
      <w:r>
        <w:t>16. كيف ينبغي استخدام التراث داخل مشروع لسان القرآن؟</w:t>
      </w:r>
    </w:p>
    <w:p>
      <w:pPr>
        <w:spacing w:after="120" w:line="276" w:lineRule="auto"/>
        <w:jc w:val="right"/>
        <w:bidi w:val="1"/>
      </w:pPr>
      <w:r>
        <w:t>تقترح الدراسة أربع وظائف فقط للتراث بعد تثبيت النتيجة الداخلية: (1) شاهد تاريخي على استعمال أو أصل لغوي، (2) منافس يختبر النتيجة الداخلية، (3) مولد لفرضيات جديدة يعاد اختبارها داخليًا، (4) سجل تاريخي يبين أن المسألة محل اتفاق أو خلاف.</w:t>
      </w:r>
    </w:p>
    <w:p>
      <w:pPr>
        <w:spacing w:after="120" w:line="276" w:lineRule="auto"/>
        <w:jc w:val="right"/>
        <w:bidi w:val="1"/>
      </w:pPr>
      <w:r>
        <w:t>ولا يعامل قول العالم - مهما علت منزلته - بوصفه دليلًا قرآنيًا تلقائيًا. وفي المقابل لا يرفض لأنه «تراث». القيمة تأتي من الحجة والشاهد والقدرة على تفسير المادة.</w:t>
      </w:r>
    </w:p>
    <w:p>
      <w:pPr>
        <w:spacing w:after="120" w:line="276" w:lineRule="auto"/>
        <w:jc w:val="right"/>
        <w:bidi w:val="1"/>
      </w:pPr>
      <w:r>
        <w:t>يوصى بإنشاء سجل: HERITAGE_COMPARATIVE_EVIDENCE_REGISTER يحتوي على: العالم، النص/المعنى المنقول، المصدر والموضع، القضية، نوع العلاقة بمنهجنا، هل هو شاهد لغوي أم تفسير أم فرضية، الشواهد التي اعتمد عليها، الاعتراضات، وحكم المقارنة.</w:t>
      </w:r>
    </w:p>
    <w:p>
      <w:pPr>
        <w:pStyle w:val="Heading1"/>
        <w:jc w:val="right"/>
        <w:bidi w:val="1"/>
      </w:pPr>
      <w:r>
        <w:t>17. توصيات مباشرة للحزمة والمنهجية</w:t>
      </w:r>
    </w:p>
    <w:p>
      <w:pPr>
        <w:spacing w:after="120" w:line="276" w:lineRule="auto"/>
        <w:jc w:val="right"/>
        <w:bidi w:val="1"/>
      </w:pPr>
      <w:r>
        <w:t>1) تثبيت «الاستقراء الداخلي أولًا» كبروتوكول بحث، مع التصريح أنه إضافة منهجية لضبط التحيز وليست ادعاءً بأنه المنهج الوحيد عند المتقدمين.</w:t>
      </w:r>
    </w:p>
    <w:p>
      <w:pPr>
        <w:spacing w:after="120" w:line="276" w:lineRule="auto"/>
        <w:jc w:val="right"/>
        <w:bidi w:val="1"/>
      </w:pPr>
      <w:r>
        <w:t>2) تثبيت «عربي وصف للسان لا للعرق»، وإضافة قيد: اللسان العربي له معهود تاريخي معتبر يُستخدم في المقارنة الخارجية، ولا يمنح أي قوم سلطة معرفية بمجرد النسب.</w:t>
      </w:r>
    </w:p>
    <w:p>
      <w:pPr>
        <w:spacing w:after="120" w:line="276" w:lineRule="auto"/>
        <w:jc w:val="right"/>
        <w:bidi w:val="1"/>
      </w:pPr>
      <w:r>
        <w:t>3) الإبقاء على «اختلاف المبنى ينشئ فرضية فرق ولا يثبتها» بدل النفي المطلق للترادف.</w:t>
      </w:r>
    </w:p>
    <w:p>
      <w:pPr>
        <w:spacing w:after="120" w:line="276" w:lineRule="auto"/>
        <w:jc w:val="right"/>
        <w:bidi w:val="1"/>
      </w:pPr>
      <w:r>
        <w:t>4) تثبيت الفصل بين الجذر والصيغة والتركيب والسياق مستندًا إلى ابن جني والجرجاني والزركشي.</w:t>
      </w:r>
    </w:p>
    <w:p>
      <w:pPr>
        <w:spacing w:after="120" w:line="276" w:lineRule="auto"/>
        <w:jc w:val="right"/>
        <w:bidi w:val="1"/>
      </w:pPr>
      <w:r>
        <w:t>5) إبقاء شرط حضور معنى الجذر في جميع المواضع كأعلى معيار قبول، لكن مع تعريفه كفرض منهجي قابل للدحض لا كإجماع لغوي تاريخي.</w:t>
      </w:r>
    </w:p>
    <w:p>
      <w:pPr>
        <w:spacing w:after="120" w:line="276" w:lineRule="auto"/>
        <w:jc w:val="right"/>
        <w:bidi w:val="1"/>
      </w:pPr>
      <w:r>
        <w:t>6) إذا فشل الشرط، لا يخفض إلى نسبة 95% أو 99%؛ بل يعاد فحص الجذر ونسبة المواضع واحتمال تعدد الأصول أو قصور التحليل.</w:t>
      </w:r>
    </w:p>
    <w:p>
      <w:pPr>
        <w:spacing w:after="120" w:line="276" w:lineRule="auto"/>
        <w:jc w:val="right"/>
        <w:bidi w:val="1"/>
      </w:pPr>
      <w:r>
        <w:t>7) تحويل أقوال العلماء التي تبدو مؤيدة أو معارضة إلى «حالات اختبار» بدل إضافتها مباشرة إلى قواعد المنهج.</w:t>
      </w:r>
    </w:p>
    <w:p>
      <w:pPr>
        <w:spacing w:after="120" w:line="276" w:lineRule="auto"/>
        <w:jc w:val="right"/>
        <w:bidi w:val="1"/>
      </w:pPr>
      <w:r>
        <w:t>8) عدم استخدام باب التصاقب أو دلالة الحروف إلا كمولد فرضيات حتى يثبت انتظامه عبر بيانات واسعة.</w:t>
      </w:r>
    </w:p>
    <w:p>
      <w:pPr>
        <w:pStyle w:val="Heading1"/>
        <w:jc w:val="right"/>
        <w:bidi w:val="1"/>
      </w:pPr>
      <w:r>
        <w:t>18. خلاصة الحكم</w:t>
      </w:r>
    </w:p>
    <w:p>
      <w:pPr>
        <w:spacing w:after="120" w:line="276" w:lineRule="auto"/>
        <w:jc w:val="right"/>
        <w:bidi w:val="1"/>
      </w:pPr>
      <w:r>
        <w:t>التراث يقدم أساسًا قويًا لمشروع لسان القرآن في خمسة محاور: الأصول والاشتقاق، تحقيق المفردة، أثر الصيغة، أثر التركيب والسياق، واستقراء استعمال القرآن واتساقه. وهذه ليست إسقاطات حديثة محضة؛ لها سوابق صريحة عند أئمة كبار.</w:t>
      </w:r>
    </w:p>
    <w:p>
      <w:pPr>
        <w:spacing w:after="120" w:line="276" w:lineRule="auto"/>
        <w:jc w:val="right"/>
        <w:bidi w:val="1"/>
      </w:pPr>
      <w:r>
        <w:t>لكن المشروع يصبح أكثر علمية إذا لم يبحث عن «شرعية تراثية» لكل قاعدة. بعض أفضل عناصره حديثة في صورتها التنفيذية: العزل التجريبي للمصادر، التغطية الآلية، الدحض الممنهج، الاختبارات المحجوبة، والتتبع البرمجي.</w:t>
      </w:r>
    </w:p>
    <w:p>
      <w:pPr>
        <w:spacing w:after="120" w:line="276" w:lineRule="auto"/>
        <w:jc w:val="right"/>
        <w:bidi w:val="1"/>
      </w:pPr>
      <w:r>
        <w:t>النتيجة الأهم: لا ينبغي أن تكون الوثيقة «إثبات أن العلماء قالوا ما نقوله»، بل «خريطة دقيقة لما سبقونا إليه، وما اختلفوا فيه، وما أضافه مشروعنا، وما يجب أن يظل قابلًا للدحض». بهذه الصيغة تصبح أقوى دعم للمنهج بدل أن تكون انتقاءً لتأييده.</w:t>
      </w:r>
    </w:p>
    <w:p>
      <w:pPr>
        <w:pStyle w:val="Heading1"/>
        <w:jc w:val="right"/>
        <w:bidi w:val="1"/>
      </w:pPr>
      <w:r>
        <w:t>سجل المصادر المستخدمة</w:t>
      </w:r>
    </w:p>
    <w:p>
      <w:pPr>
        <w:jc w:val="right"/>
        <w:bidi w:val="1"/>
      </w:pPr>
      <w:r>
        <w:t>أُعطيت الأولوية للنصوص الأولية المتاحة رقميًا. المصادر الأكاديمية المساعدة استُخدمت لتلخيص اتجاهات أو مناهج، لا لاستبدال النص الأصلي.</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8F5"/>
            <w:vAlign w:val="center"/>
          </w:tcPr>
          <w:p>
            <w:pPr>
              <w:jc w:val="right"/>
              <w:bidi w:val="1"/>
            </w:pPr>
            <w:r>
              <w:rPr>
                <w:b/>
              </w:rPr>
              <w:t>الرمز</w:t>
            </w:r>
          </w:p>
        </w:tc>
        <w:tc>
          <w:tcPr>
            <w:tcW w:type="dxa" w:w="2550"/>
            <w:shd w:fill="D9E8F5"/>
            <w:vAlign w:val="center"/>
          </w:tcPr>
          <w:p>
            <w:pPr>
              <w:jc w:val="right"/>
              <w:bidi w:val="1"/>
            </w:pPr>
            <w:r>
              <w:rPr>
                <w:b/>
              </w:rPr>
              <w:t>المصدر</w:t>
            </w:r>
          </w:p>
        </w:tc>
        <w:tc>
          <w:tcPr>
            <w:tcW w:type="dxa" w:w="2550"/>
            <w:shd w:fill="D9E8F5"/>
            <w:vAlign w:val="center"/>
          </w:tcPr>
          <w:p>
            <w:pPr>
              <w:jc w:val="right"/>
              <w:bidi w:val="1"/>
            </w:pPr>
            <w:r>
              <w:rPr>
                <w:b/>
              </w:rPr>
              <w:t>النوع</w:t>
            </w:r>
          </w:p>
        </w:tc>
        <w:tc>
          <w:tcPr>
            <w:tcW w:type="dxa" w:w="2550"/>
            <w:shd w:fill="D9E8F5"/>
            <w:vAlign w:val="center"/>
          </w:tcPr>
          <w:p>
            <w:pPr>
              <w:jc w:val="right"/>
              <w:bidi w:val="1"/>
            </w:pPr>
            <w:r>
              <w:rPr>
                <w:b/>
              </w:rPr>
              <w:t>وجه الاستفادة</w:t>
            </w:r>
          </w:p>
        </w:tc>
      </w:tr>
      <w:tr>
        <w:tc>
          <w:tcPr>
            <w:tcW w:type="dxa" w:w="2550"/>
            <w:vAlign w:val="center"/>
          </w:tcPr>
          <w:p>
            <w:pPr>
              <w:jc w:val="right"/>
              <w:bidi w:val="1"/>
            </w:pPr>
            <w:r>
              <w:rPr>
                <w:sz w:val="18"/>
              </w:rPr>
              <w:t>S1</w:t>
            </w:r>
          </w:p>
        </w:tc>
        <w:tc>
          <w:tcPr>
            <w:tcW w:type="dxa" w:w="2550"/>
            <w:vAlign w:val="center"/>
          </w:tcPr>
          <w:p>
            <w:pPr>
              <w:jc w:val="right"/>
              <w:bidi w:val="1"/>
            </w:pPr>
            <w:r>
              <w:rPr>
                <w:sz w:val="18"/>
              </w:rPr>
              <w:t>ابن فارس، مقدمة «مقاييس اللغة»</w:t>
            </w:r>
          </w:p>
          <w:p>
            <w:pPr>
              <w:jc w:val="right"/>
              <w:bidi w:val="1"/>
            </w:pPr>
            <w:hyperlink r:id="rId9">
              <w:r>
                <w:rPr>
                  <w:color w:val="0563C1"/>
                  <w:u w:val="single"/>
                  <w:rFonts w:cs="Noto Sans Arabic"/>
                </w:rPr>
                <w:t>رابط المصدر</w:t>
              </w:r>
            </w:hyperlink>
          </w:p>
        </w:tc>
        <w:tc>
          <w:tcPr>
            <w:tcW w:type="dxa" w:w="2550"/>
            <w:vAlign w:val="center"/>
          </w:tcPr>
          <w:p>
            <w:pPr>
              <w:jc w:val="right"/>
              <w:bidi w:val="1"/>
            </w:pPr>
            <w:r>
              <w:rPr>
                <w:sz w:val="18"/>
              </w:rPr>
              <w:t>نص أولي/لغوي</w:t>
            </w:r>
          </w:p>
        </w:tc>
        <w:tc>
          <w:tcPr>
            <w:tcW w:type="dxa" w:w="2550"/>
            <w:vAlign w:val="center"/>
          </w:tcPr>
          <w:p>
            <w:pPr>
              <w:jc w:val="right"/>
              <w:bidi w:val="1"/>
            </w:pPr>
            <w:r>
              <w:rPr>
                <w:sz w:val="18"/>
              </w:rPr>
              <w:t>يقرر أن للعربية مقاييس صحيحة وأصولًا تتفرع منها فروع.</w:t>
            </w:r>
          </w:p>
        </w:tc>
      </w:tr>
      <w:tr>
        <w:tc>
          <w:tcPr>
            <w:tcW w:type="dxa" w:w="2550"/>
            <w:vAlign w:val="center"/>
          </w:tcPr>
          <w:p>
            <w:pPr>
              <w:jc w:val="right"/>
              <w:bidi w:val="1"/>
            </w:pPr>
            <w:r>
              <w:rPr>
                <w:sz w:val="18"/>
              </w:rPr>
              <w:t>S2</w:t>
            </w:r>
          </w:p>
        </w:tc>
        <w:tc>
          <w:tcPr>
            <w:tcW w:type="dxa" w:w="2550"/>
            <w:vAlign w:val="center"/>
          </w:tcPr>
          <w:p>
            <w:pPr>
              <w:jc w:val="right"/>
              <w:bidi w:val="1"/>
            </w:pPr>
            <w:r>
              <w:rPr>
                <w:sz w:val="18"/>
              </w:rPr>
              <w:t>ابن فارس، «الصاحبي في فقه اللغة»</w:t>
            </w:r>
          </w:p>
          <w:p>
            <w:pPr>
              <w:jc w:val="right"/>
              <w:bidi w:val="1"/>
            </w:pPr>
            <w:hyperlink r:id="rId10">
              <w:r>
                <w:rPr>
                  <w:color w:val="0563C1"/>
                  <w:u w:val="single"/>
                  <w:rFonts w:cs="Noto Sans Arabic"/>
                </w:rPr>
                <w:t>رابط المصدر</w:t>
              </w:r>
            </w:hyperlink>
          </w:p>
        </w:tc>
        <w:tc>
          <w:tcPr>
            <w:tcW w:type="dxa" w:w="2550"/>
            <w:vAlign w:val="center"/>
          </w:tcPr>
          <w:p>
            <w:pPr>
              <w:jc w:val="right"/>
              <w:bidi w:val="1"/>
            </w:pPr>
            <w:r>
              <w:rPr>
                <w:sz w:val="18"/>
              </w:rPr>
              <w:t>نص أولي/لغوي</w:t>
            </w:r>
          </w:p>
        </w:tc>
        <w:tc>
          <w:tcPr>
            <w:tcW w:type="dxa" w:w="2550"/>
            <w:vAlign w:val="center"/>
          </w:tcPr>
          <w:p>
            <w:pPr>
              <w:jc w:val="right"/>
              <w:bidi w:val="1"/>
            </w:pPr>
            <w:r>
              <w:rPr>
                <w:sz w:val="18"/>
              </w:rPr>
              <w:t>يقرر القياس والاشتقاق، ويعرض مثالًا لجمع تصاريف المادة على معنى.</w:t>
            </w:r>
          </w:p>
        </w:tc>
      </w:tr>
      <w:tr>
        <w:tc>
          <w:tcPr>
            <w:tcW w:type="dxa" w:w="2550"/>
            <w:vAlign w:val="center"/>
          </w:tcPr>
          <w:p>
            <w:pPr>
              <w:jc w:val="right"/>
              <w:bidi w:val="1"/>
            </w:pPr>
            <w:r>
              <w:rPr>
                <w:sz w:val="18"/>
              </w:rPr>
              <w:t>S3</w:t>
            </w:r>
          </w:p>
        </w:tc>
        <w:tc>
          <w:tcPr>
            <w:tcW w:type="dxa" w:w="2550"/>
            <w:vAlign w:val="center"/>
          </w:tcPr>
          <w:p>
            <w:pPr>
              <w:jc w:val="right"/>
              <w:bidi w:val="1"/>
            </w:pPr>
            <w:r>
              <w:rPr>
                <w:sz w:val="18"/>
              </w:rPr>
              <w:t>ابن فارس، «مقاييس اللغة» مادة (قوي) ونظائرها</w:t>
            </w:r>
          </w:p>
          <w:p>
            <w:pPr>
              <w:jc w:val="right"/>
              <w:bidi w:val="1"/>
            </w:pPr>
            <w:hyperlink r:id="rId11">
              <w:r>
                <w:rPr>
                  <w:color w:val="0563C1"/>
                  <w:u w:val="single"/>
                  <w:rFonts w:cs="Noto Sans Arabic"/>
                </w:rPr>
                <w:t>رابط المصدر</w:t>
              </w:r>
            </w:hyperlink>
          </w:p>
        </w:tc>
        <w:tc>
          <w:tcPr>
            <w:tcW w:type="dxa" w:w="2550"/>
            <w:vAlign w:val="center"/>
          </w:tcPr>
          <w:p>
            <w:pPr>
              <w:jc w:val="right"/>
              <w:bidi w:val="1"/>
            </w:pPr>
            <w:r>
              <w:rPr>
                <w:sz w:val="18"/>
              </w:rPr>
              <w:t>نص أولي/لغوي</w:t>
            </w:r>
          </w:p>
        </w:tc>
        <w:tc>
          <w:tcPr>
            <w:tcW w:type="dxa" w:w="2550"/>
            <w:vAlign w:val="center"/>
          </w:tcPr>
          <w:p>
            <w:pPr>
              <w:jc w:val="right"/>
              <w:bidi w:val="1"/>
            </w:pPr>
            <w:r>
              <w:rPr>
                <w:sz w:val="18"/>
              </w:rPr>
              <w:t>يصرح أحيانًا بوجود أصلين متباينين تحت مادة واحدة، وهو قيد مهم على فرضية النواة الواحدة.</w:t>
            </w:r>
          </w:p>
        </w:tc>
      </w:tr>
      <w:tr>
        <w:tc>
          <w:tcPr>
            <w:tcW w:type="dxa" w:w="2550"/>
            <w:vAlign w:val="center"/>
          </w:tcPr>
          <w:p>
            <w:pPr>
              <w:jc w:val="right"/>
              <w:bidi w:val="1"/>
            </w:pPr>
            <w:r>
              <w:rPr>
                <w:sz w:val="18"/>
              </w:rPr>
              <w:t>S4</w:t>
            </w:r>
          </w:p>
        </w:tc>
        <w:tc>
          <w:tcPr>
            <w:tcW w:type="dxa" w:w="2550"/>
            <w:vAlign w:val="center"/>
          </w:tcPr>
          <w:p>
            <w:pPr>
              <w:jc w:val="right"/>
              <w:bidi w:val="1"/>
            </w:pPr>
            <w:r>
              <w:rPr>
                <w:sz w:val="18"/>
              </w:rPr>
              <w:t>ابن جني، «الخصائص» - باب الاشتقاق الأكبر</w:t>
            </w:r>
          </w:p>
          <w:p>
            <w:pPr>
              <w:jc w:val="right"/>
              <w:bidi w:val="1"/>
            </w:pPr>
            <w:hyperlink r:id="rId12">
              <w:r>
                <w:rPr>
                  <w:color w:val="0563C1"/>
                  <w:u w:val="single"/>
                  <w:rFonts w:cs="Noto Sans Arabic"/>
                </w:rPr>
                <w:t>رابط المصدر</w:t>
              </w:r>
            </w:hyperlink>
          </w:p>
        </w:tc>
        <w:tc>
          <w:tcPr>
            <w:tcW w:type="dxa" w:w="2550"/>
            <w:vAlign w:val="center"/>
          </w:tcPr>
          <w:p>
            <w:pPr>
              <w:jc w:val="right"/>
              <w:bidi w:val="1"/>
            </w:pPr>
            <w:r>
              <w:rPr>
                <w:sz w:val="18"/>
              </w:rPr>
              <w:t>نص أولي/لغوي</w:t>
            </w:r>
          </w:p>
        </w:tc>
        <w:tc>
          <w:tcPr>
            <w:tcW w:type="dxa" w:w="2550"/>
            <w:vAlign w:val="center"/>
          </w:tcPr>
          <w:p>
            <w:pPr>
              <w:jc w:val="right"/>
              <w:bidi w:val="1"/>
            </w:pPr>
            <w:r>
              <w:rPr>
                <w:sz w:val="18"/>
              </w:rPr>
              <w:t>يعرّف الاشتقاق الأصغر بجمع معاني تصاريف الأصل رغم اختلاف الصيغ، ويمثل بجذر س ل م.</w:t>
            </w:r>
          </w:p>
        </w:tc>
      </w:tr>
      <w:tr>
        <w:tc>
          <w:tcPr>
            <w:tcW w:type="dxa" w:w="2550"/>
            <w:vAlign w:val="center"/>
          </w:tcPr>
          <w:p>
            <w:pPr>
              <w:jc w:val="right"/>
              <w:bidi w:val="1"/>
            </w:pPr>
            <w:r>
              <w:rPr>
                <w:sz w:val="18"/>
              </w:rPr>
              <w:t>S5</w:t>
            </w:r>
          </w:p>
        </w:tc>
        <w:tc>
          <w:tcPr>
            <w:tcW w:type="dxa" w:w="2550"/>
            <w:vAlign w:val="center"/>
          </w:tcPr>
          <w:p>
            <w:pPr>
              <w:jc w:val="right"/>
              <w:bidi w:val="1"/>
            </w:pPr>
            <w:r>
              <w:rPr>
                <w:sz w:val="18"/>
              </w:rPr>
              <w:t>الراغب الأصفهاني، مقدمة «المفردات في غريب القرآن»</w:t>
            </w:r>
          </w:p>
          <w:p>
            <w:pPr>
              <w:jc w:val="right"/>
              <w:bidi w:val="1"/>
            </w:pPr>
            <w:hyperlink r:id="rId13">
              <w:r>
                <w:rPr>
                  <w:color w:val="0563C1"/>
                  <w:u w:val="single"/>
                  <w:rFonts w:cs="Noto Sans Arabic"/>
                </w:rPr>
                <w:t>رابط المصدر</w:t>
              </w:r>
            </w:hyperlink>
          </w:p>
        </w:tc>
        <w:tc>
          <w:tcPr>
            <w:tcW w:type="dxa" w:w="2550"/>
            <w:vAlign w:val="center"/>
          </w:tcPr>
          <w:p>
            <w:pPr>
              <w:jc w:val="right"/>
              <w:bidi w:val="1"/>
            </w:pPr>
            <w:r>
              <w:rPr>
                <w:sz w:val="18"/>
              </w:rPr>
              <w:t>نص أولي/ألفاظ القرآن</w:t>
            </w:r>
          </w:p>
        </w:tc>
        <w:tc>
          <w:tcPr>
            <w:tcW w:type="dxa" w:w="2550"/>
            <w:vAlign w:val="center"/>
          </w:tcPr>
          <w:p>
            <w:pPr>
              <w:jc w:val="right"/>
              <w:bidi w:val="1"/>
            </w:pPr>
            <w:r>
              <w:rPr>
                <w:sz w:val="18"/>
              </w:rPr>
              <w:t>يجعل تحقيق الألفاظ المفردة من أوائل ما يعين على إدراك معاني القرآن، ويراعي الأصول والاشتقاقات.</w:t>
            </w:r>
          </w:p>
        </w:tc>
      </w:tr>
      <w:tr>
        <w:tc>
          <w:tcPr>
            <w:tcW w:type="dxa" w:w="2550"/>
            <w:vAlign w:val="center"/>
          </w:tcPr>
          <w:p>
            <w:pPr>
              <w:jc w:val="right"/>
              <w:bidi w:val="1"/>
            </w:pPr>
            <w:r>
              <w:rPr>
                <w:sz w:val="18"/>
              </w:rPr>
              <w:t>S6</w:t>
            </w:r>
          </w:p>
        </w:tc>
        <w:tc>
          <w:tcPr>
            <w:tcW w:type="dxa" w:w="2550"/>
            <w:vAlign w:val="center"/>
          </w:tcPr>
          <w:p>
            <w:pPr>
              <w:jc w:val="right"/>
              <w:bidi w:val="1"/>
            </w:pPr>
            <w:r>
              <w:rPr>
                <w:sz w:val="18"/>
              </w:rPr>
              <w:t>عبد القاهر الجرجاني، «دلائل الإعجاز»</w:t>
            </w:r>
          </w:p>
          <w:p>
            <w:pPr>
              <w:jc w:val="right"/>
              <w:bidi w:val="1"/>
            </w:pPr>
            <w:hyperlink r:id="rId14">
              <w:r>
                <w:rPr>
                  <w:color w:val="0563C1"/>
                  <w:u w:val="single"/>
                  <w:rFonts w:cs="Noto Sans Arabic"/>
                </w:rPr>
                <w:t>رابط المصدر</w:t>
              </w:r>
            </w:hyperlink>
          </w:p>
        </w:tc>
        <w:tc>
          <w:tcPr>
            <w:tcW w:type="dxa" w:w="2550"/>
            <w:vAlign w:val="center"/>
          </w:tcPr>
          <w:p>
            <w:pPr>
              <w:jc w:val="right"/>
              <w:bidi w:val="1"/>
            </w:pPr>
            <w:r>
              <w:rPr>
                <w:sz w:val="18"/>
              </w:rPr>
              <w:t>نص أولي/بلاغة</w:t>
            </w:r>
          </w:p>
        </w:tc>
        <w:tc>
          <w:tcPr>
            <w:tcW w:type="dxa" w:w="2550"/>
            <w:vAlign w:val="center"/>
          </w:tcPr>
          <w:p>
            <w:pPr>
              <w:jc w:val="right"/>
              <w:bidi w:val="1"/>
            </w:pPr>
            <w:r>
              <w:rPr>
                <w:sz w:val="18"/>
              </w:rPr>
              <w:t>يربط المعنى بالنظم وعلاقات الكلمات ومعاني النحو، لا بالكلمات منفردة.</w:t>
            </w:r>
          </w:p>
        </w:tc>
      </w:tr>
      <w:tr>
        <w:tc>
          <w:tcPr>
            <w:tcW w:type="dxa" w:w="2550"/>
            <w:vAlign w:val="center"/>
          </w:tcPr>
          <w:p>
            <w:pPr>
              <w:jc w:val="right"/>
              <w:bidi w:val="1"/>
            </w:pPr>
            <w:r>
              <w:rPr>
                <w:sz w:val="18"/>
              </w:rPr>
              <w:t>S7</w:t>
            </w:r>
          </w:p>
        </w:tc>
        <w:tc>
          <w:tcPr>
            <w:tcW w:type="dxa" w:w="2550"/>
            <w:vAlign w:val="center"/>
          </w:tcPr>
          <w:p>
            <w:pPr>
              <w:jc w:val="right"/>
              <w:bidi w:val="1"/>
            </w:pPr>
            <w:r>
              <w:rPr>
                <w:sz w:val="18"/>
              </w:rPr>
              <w:t>أبو هلال العسكري، «الفروق اللغوية»</w:t>
            </w:r>
          </w:p>
          <w:p>
            <w:pPr>
              <w:jc w:val="right"/>
              <w:bidi w:val="1"/>
            </w:pPr>
            <w:hyperlink r:id="rId15">
              <w:r>
                <w:rPr>
                  <w:color w:val="0563C1"/>
                  <w:u w:val="single"/>
                  <w:rFonts w:cs="Noto Sans Arabic"/>
                </w:rPr>
                <w:t>رابط المصدر</w:t>
              </w:r>
            </w:hyperlink>
          </w:p>
        </w:tc>
        <w:tc>
          <w:tcPr>
            <w:tcW w:type="dxa" w:w="2550"/>
            <w:vAlign w:val="center"/>
          </w:tcPr>
          <w:p>
            <w:pPr>
              <w:jc w:val="right"/>
              <w:bidi w:val="1"/>
            </w:pPr>
            <w:r>
              <w:rPr>
                <w:sz w:val="18"/>
              </w:rPr>
              <w:t>نص أولي/فروق لغوية</w:t>
            </w:r>
          </w:p>
        </w:tc>
        <w:tc>
          <w:tcPr>
            <w:tcW w:type="dxa" w:w="2550"/>
            <w:vAlign w:val="center"/>
          </w:tcPr>
          <w:p>
            <w:pPr>
              <w:jc w:val="right"/>
              <w:bidi w:val="1"/>
            </w:pPr>
            <w:r>
              <w:rPr>
                <w:sz w:val="18"/>
              </w:rPr>
              <w:t>يفرّق بين الألفاظ المتقاربة من خلال الاستعمال والاقتضاء، ويعرض فروقًا دقيقة بين ألفاظ متقاربة.</w:t>
            </w:r>
          </w:p>
        </w:tc>
      </w:tr>
      <w:tr>
        <w:tc>
          <w:tcPr>
            <w:tcW w:type="dxa" w:w="2550"/>
            <w:vAlign w:val="center"/>
          </w:tcPr>
          <w:p>
            <w:pPr>
              <w:jc w:val="right"/>
              <w:bidi w:val="1"/>
            </w:pPr>
            <w:r>
              <w:rPr>
                <w:sz w:val="18"/>
              </w:rPr>
              <w:t>S8</w:t>
            </w:r>
          </w:p>
        </w:tc>
        <w:tc>
          <w:tcPr>
            <w:tcW w:type="dxa" w:w="2550"/>
            <w:vAlign w:val="center"/>
          </w:tcPr>
          <w:p>
            <w:pPr>
              <w:jc w:val="right"/>
              <w:bidi w:val="1"/>
            </w:pPr>
            <w:r>
              <w:rPr>
                <w:sz w:val="18"/>
              </w:rPr>
              <w:t>الرماني، «الألفاظ المترادفة المتقاربة المعنى»</w:t>
            </w:r>
          </w:p>
          <w:p>
            <w:pPr>
              <w:jc w:val="right"/>
              <w:bidi w:val="1"/>
            </w:pPr>
            <w:hyperlink r:id="rId16">
              <w:r>
                <w:rPr>
                  <w:color w:val="0563C1"/>
                  <w:u w:val="single"/>
                  <w:rFonts w:cs="Noto Sans Arabic"/>
                </w:rPr>
                <w:t>رابط المصدر</w:t>
              </w:r>
            </w:hyperlink>
          </w:p>
        </w:tc>
        <w:tc>
          <w:tcPr>
            <w:tcW w:type="dxa" w:w="2550"/>
            <w:vAlign w:val="center"/>
          </w:tcPr>
          <w:p>
            <w:pPr>
              <w:jc w:val="right"/>
              <w:bidi w:val="1"/>
            </w:pPr>
            <w:r>
              <w:rPr>
                <w:sz w:val="18"/>
              </w:rPr>
              <w:t>سجل كتاب/اتجاه مخالف</w:t>
            </w:r>
          </w:p>
        </w:tc>
        <w:tc>
          <w:tcPr>
            <w:tcW w:type="dxa" w:w="2550"/>
            <w:vAlign w:val="center"/>
          </w:tcPr>
          <w:p>
            <w:pPr>
              <w:jc w:val="right"/>
              <w:bidi w:val="1"/>
            </w:pPr>
            <w:r>
              <w:rPr>
                <w:sz w:val="18"/>
              </w:rPr>
              <w:t>يمثل اتجاهًا قديمًا يثبت قدرًا من الترادف أو التقارب الشديد؛ وجوده ينفي دعوى الإجماع على إنكار الترادف.</w:t>
            </w:r>
          </w:p>
        </w:tc>
      </w:tr>
      <w:tr>
        <w:tc>
          <w:tcPr>
            <w:tcW w:type="dxa" w:w="2550"/>
            <w:vAlign w:val="center"/>
          </w:tcPr>
          <w:p>
            <w:pPr>
              <w:jc w:val="right"/>
              <w:bidi w:val="1"/>
            </w:pPr>
            <w:r>
              <w:rPr>
                <w:sz w:val="18"/>
              </w:rPr>
              <w:t>S9</w:t>
            </w:r>
          </w:p>
        </w:tc>
        <w:tc>
          <w:tcPr>
            <w:tcW w:type="dxa" w:w="2550"/>
            <w:vAlign w:val="center"/>
          </w:tcPr>
          <w:p>
            <w:pPr>
              <w:jc w:val="right"/>
              <w:bidi w:val="1"/>
            </w:pPr>
            <w:r>
              <w:rPr>
                <w:sz w:val="18"/>
              </w:rPr>
              <w:t>الزركشي، «البرهان في علوم القرآن»</w:t>
            </w:r>
          </w:p>
          <w:p>
            <w:pPr>
              <w:jc w:val="right"/>
              <w:bidi w:val="1"/>
            </w:pPr>
            <w:hyperlink r:id="rId17">
              <w:r>
                <w:rPr>
                  <w:color w:val="0563C1"/>
                  <w:u w:val="single"/>
                  <w:rFonts w:cs="Noto Sans Arabic"/>
                </w:rPr>
                <w:t>رابط المصدر</w:t>
              </w:r>
            </w:hyperlink>
          </w:p>
        </w:tc>
        <w:tc>
          <w:tcPr>
            <w:tcW w:type="dxa" w:w="2550"/>
            <w:vAlign w:val="center"/>
          </w:tcPr>
          <w:p>
            <w:pPr>
              <w:jc w:val="right"/>
              <w:bidi w:val="1"/>
            </w:pPr>
            <w:r>
              <w:rPr>
                <w:sz w:val="18"/>
              </w:rPr>
              <w:t>نص أولي/علوم القرآن</w:t>
            </w:r>
          </w:p>
        </w:tc>
        <w:tc>
          <w:tcPr>
            <w:tcW w:type="dxa" w:w="2550"/>
            <w:vAlign w:val="center"/>
          </w:tcPr>
          <w:p>
            <w:pPr>
              <w:jc w:val="right"/>
              <w:bidi w:val="1"/>
            </w:pPr>
            <w:r>
              <w:rPr>
                <w:sz w:val="18"/>
              </w:rPr>
              <w:t>يوصي بمراعاة مجاري الاستعمال والقطع بعدم الترادف ما أمكن، ويؤكد أن للتركيب معنى غير الإفراد.</w:t>
            </w:r>
          </w:p>
        </w:tc>
      </w:tr>
      <w:tr>
        <w:tc>
          <w:tcPr>
            <w:tcW w:type="dxa" w:w="2550"/>
            <w:vAlign w:val="center"/>
          </w:tcPr>
          <w:p>
            <w:pPr>
              <w:jc w:val="right"/>
              <w:bidi w:val="1"/>
            </w:pPr>
            <w:r>
              <w:rPr>
                <w:sz w:val="18"/>
              </w:rPr>
              <w:t>S10</w:t>
            </w:r>
          </w:p>
        </w:tc>
        <w:tc>
          <w:tcPr>
            <w:tcW w:type="dxa" w:w="2550"/>
            <w:vAlign w:val="center"/>
          </w:tcPr>
          <w:p>
            <w:pPr>
              <w:jc w:val="right"/>
              <w:bidi w:val="1"/>
            </w:pPr>
            <w:r>
              <w:rPr>
                <w:sz w:val="18"/>
              </w:rPr>
              <w:t>ابن تيمية، «مقدمة في أصول التفسير»</w:t>
            </w:r>
          </w:p>
          <w:p>
            <w:pPr>
              <w:jc w:val="right"/>
              <w:bidi w:val="1"/>
            </w:pPr>
            <w:hyperlink r:id="rId18">
              <w:r>
                <w:rPr>
                  <w:color w:val="0563C1"/>
                  <w:u w:val="single"/>
                  <w:rFonts w:cs="Noto Sans Arabic"/>
                </w:rPr>
                <w:t>رابط المصدر</w:t>
              </w:r>
            </w:hyperlink>
          </w:p>
        </w:tc>
        <w:tc>
          <w:tcPr>
            <w:tcW w:type="dxa" w:w="2550"/>
            <w:vAlign w:val="center"/>
          </w:tcPr>
          <w:p>
            <w:pPr>
              <w:jc w:val="right"/>
              <w:bidi w:val="1"/>
            </w:pPr>
            <w:r>
              <w:rPr>
                <w:sz w:val="18"/>
              </w:rPr>
              <w:t>نص أولي/أصول تفسير</w:t>
            </w:r>
          </w:p>
        </w:tc>
        <w:tc>
          <w:tcPr>
            <w:tcW w:type="dxa" w:w="2550"/>
            <w:vAlign w:val="center"/>
          </w:tcPr>
          <w:p>
            <w:pPr>
              <w:jc w:val="right"/>
              <w:bidi w:val="1"/>
            </w:pPr>
            <w:r>
              <w:rPr>
                <w:sz w:val="18"/>
              </w:rPr>
              <w:t>يعد تفسير القرآن بالقرآن أصح الطرق، ثم ينتقل إلى السنة وغيرها؛ يدعم الأولوية الداخلية ولا يطابق العزل الدائم.</w:t>
            </w:r>
          </w:p>
        </w:tc>
      </w:tr>
      <w:tr>
        <w:tc>
          <w:tcPr>
            <w:tcW w:type="dxa" w:w="2550"/>
            <w:vAlign w:val="center"/>
          </w:tcPr>
          <w:p>
            <w:pPr>
              <w:jc w:val="right"/>
              <w:bidi w:val="1"/>
            </w:pPr>
            <w:r>
              <w:rPr>
                <w:sz w:val="18"/>
              </w:rPr>
              <w:t>S11</w:t>
            </w:r>
          </w:p>
        </w:tc>
        <w:tc>
          <w:tcPr>
            <w:tcW w:type="dxa" w:w="2550"/>
            <w:vAlign w:val="center"/>
          </w:tcPr>
          <w:p>
            <w:pPr>
              <w:jc w:val="right"/>
              <w:bidi w:val="1"/>
            </w:pPr>
            <w:r>
              <w:rPr>
                <w:sz w:val="18"/>
              </w:rPr>
              <w:t>الطبري، تفسير النساء 82</w:t>
            </w:r>
          </w:p>
          <w:p>
            <w:pPr>
              <w:jc w:val="right"/>
              <w:bidi w:val="1"/>
            </w:pPr>
            <w:hyperlink r:id="rId19">
              <w:r>
                <w:rPr>
                  <w:color w:val="0563C1"/>
                  <w:u w:val="single"/>
                  <w:rFonts w:cs="Noto Sans Arabic"/>
                </w:rPr>
                <w:t>رابط المصدر</w:t>
              </w:r>
            </w:hyperlink>
          </w:p>
        </w:tc>
        <w:tc>
          <w:tcPr>
            <w:tcW w:type="dxa" w:w="2550"/>
            <w:vAlign w:val="center"/>
          </w:tcPr>
          <w:p>
            <w:pPr>
              <w:jc w:val="right"/>
              <w:bidi w:val="1"/>
            </w:pPr>
            <w:r>
              <w:rPr>
                <w:sz w:val="18"/>
              </w:rPr>
              <w:t>نص أولي/تفسير</w:t>
            </w:r>
          </w:p>
        </w:tc>
        <w:tc>
          <w:tcPr>
            <w:tcW w:type="dxa" w:w="2550"/>
            <w:vAlign w:val="center"/>
          </w:tcPr>
          <w:p>
            <w:pPr>
              <w:jc w:val="right"/>
              <w:bidi w:val="1"/>
            </w:pPr>
            <w:r>
              <w:rPr>
                <w:sz w:val="18"/>
              </w:rPr>
              <w:t>يربط مصدر القرآن باتساق معانيه وائتلاف أحكامه وتصديق بعضه لبعض، وينفي التناقض.</w:t>
            </w:r>
          </w:p>
        </w:tc>
      </w:tr>
      <w:tr>
        <w:tc>
          <w:tcPr>
            <w:tcW w:type="dxa" w:w="2550"/>
            <w:vAlign w:val="center"/>
          </w:tcPr>
          <w:p>
            <w:pPr>
              <w:jc w:val="right"/>
              <w:bidi w:val="1"/>
            </w:pPr>
            <w:r>
              <w:rPr>
                <w:sz w:val="18"/>
              </w:rPr>
              <w:t>S12</w:t>
            </w:r>
          </w:p>
        </w:tc>
        <w:tc>
          <w:tcPr>
            <w:tcW w:type="dxa" w:w="2550"/>
            <w:vAlign w:val="center"/>
          </w:tcPr>
          <w:p>
            <w:pPr>
              <w:jc w:val="right"/>
              <w:bidi w:val="1"/>
            </w:pPr>
            <w:r>
              <w:rPr>
                <w:sz w:val="18"/>
              </w:rPr>
              <w:t>الطبري، تفسير الشعراء 195 ويوسف 2</w:t>
            </w:r>
          </w:p>
          <w:p>
            <w:pPr>
              <w:jc w:val="right"/>
              <w:bidi w:val="1"/>
            </w:pPr>
            <w:hyperlink r:id="rId20">
              <w:r>
                <w:rPr>
                  <w:color w:val="0563C1"/>
                  <w:u w:val="single"/>
                  <w:rFonts w:cs="Noto Sans Arabic"/>
                </w:rPr>
                <w:t>رابط المصدر</w:t>
              </w:r>
            </w:hyperlink>
          </w:p>
        </w:tc>
        <w:tc>
          <w:tcPr>
            <w:tcW w:type="dxa" w:w="2550"/>
            <w:vAlign w:val="center"/>
          </w:tcPr>
          <w:p>
            <w:pPr>
              <w:jc w:val="right"/>
              <w:bidi w:val="1"/>
            </w:pPr>
            <w:r>
              <w:rPr>
                <w:sz w:val="18"/>
              </w:rPr>
              <w:t>نص أولي/تفسير</w:t>
            </w:r>
          </w:p>
        </w:tc>
        <w:tc>
          <w:tcPr>
            <w:tcW w:type="dxa" w:w="2550"/>
            <w:vAlign w:val="center"/>
          </w:tcPr>
          <w:p>
            <w:pPr>
              <w:jc w:val="right"/>
              <w:bidi w:val="1"/>
            </w:pPr>
            <w:r>
              <w:rPr>
                <w:sz w:val="18"/>
              </w:rPr>
              <w:t>يفسر «عربي» بلسان العرب الذي يفهمه المخاطبون، ويجعل العربية سببًا للفهم.</w:t>
            </w:r>
          </w:p>
        </w:tc>
      </w:tr>
      <w:tr>
        <w:tc>
          <w:tcPr>
            <w:tcW w:type="dxa" w:w="2550"/>
            <w:vAlign w:val="center"/>
          </w:tcPr>
          <w:p>
            <w:pPr>
              <w:jc w:val="right"/>
              <w:bidi w:val="1"/>
            </w:pPr>
            <w:r>
              <w:rPr>
                <w:sz w:val="18"/>
              </w:rPr>
              <w:t>S13</w:t>
            </w:r>
          </w:p>
        </w:tc>
        <w:tc>
          <w:tcPr>
            <w:tcW w:type="dxa" w:w="2550"/>
            <w:vAlign w:val="center"/>
          </w:tcPr>
          <w:p>
            <w:pPr>
              <w:jc w:val="right"/>
              <w:bidi w:val="1"/>
            </w:pPr>
            <w:r>
              <w:rPr>
                <w:sz w:val="18"/>
              </w:rPr>
              <w:t>الشاطبي، «الموافقات» - قصد الشارع في وضع الشريعة للإفهام</w:t>
            </w:r>
          </w:p>
          <w:p>
            <w:pPr>
              <w:jc w:val="right"/>
              <w:bidi w:val="1"/>
            </w:pPr>
            <w:hyperlink r:id="rId21">
              <w:r>
                <w:rPr>
                  <w:color w:val="0563C1"/>
                  <w:u w:val="single"/>
                  <w:rFonts w:cs="Noto Sans Arabic"/>
                </w:rPr>
                <w:t>رابط المصدر</w:t>
              </w:r>
            </w:hyperlink>
          </w:p>
        </w:tc>
        <w:tc>
          <w:tcPr>
            <w:tcW w:type="dxa" w:w="2550"/>
            <w:vAlign w:val="center"/>
          </w:tcPr>
          <w:p>
            <w:pPr>
              <w:jc w:val="right"/>
              <w:bidi w:val="1"/>
            </w:pPr>
            <w:r>
              <w:rPr>
                <w:sz w:val="18"/>
              </w:rPr>
              <w:t>نص أولي/أصول</w:t>
            </w:r>
          </w:p>
        </w:tc>
        <w:tc>
          <w:tcPr>
            <w:tcW w:type="dxa" w:w="2550"/>
            <w:vAlign w:val="center"/>
          </w:tcPr>
          <w:p>
            <w:pPr>
              <w:jc w:val="right"/>
              <w:bidi w:val="1"/>
            </w:pPr>
            <w:r>
              <w:rPr>
                <w:sz w:val="18"/>
              </w:rPr>
              <w:t>يربط فهم القرآن بمعهود اللسان العربي في الألفاظ والأساليب.</w:t>
            </w:r>
          </w:p>
        </w:tc>
      </w:tr>
      <w:tr>
        <w:tc>
          <w:tcPr>
            <w:tcW w:type="dxa" w:w="2550"/>
            <w:vAlign w:val="center"/>
          </w:tcPr>
          <w:p>
            <w:pPr>
              <w:jc w:val="right"/>
              <w:bidi w:val="1"/>
            </w:pPr>
            <w:r>
              <w:rPr>
                <w:sz w:val="18"/>
              </w:rPr>
              <w:t>S14</w:t>
            </w:r>
          </w:p>
        </w:tc>
        <w:tc>
          <w:tcPr>
            <w:tcW w:type="dxa" w:w="2550"/>
            <w:vAlign w:val="center"/>
          </w:tcPr>
          <w:p>
            <w:pPr>
              <w:jc w:val="right"/>
              <w:bidi w:val="1"/>
            </w:pPr>
            <w:r>
              <w:rPr>
                <w:sz w:val="18"/>
              </w:rPr>
              <w:t>ابن عاشور، «التحرير والتنوير» - عادات القرآن</w:t>
            </w:r>
          </w:p>
          <w:p>
            <w:pPr>
              <w:jc w:val="right"/>
              <w:bidi w:val="1"/>
            </w:pPr>
            <w:hyperlink r:id="rId22">
              <w:r>
                <w:rPr>
                  <w:color w:val="0563C1"/>
                  <w:u w:val="single"/>
                  <w:rFonts w:cs="Noto Sans Arabic"/>
                </w:rPr>
                <w:t>رابط المصدر</w:t>
              </w:r>
            </w:hyperlink>
          </w:p>
        </w:tc>
        <w:tc>
          <w:tcPr>
            <w:tcW w:type="dxa" w:w="2550"/>
            <w:vAlign w:val="center"/>
          </w:tcPr>
          <w:p>
            <w:pPr>
              <w:jc w:val="right"/>
              <w:bidi w:val="1"/>
            </w:pPr>
            <w:r>
              <w:rPr>
                <w:sz w:val="18"/>
              </w:rPr>
              <w:t>نص أولي/تفسير</w:t>
            </w:r>
          </w:p>
        </w:tc>
        <w:tc>
          <w:tcPr>
            <w:tcW w:type="dxa" w:w="2550"/>
            <w:vAlign w:val="center"/>
          </w:tcPr>
          <w:p>
            <w:pPr>
              <w:jc w:val="right"/>
              <w:bidi w:val="1"/>
            </w:pPr>
            <w:r>
              <w:rPr>
                <w:sz w:val="18"/>
              </w:rPr>
              <w:t>يصرح باستقراء عادات واصطلاحات للقرآن من تتبع استعمالاته وأساليبه.</w:t>
            </w:r>
          </w:p>
        </w:tc>
      </w:tr>
      <w:tr>
        <w:tc>
          <w:tcPr>
            <w:tcW w:type="dxa" w:w="2550"/>
            <w:vAlign w:val="center"/>
          </w:tcPr>
          <w:p>
            <w:pPr>
              <w:jc w:val="right"/>
              <w:bidi w:val="1"/>
            </w:pPr>
            <w:r>
              <w:rPr>
                <w:sz w:val="18"/>
              </w:rPr>
              <w:t>S15</w:t>
            </w:r>
          </w:p>
        </w:tc>
        <w:tc>
          <w:tcPr>
            <w:tcW w:type="dxa" w:w="2550"/>
            <w:vAlign w:val="center"/>
          </w:tcPr>
          <w:p>
            <w:pPr>
              <w:jc w:val="right"/>
              <w:bidi w:val="1"/>
            </w:pPr>
            <w:r>
              <w:rPr>
                <w:sz w:val="18"/>
              </w:rPr>
              <w:t>ابن عاشور، تفسير الشعراء 195 والنساء 82 ويوسف 2</w:t>
            </w:r>
          </w:p>
          <w:p>
            <w:pPr>
              <w:jc w:val="right"/>
              <w:bidi w:val="1"/>
            </w:pPr>
            <w:hyperlink r:id="rId23">
              <w:r>
                <w:rPr>
                  <w:color w:val="0563C1"/>
                  <w:u w:val="single"/>
                  <w:rFonts w:cs="Noto Sans Arabic"/>
                </w:rPr>
                <w:t>رابط المصدر</w:t>
              </w:r>
            </w:hyperlink>
          </w:p>
        </w:tc>
        <w:tc>
          <w:tcPr>
            <w:tcW w:type="dxa" w:w="2550"/>
            <w:vAlign w:val="center"/>
          </w:tcPr>
          <w:p>
            <w:pPr>
              <w:jc w:val="right"/>
              <w:bidi w:val="1"/>
            </w:pPr>
            <w:r>
              <w:rPr>
                <w:sz w:val="18"/>
              </w:rPr>
              <w:t>نص أولي/تفسير</w:t>
            </w:r>
          </w:p>
        </w:tc>
        <w:tc>
          <w:tcPr>
            <w:tcW w:type="dxa" w:w="2550"/>
            <w:vAlign w:val="center"/>
          </w:tcPr>
          <w:p>
            <w:pPr>
              <w:jc w:val="right"/>
              <w:bidi w:val="1"/>
            </w:pPr>
            <w:r>
              <w:rPr>
                <w:sz w:val="18"/>
              </w:rPr>
              <w:t>يشرح البيان العربي ووضوحه، ويؤكد انتفاء الاختلاف، مع عناية بالنظم والاحتمالات السياقية.</w:t>
            </w:r>
          </w:p>
        </w:tc>
      </w:tr>
      <w:tr>
        <w:tc>
          <w:tcPr>
            <w:tcW w:type="dxa" w:w="2550"/>
            <w:vAlign w:val="center"/>
          </w:tcPr>
          <w:p>
            <w:pPr>
              <w:jc w:val="right"/>
              <w:bidi w:val="1"/>
            </w:pPr>
            <w:r>
              <w:rPr>
                <w:sz w:val="18"/>
              </w:rPr>
              <w:t>S16</w:t>
            </w:r>
          </w:p>
        </w:tc>
        <w:tc>
          <w:tcPr>
            <w:tcW w:type="dxa" w:w="2550"/>
            <w:vAlign w:val="center"/>
          </w:tcPr>
          <w:p>
            <w:pPr>
              <w:jc w:val="right"/>
              <w:bidi w:val="1"/>
            </w:pPr>
            <w:r>
              <w:rPr>
                <w:sz w:val="18"/>
              </w:rPr>
              <w:t>دراسة حديثة حول نظرية أبي هلال العسكري في الفروق اللغوية</w:t>
            </w:r>
          </w:p>
          <w:p>
            <w:pPr>
              <w:jc w:val="right"/>
              <w:bidi w:val="1"/>
            </w:pPr>
            <w:hyperlink r:id="rId24">
              <w:r>
                <w:rPr>
                  <w:color w:val="0563C1"/>
                  <w:u w:val="single"/>
                  <w:rFonts w:cs="Noto Sans Arabic"/>
                </w:rPr>
                <w:t>رابط المصدر</w:t>
              </w:r>
            </w:hyperlink>
          </w:p>
        </w:tc>
        <w:tc>
          <w:tcPr>
            <w:tcW w:type="dxa" w:w="2550"/>
            <w:vAlign w:val="center"/>
          </w:tcPr>
          <w:p>
            <w:pPr>
              <w:jc w:val="right"/>
              <w:bidi w:val="1"/>
            </w:pPr>
            <w:r>
              <w:rPr>
                <w:sz w:val="18"/>
              </w:rPr>
              <w:t>بحث أكاديمي مساعد</w:t>
            </w:r>
          </w:p>
        </w:tc>
        <w:tc>
          <w:tcPr>
            <w:tcW w:type="dxa" w:w="2550"/>
            <w:vAlign w:val="center"/>
          </w:tcPr>
          <w:p>
            <w:pPr>
              <w:jc w:val="right"/>
              <w:bidi w:val="1"/>
            </w:pPr>
            <w:r>
              <w:rPr>
                <w:sz w:val="18"/>
              </w:rPr>
              <w:t>تلخص أدوات العسكري في التفريق: الاستعمال، حروف التعدية، ما يؤول إليه المعنى، والصيغة الصرفية.</w:t>
            </w:r>
          </w:p>
        </w:tc>
      </w:tr>
      <w:tr>
        <w:tc>
          <w:tcPr>
            <w:tcW w:type="dxa" w:w="2550"/>
            <w:vAlign w:val="center"/>
          </w:tcPr>
          <w:p>
            <w:pPr>
              <w:jc w:val="right"/>
              <w:bidi w:val="1"/>
            </w:pPr>
            <w:r>
              <w:rPr>
                <w:sz w:val="18"/>
              </w:rPr>
              <w:t>S17</w:t>
            </w:r>
          </w:p>
        </w:tc>
        <w:tc>
          <w:tcPr>
            <w:tcW w:type="dxa" w:w="2550"/>
            <w:vAlign w:val="center"/>
          </w:tcPr>
          <w:p>
            <w:pPr>
              <w:jc w:val="right"/>
              <w:bidi w:val="1"/>
            </w:pPr>
            <w:r>
              <w:rPr>
                <w:sz w:val="18"/>
              </w:rPr>
              <w:t>دراسة حول استقراء ابن عاشور للاصطلاح القرآني</w:t>
            </w:r>
          </w:p>
          <w:p>
            <w:pPr>
              <w:jc w:val="right"/>
              <w:bidi w:val="1"/>
            </w:pPr>
            <w:hyperlink r:id="rId25">
              <w:r>
                <w:rPr>
                  <w:color w:val="0563C1"/>
                  <w:u w:val="single"/>
                  <w:rFonts w:cs="Noto Sans Arabic"/>
                </w:rPr>
                <w:t>رابط المصدر</w:t>
              </w:r>
            </w:hyperlink>
          </w:p>
        </w:tc>
        <w:tc>
          <w:tcPr>
            <w:tcW w:type="dxa" w:w="2550"/>
            <w:vAlign w:val="center"/>
          </w:tcPr>
          <w:p>
            <w:pPr>
              <w:jc w:val="right"/>
              <w:bidi w:val="1"/>
            </w:pPr>
            <w:r>
              <w:rPr>
                <w:sz w:val="18"/>
              </w:rPr>
              <w:t>بحث أكاديمي مساعد</w:t>
            </w:r>
          </w:p>
        </w:tc>
        <w:tc>
          <w:tcPr>
            <w:tcW w:type="dxa" w:w="2550"/>
            <w:vAlign w:val="center"/>
          </w:tcPr>
          <w:p>
            <w:pPr>
              <w:jc w:val="right"/>
              <w:bidi w:val="1"/>
            </w:pPr>
            <w:r>
              <w:rPr>
                <w:sz w:val="18"/>
              </w:rPr>
              <w:t>تبين اعتماد ابن عاشور على الاستقراء الداخلي لعادات الألفاظ والأساليب، مع بقاء الاستثناءات ممكنة.</w:t>
            </w:r>
          </w:p>
        </w:tc>
      </w:tr>
    </w:tbl>
    <w:p/>
    <w:p>
      <w:pPr>
        <w:jc w:val="right"/>
        <w:bidi w:val="1"/>
      </w:pPr>
      <w:r>
        <w:rPr>
          <w:b/>
        </w:rPr>
        <w:t xml:space="preserve">حدود الوثيقة: </w:t>
      </w:r>
      <w:r>
        <w:t>هذه دراسة انتقائية لمجموعة ممثلة من كبار العلماء، وليست استقصاءً لجميع كتب اللغة والتفسير. أي قاعدة يراد جعلها حاكمة في المشروع ينبغي بعد هذه المرحلة تحويلها إلى Claim مستقل مع مصدره واختباره على المدونة القرآنية.</w:t>
      </w:r>
    </w:p>
    <w:sectPr w:rsidR="00FC693F" w:rsidRPr="0006063C" w:rsidSect="00034616">
      <w:footerReference w:type="default" r:id="rId2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color w:val="646464"/>
        <w:sz w:val="16"/>
      </w:rPr>
      <w:t>مشروع لسان القرآن — دراسة مقارنة للتراث اللغوي والتفسيري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eastAsia="Noto Naskh Arabic" w:cs="Noto Naskh Arab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19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2B4C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b/>
      <w:color w:val="19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Arabic" w:hAnsi="Noto Sans Arabic" w:cs="Noto Sans Arabic"/>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wikisource.org/wiki/&#1605;&#1580;&#1604;&#1577;_&#1575;&#1604;&#1585;&#1587;&#1575;&#1604;&#1577;/&#1575;&#1604;&#1593;&#1583;&#1583;_733/&#1603;&#1578;&#1575;&#1576;_&#1605;&#1602;&#1575;&#1610;&#1610;&#1587;_&#1575;&#1604;&#1604;&#1594;&#1577;_&#1604;&#1575;&#1576;&#1606;_&#1601;&#1575;&#1585;&#1587;" TargetMode="External"/><Relationship Id="rId10" Type="http://schemas.openxmlformats.org/officeDocument/2006/relationships/hyperlink" Target="https://ar.wikisource.org/wiki/&#1575;&#1604;&#1589;&#1575;&#1581;&#1576;&#1610;_&#1601;&#1610;_&#1601;&#1602;&#1607;_&#1575;&#1604;&#1604;&#1594;&#1577;_-_&#1575;&#1604;&#1580;&#1586;&#1569;_&#1575;&#1604;&#1571;&#1608;&#1604;" TargetMode="External"/><Relationship Id="rId11" Type="http://schemas.openxmlformats.org/officeDocument/2006/relationships/hyperlink" Target="https://www.islamweb.net/ar/library/content/124/3516/" TargetMode="External"/><Relationship Id="rId12" Type="http://schemas.openxmlformats.org/officeDocument/2006/relationships/hyperlink" Target="https://ar.wikisource.org/wiki/&#1582;&#1589;&#1575;&#1574;&#1589;_&#1575;&#1576;&#1606;_&#1580;&#1606;&#1610;_-_&#1575;&#1604;&#1580;&#1586;&#1569;_&#1575;&#1604;&#1579;&#1575;&#1604;&#1579;" TargetMode="External"/><Relationship Id="rId13" Type="http://schemas.openxmlformats.org/officeDocument/2006/relationships/hyperlink" Target="https://ablibrary.net/book_content/b/3687/6" TargetMode="External"/><Relationship Id="rId14" Type="http://schemas.openxmlformats.org/officeDocument/2006/relationships/hyperlink" Target="https://www.islamweb.net/ar/library/content/239/68/" TargetMode="External"/><Relationship Id="rId15" Type="http://schemas.openxmlformats.org/officeDocument/2006/relationships/hyperlink" Target="https://usul.ai/ar/t/dictionary-of-linguistic-differences-linguistic-differences-with-arrangement-and-additions/152" TargetMode="External"/><Relationship Id="rId16" Type="http://schemas.openxmlformats.org/officeDocument/2006/relationships/hyperlink" Target="https://www.bibliotheque.nat.tn/BNT/doc/SYRACUSE/5724564/" TargetMode="External"/><Relationship Id="rId17" Type="http://schemas.openxmlformats.org/officeDocument/2006/relationships/hyperlink" Target="https://www.islamweb.net/ar/library/content/67/638/" TargetMode="External"/><Relationship Id="rId18" Type="http://schemas.openxmlformats.org/officeDocument/2006/relationships/hyperlink" Target="https://quranpedia.net/book/253/1/40" TargetMode="External"/><Relationship Id="rId19" Type="http://schemas.openxmlformats.org/officeDocument/2006/relationships/hyperlink" Target="https://quranpedia.net/tafsir/an-nisa/82" TargetMode="External"/><Relationship Id="rId20" Type="http://schemas.openxmlformats.org/officeDocument/2006/relationships/hyperlink" Target="https://quranpedia.net/tafsir/ash-shuara/195" TargetMode="External"/><Relationship Id="rId21" Type="http://schemas.openxmlformats.org/officeDocument/2006/relationships/hyperlink" Target="https://www.islamweb.net/ar/library/content/99/132/" TargetMode="External"/><Relationship Id="rId22" Type="http://schemas.openxmlformats.org/officeDocument/2006/relationships/hyperlink" Target="https://www.islamweb.net/ar/library/content/61/17/" TargetMode="External"/><Relationship Id="rId23" Type="http://schemas.openxmlformats.org/officeDocument/2006/relationships/hyperlink" Target="https://quran-tafsir.net/ashour/sura26-aya195.html" TargetMode="External"/><Relationship Id="rId24" Type="http://schemas.openxmlformats.org/officeDocument/2006/relationships/hyperlink" Target="https://www.benkjournal.com/benkj/ar/article/view/1083" TargetMode="External"/><Relationship Id="rId25" Type="http://schemas.openxmlformats.org/officeDocument/2006/relationships/hyperlink" Target="https://search.mandumah.com/Record/825493"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