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bidi w:val="1"/>
      </w:pPr>
      <w:r>
        <w:t>Quran Lisan — Master Integrated Package v1.0.0</w:t>
      </w:r>
    </w:p>
    <w:p>
      <w:pPr>
        <w:jc w:val="center"/>
        <w:bidi w:val="1"/>
      </w:pPr>
      <w:r>
        <w:rPr>
          <w:b/>
        </w:rPr>
        <w:t>دليل السلطة والمصالحة والبدء التنفيذي</w:t>
      </w:r>
    </w:p>
    <w:p>
      <w:pPr>
        <w:jc w:val="center"/>
        <w:bidi w:val="1"/>
      </w:pPr>
      <w:r>
        <w:t>الحالة: MASTER_RECONCILED / V2.1_BASE_PRESERVED</w:t>
      </w:r>
    </w:p>
    <w:p>
      <w:r>
        <w:br w:type="page"/>
      </w:r>
    </w:p>
    <w:p>
      <w:pPr>
        <w:pStyle w:val="Heading1"/>
        <w:jc w:val="right"/>
        <w:bidi w:val="1"/>
      </w:pPr>
      <w:r>
        <w:t>الغرض من الحزمة</w:t>
      </w:r>
    </w:p>
    <w:p>
      <w:pPr>
        <w:spacing w:after="120" w:line="276" w:lineRule="auto"/>
        <w:jc w:val="right"/>
        <w:bidi w:val="1"/>
      </w:pPr>
      <w:r>
        <w:t>تجمع هذه الحزمة V2.1 كما هي مع الدلتا المالكية اللاحقة، وتحفظ المقترحات المفتوحة والأصول التاريخية دون أن تحولها إلى سلطة. الهدف أن يصبح بدء التنفيذ واضحًا وقابلًا للتتبع دون فقدان أي مادة.</w:t>
      </w:r>
    </w:p>
    <w:p>
      <w:pPr>
        <w:pStyle w:val="Heading1"/>
        <w:jc w:val="right"/>
        <w:bidi w:val="1"/>
      </w:pPr>
      <w:r>
        <w:t>ترتيب السلطة</w:t>
      </w:r>
    </w:p>
    <w:p>
      <w:pPr>
        <w:spacing w:after="120" w:line="276" w:lineRule="auto"/>
        <w:jc w:val="right"/>
        <w:bidi w:val="1"/>
      </w:pPr>
      <w:r>
        <w:t>تعليمات المالك الأحدث ثم Master Authority والدلتا المقبولة، ثم V2.1 في المواضع غير المنسوخة، ثم العقود والسجلات. المقترحات المفتوحة والمراجع الخارجية والأرشيف لا تملك سلطة مستقلة.</w:t>
      </w:r>
    </w:p>
    <w:p>
      <w:pPr>
        <w:pStyle w:val="Heading1"/>
        <w:jc w:val="right"/>
        <w:bidi w:val="1"/>
      </w:pPr>
      <w:r>
        <w:t>ما أصبح حاكمًا بعد V2.1</w:t>
      </w:r>
    </w:p>
    <w:p>
      <w:pPr>
        <w:spacing w:after="120" w:line="276" w:lineRule="auto"/>
        <w:jc w:val="right"/>
        <w:bidi w:val="1"/>
      </w:pPr>
      <w:r>
        <w:t>حلقة التقاط الأفكار؛ وضوح المصطلحات؛ هدف الحملة الواسعة؛ شرط حضور معنى الجذر في جميع المواضع؛ بناء المعرفة الوصفية قبل الاجتهاد؛ استخدام المصادر الخارجية لتوليد الفرضيات والاختبارات دون سلطة.</w:t>
      </w:r>
    </w:p>
    <w:p>
      <w:pPr>
        <w:pStyle w:val="Heading1"/>
        <w:jc w:val="right"/>
        <w:bidi w:val="1"/>
      </w:pPr>
      <w:r>
        <w:t>أهم تصحيح منهجي</w:t>
      </w:r>
    </w:p>
    <w:p>
      <w:pPr>
        <w:spacing w:after="120" w:line="276" w:lineRule="auto"/>
        <w:jc w:val="right"/>
        <w:bidi w:val="1"/>
      </w:pPr>
      <w:r>
        <w:t>معنى الجذر المقبول ليس نتيجة أغلبية. يجب أن يبقى أثره حاضرًا في كل موضع ثابت الانتماء إلى الجذر، مع فصل أثر الصيغة والتركيب والسياق. الفشل في إيجاد الجامع يبقي البحث غير محسوم أو يعيد فحص نسبة المواضع.</w:t>
      </w:r>
    </w:p>
    <w:p>
      <w:pPr>
        <w:pStyle w:val="Heading1"/>
        <w:jc w:val="right"/>
        <w:bidi w:val="1"/>
      </w:pPr>
      <w:r>
        <w:t>المعرفة قبل الاجتهاد</w:t>
      </w:r>
    </w:p>
    <w:p>
      <w:pPr>
        <w:spacing w:after="120" w:line="276" w:lineRule="auto"/>
        <w:jc w:val="right"/>
        <w:bidi w:val="1"/>
      </w:pPr>
      <w:r>
        <w:t>قبل السؤال عن معنى الجذر يجب أن يعرف النظام أين ورد وكم مرة، وبأي ألفاظ وصيغ وتصريفات واشتقاقات وتراكيب، وما مصدر كل تحليل وما درجة وثوقه. ما يمكن إثباته برمجيًا لا يترك لتقدير LLM.</w:t>
      </w:r>
    </w:p>
    <w:p>
      <w:pPr>
        <w:pStyle w:val="Heading1"/>
        <w:jc w:val="right"/>
        <w:bidi w:val="1"/>
      </w:pPr>
      <w:r>
        <w:t>المصادر الخارجية</w:t>
      </w:r>
    </w:p>
    <w:p>
      <w:pPr>
        <w:spacing w:after="120" w:line="276" w:lineRule="auto"/>
        <w:jc w:val="right"/>
        <w:bidi w:val="1"/>
      </w:pPr>
      <w:r>
        <w:t>محمد حسن جبل وغيره يمكن أن يقدموا فرضيات عالية القيمة واختبارات، بما في ذلك معاني الحروف وآثار الصيغ. لا يوجد مسار من قول عالم إلى تغيير المنهج؛ التغيير يحتاج اختبارًا وFinding وProposal واعتمادًا.</w:t>
      </w:r>
    </w:p>
    <w:p>
      <w:pPr>
        <w:pStyle w:val="Heading1"/>
        <w:jc w:val="right"/>
        <w:bidi w:val="1"/>
      </w:pPr>
      <w:r>
        <w:t>المقترحات التي ما زالت مفتوحة</w:t>
      </w:r>
    </w:p>
    <w:p>
      <w:pPr>
        <w:spacing w:after="120" w:line="276" w:lineRule="auto"/>
        <w:jc w:val="right"/>
        <w:bidi w:val="1"/>
      </w:pPr>
      <w:r>
        <w:t>P1..P8 كتقسيم رسمي، الترتيب الإلزامي، Full dual-lane لكل جذر، الحجم الدقيق للمعايرة، وإلزام كل اختبارات robustness. بقاؤها مفتوحة مقصود لمنع تضخم المنهج.</w:t>
      </w:r>
    </w:p>
    <w:p>
      <w:pPr>
        <w:pStyle w:val="Heading1"/>
        <w:jc w:val="right"/>
        <w:bidi w:val="1"/>
      </w:pPr>
      <w:r>
        <w:t>ما يبدأ به التنفيذ</w:t>
      </w:r>
    </w:p>
    <w:p>
      <w:pPr>
        <w:spacing w:after="120" w:line="276" w:lineRule="auto"/>
        <w:jc w:val="right"/>
        <w:bidi w:val="1"/>
      </w:pPr>
      <w:r>
        <w:t>Phase 0A: Master Admission &amp; Pre-Analysis Foundation. لا تبدأ حملة الجذور. يتم أولًا إدخال السلطة، التحقق من التوافق، تفعيل capture، بناء Root Descriptive Profile قابل لإعادة الإنتاج، دمج شرط شمول معنى الجذر، وضبط المصادر الخارجية والمصطلحات بأقل تغيير.</w:t>
      </w:r>
    </w:p>
    <w:p>
      <w:pPr>
        <w:pStyle w:val="Heading1"/>
        <w:jc w:val="right"/>
        <w:bidi w:val="1"/>
      </w:pPr>
      <w:r>
        <w:t>ما يؤرشف بعد التنفيذ</w:t>
      </w:r>
    </w:p>
    <w:p>
      <w:pPr>
        <w:spacing w:after="120" w:line="276" w:lineRule="auto"/>
        <w:jc w:val="right"/>
        <w:bidi w:val="1"/>
      </w:pPr>
      <w:r>
        <w:t>كل Request وResult وBase/Candidate SHA وأدلة الاختبارات ومسارات التغيير تحفظ في سجل تاريخي مستقل. لا يكتب فوق تشغيل سابق. المجموعة الحاكمة الأساسية تبقى حية حتى يصدر Master جديد.</w:t>
      </w:r>
    </w:p>
    <w:p>
      <w:pPr>
        <w:pStyle w:val="Heading1"/>
        <w:jc w:val="right"/>
        <w:bidi w:val="1"/>
      </w:pPr>
      <w:r>
        <w:t>الحكم الحالي</w:t>
      </w:r>
    </w:p>
    <w:p>
      <w:pPr>
        <w:spacing w:after="120" w:line="276" w:lineRule="auto"/>
        <w:jc w:val="right"/>
        <w:bidi w:val="1"/>
      </w:pPr>
      <w:r>
        <w:t>READY_FOR_FIRST_CODEX_ADMISSION_AND_PRE_ANALYSIS_FOUNDATION_REQUEST. لا توجد دعوى جاهزية بعد للتحليل الواسع للجذور.</w:t>
      </w:r>
    </w:p>
    <w:p>
      <w:pPr>
        <w:pStyle w:val="Heading1"/>
        <w:jc w:val="right"/>
        <w:bidi w:val="1"/>
      </w:pPr>
      <w:r>
        <w:t>خريطة المكونات</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pPr>
              <w:jc w:val="right"/>
              <w:bidi w:val="1"/>
            </w:pPr>
            <w:r>
              <w:t>المكوّن</w:t>
            </w:r>
          </w:p>
        </w:tc>
        <w:tc>
          <w:tcPr>
            <w:tcW w:type="dxa" w:w="3437"/>
          </w:tcPr>
          <w:p>
            <w:pPr>
              <w:jc w:val="right"/>
              <w:bidi w:val="1"/>
            </w:pPr>
            <w:r>
              <w:t>الحالة</w:t>
            </w:r>
          </w:p>
        </w:tc>
        <w:tc>
          <w:tcPr>
            <w:tcW w:type="dxa" w:w="3437"/>
          </w:tcPr>
          <w:p>
            <w:pPr>
              <w:jc w:val="right"/>
              <w:bidi w:val="1"/>
            </w:pPr>
            <w:r>
              <w:t>الدور</w:t>
            </w:r>
          </w:p>
        </w:tc>
      </w:tr>
      <w:tr>
        <w:tc>
          <w:tcPr>
            <w:tcW w:type="dxa" w:w="3437"/>
          </w:tcPr>
          <w:p>
            <w:pPr>
              <w:jc w:val="right"/>
              <w:bidi w:val="1"/>
            </w:pPr>
            <w:r>
              <w:t>V2.1</w:t>
            </w:r>
          </w:p>
        </w:tc>
        <w:tc>
          <w:tcPr>
            <w:tcW w:type="dxa" w:w="3437"/>
          </w:tcPr>
          <w:p>
            <w:pPr>
              <w:jc w:val="right"/>
              <w:bidi w:val="1"/>
            </w:pPr>
            <w:r>
              <w:t>CANONICAL BASE</w:t>
            </w:r>
          </w:p>
        </w:tc>
        <w:tc>
          <w:tcPr>
            <w:tcW w:type="dxa" w:w="3437"/>
          </w:tcPr>
          <w:p>
            <w:pPr>
              <w:jc w:val="right"/>
              <w:bidi w:val="1"/>
            </w:pPr>
            <w:r>
              <w:t>القاعدة السابقة المحفوظة حرفيًا</w:t>
            </w:r>
          </w:p>
        </w:tc>
      </w:tr>
      <w:tr>
        <w:tc>
          <w:tcPr>
            <w:tcW w:type="dxa" w:w="3437"/>
          </w:tcPr>
          <w:p>
            <w:pPr>
              <w:jc w:val="right"/>
              <w:bidi w:val="1"/>
            </w:pPr>
            <w:r>
              <w:t>Post-V2.1 Owner Directives</w:t>
            </w:r>
          </w:p>
        </w:tc>
        <w:tc>
          <w:tcPr>
            <w:tcW w:type="dxa" w:w="3437"/>
          </w:tcPr>
          <w:p>
            <w:pPr>
              <w:jc w:val="right"/>
              <w:bidi w:val="1"/>
            </w:pPr>
            <w:r>
              <w:t>ACTIVE DELTA</w:t>
            </w:r>
          </w:p>
        </w:tc>
        <w:tc>
          <w:tcPr>
            <w:tcW w:type="dxa" w:w="3437"/>
          </w:tcPr>
          <w:p>
            <w:pPr>
              <w:jc w:val="right"/>
              <w:bidi w:val="1"/>
            </w:pPr>
            <w:r>
              <w:t>التوجيهات المالكية الأحدث</w:t>
            </w:r>
          </w:p>
        </w:tc>
      </w:tr>
      <w:tr>
        <w:tc>
          <w:tcPr>
            <w:tcW w:type="dxa" w:w="3437"/>
          </w:tcPr>
          <w:p>
            <w:pPr>
              <w:jc w:val="right"/>
              <w:bidi w:val="1"/>
            </w:pPr>
            <w:r>
              <w:t>Pre-analysis P1..P8</w:t>
            </w:r>
          </w:p>
        </w:tc>
        <w:tc>
          <w:tcPr>
            <w:tcW w:type="dxa" w:w="3437"/>
          </w:tcPr>
          <w:p>
            <w:pPr>
              <w:jc w:val="right"/>
              <w:bidi w:val="1"/>
            </w:pPr>
            <w:r>
              <w:t>OPEN PROPOSAL</w:t>
            </w:r>
          </w:p>
        </w:tc>
        <w:tc>
          <w:tcPr>
            <w:tcW w:type="dxa" w:w="3437"/>
          </w:tcPr>
          <w:p>
            <w:pPr>
              <w:jc w:val="right"/>
              <w:bidi w:val="1"/>
            </w:pPr>
            <w:r>
              <w:t>خريطة تخطيط غير معتمدة بالكامل</w:t>
            </w:r>
          </w:p>
        </w:tc>
      </w:tr>
      <w:tr>
        <w:tc>
          <w:tcPr>
            <w:tcW w:type="dxa" w:w="3437"/>
          </w:tcPr>
          <w:p>
            <w:pPr>
              <w:jc w:val="right"/>
              <w:bidi w:val="1"/>
            </w:pPr>
            <w:r>
              <w:t>Current Methodology Prompt</w:t>
            </w:r>
          </w:p>
        </w:tc>
        <w:tc>
          <w:tcPr>
            <w:tcW w:type="dxa" w:w="3437"/>
          </w:tcPr>
          <w:p>
            <w:pPr>
              <w:jc w:val="right"/>
              <w:bidi w:val="1"/>
            </w:pPr>
            <w:r>
              <w:t>CURRENT FOR USE</w:t>
            </w:r>
          </w:p>
        </w:tc>
        <w:tc>
          <w:tcPr>
            <w:tcW w:type="dxa" w:w="3437"/>
          </w:tcPr>
          <w:p>
            <w:pPr>
              <w:jc w:val="right"/>
              <w:bidi w:val="1"/>
            </w:pPr>
            <w:r>
              <w:t>نسخة مصالحة؛ القديمة محفوظة</w:t>
            </w:r>
          </w:p>
        </w:tc>
      </w:tr>
      <w:tr>
        <w:tc>
          <w:tcPr>
            <w:tcW w:type="dxa" w:w="3437"/>
          </w:tcPr>
          <w:p>
            <w:pPr>
              <w:jc w:val="right"/>
              <w:bidi w:val="1"/>
            </w:pPr>
            <w:r>
              <w:t>Current Campaign Prompt</w:t>
            </w:r>
          </w:p>
        </w:tc>
        <w:tc>
          <w:tcPr>
            <w:tcW w:type="dxa" w:w="3437"/>
          </w:tcPr>
          <w:p>
            <w:pPr>
              <w:jc w:val="right"/>
              <w:bidi w:val="1"/>
            </w:pPr>
            <w:r>
              <w:t>CURRENT AFTER FOUNDATION</w:t>
            </w:r>
          </w:p>
        </w:tc>
        <w:tc>
          <w:tcPr>
            <w:tcW w:type="dxa" w:w="3437"/>
          </w:tcPr>
          <w:p>
            <w:pPr>
              <w:jc w:val="right"/>
              <w:bidi w:val="1"/>
            </w:pPr>
            <w:r>
              <w:t>لا يستخدم قبل Phase 0A</w:t>
            </w:r>
          </w:p>
        </w:tc>
      </w:tr>
      <w:tr>
        <w:tc>
          <w:tcPr>
            <w:tcW w:type="dxa" w:w="3437"/>
          </w:tcPr>
          <w:p>
            <w:pPr>
              <w:jc w:val="right"/>
              <w:bidi w:val="1"/>
            </w:pPr>
            <w:r>
              <w:t>Archive</w:t>
            </w:r>
          </w:p>
        </w:tc>
        <w:tc>
          <w:tcPr>
            <w:tcW w:type="dxa" w:w="3437"/>
          </w:tcPr>
          <w:p>
            <w:pPr>
              <w:jc w:val="right"/>
              <w:bidi w:val="1"/>
            </w:pPr>
            <w:r>
              <w:t>HISTORICAL</w:t>
            </w:r>
          </w:p>
        </w:tc>
        <w:tc>
          <w:tcPr>
            <w:tcW w:type="dxa" w:w="3437"/>
          </w:tcPr>
          <w:p>
            <w:pPr>
              <w:jc w:val="right"/>
              <w:bidi w:val="1"/>
            </w:pPr>
            <w:r>
              <w:t>أثر وعدم فقدان، غير حاكم</w:t>
            </w:r>
          </w:p>
        </w:tc>
      </w:tr>
    </w:tbl>
    <w:p>
      <w:pPr>
        <w:pStyle w:val="Heading1"/>
        <w:jc w:val="right"/>
        <w:bidi w:val="1"/>
      </w:pPr>
      <w:r>
        <w:t>الطلب الأول إلى Codex</w:t>
      </w:r>
    </w:p>
    <w:p>
      <w:pPr>
        <w:jc w:val="right"/>
        <w:bidi w:val="1"/>
      </w:pPr>
      <w:r>
        <w:t>Phase 0A — Master Admission &amp; Pre-Analysis Foundation</w:t>
      </w:r>
    </w:p>
    <w:p>
      <w:pPr>
        <w:jc w:val="right"/>
        <w:bidi w:val="1"/>
      </w:pPr>
      <w:r>
        <w:t>لا تحليل جذور دلالي واسع في هذه المرحلة.</w:t>
      </w:r>
    </w:p>
    <w:p>
      <w:pPr>
        <w:jc w:val="right"/>
        <w:bidi w:val="1"/>
      </w:pPr>
      <w:r>
        <w:t>الأولوية: authority admission → governed capture → descriptive knowledge → root universality → source/terminology deltas → readiness tests.</w:t>
      </w:r>
    </w:p>
    <w:p>
      <w:pPr>
        <w:jc w:val="right"/>
        <w:bidi w:val="1"/>
      </w:pPr>
      <w:r>
        <w:t>الطلب الكامل موجود في 00_START_HERE/04_FIRST_CODEX_REQUEST.md.</w:t>
      </w:r>
    </w:p>
    <w:p>
      <w:pPr>
        <w:pStyle w:val="Heading1"/>
        <w:jc w:val="right"/>
        <w:bidi w:val="1"/>
      </w:pPr>
      <w:r>
        <w:t>قرارات المالك المفتوحة</w:t>
      </w:r>
    </w:p>
    <w:p>
      <w:pPr>
        <w:jc w:val="right"/>
        <w:bidi w:val="1"/>
      </w:pPr>
      <w:r>
        <w:t>• هل يصبح P1..P8 تقسيمًا رسميًا أم يبقى خريطة تخطيط؟</w:t>
      </w:r>
    </w:p>
    <w:p>
      <w:pPr>
        <w:jc w:val="right"/>
        <w:bidi w:val="1"/>
      </w:pPr>
      <w:r>
        <w:t>• هل Full dual-lane دائم أم يستخدم للمعايرة والجذور المهمة فقط؟</w:t>
      </w:r>
    </w:p>
    <w:p>
      <w:pPr>
        <w:jc w:val="right"/>
        <w:bidi w:val="1"/>
      </w:pPr>
      <w:r>
        <w:t>• ما حجم دفعة المعايرة بعد قياس التكلفة؟</w:t>
      </w:r>
    </w:p>
    <w:p>
      <w:pPr>
        <w:jc w:val="right"/>
        <w:bidi w:val="1"/>
      </w:pPr>
      <w:r>
        <w:t>• أي اختبارات robustness إلزامية وأيها حسب الخطر؟</w:t>
      </w:r>
    </w:p>
    <w:p>
      <w:pPr>
        <w:jc w:val="right"/>
        <w:bidi w:val="1"/>
      </w:pPr>
      <w:r>
        <w:t>• هل نحتاج إعادة تسمية تقنية واسعة للمصطلحات أم Human-facing delta فقط؟</w:t>
      </w:r>
    </w:p>
    <w:sectPr w:rsidR="00FC693F" w:rsidRPr="0006063C" w:rsidSect="00034616">
      <w:footerReference w:type="default" r:id="rId9"/>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t>Quran Lisan Master Integrated Package v1.0.0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color w:val="202124"/>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2D55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cs="Noto Sans Arabic"/>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